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0B1F3A"/>
          <w:sz w:val="46"/>
          <w:szCs w:val="46"/>
        </w:rPr>
        <w:t xml:space="preserve">BANK FRAUD RISK ANALYSIS DASHBOARD</w:t>
      </w:r>
    </w:p>
    <w:p>
      <w:pPr>
        <w:spacing w:after="400"/>
        <w:jc w:val="center"/>
      </w:pPr>
      <w:r>
        <w:rPr>
          <w:b/>
          <w:bCs/>
          <w:color w:val="1A73E8"/>
          <w:sz w:val="30"/>
          <w:szCs w:val="30"/>
        </w:rPr>
        <w:t xml:space="preserve">Problem Statement</w:t>
      </w:r>
    </w:p>
    <w:p>
      <w:pPr>
        <w:spacing w:after="60"/>
        <w:jc w:val="center"/>
      </w:pPr>
      <w:r>
        <w:rPr>
          <w:color w:val="595959"/>
          <w:sz w:val="22"/>
          <w:szCs w:val="22"/>
        </w:rPr>
        <w:t xml:space="preserve">Power BI Dashboard — Credit Score &amp; Fraud Detection</w:t>
      </w:r>
    </w:p>
    <w:p>
      <w:pPr>
        <w:spacing w:after="60"/>
        <w:jc w:val="center"/>
      </w:pPr>
      <w:r>
        <w:rPr>
          <w:color w:val="595959"/>
          <w:sz w:val="20"/>
          <w:szCs w:val="20"/>
        </w:rPr>
        <w:t xml:space="preserve">Dataset: pb_bank_fraud_detection_project-dataset.csv (40,959 customer records)</w:t>
      </w:r>
    </w:p>
    <w:p>
      <w:pPr>
        <w:spacing w:after="60"/>
        <w:jc w:val="center"/>
      </w:pPr>
      <w:r>
        <w:rPr>
          <w:color w:val="595959"/>
          <w:sz w:val="20"/>
          <w:szCs w:val="20"/>
        </w:rPr>
        <w:t xml:space="preserve">Prepared by: Nishant Shaileshkumar Trivedi</w:t>
      </w:r>
    </w:p>
    <w:p>
      <w:pPr>
        <w:spacing w:after="1800"/>
        <w:jc w:val="center"/>
      </w:pPr>
      <w:r>
        <w:rPr>
          <w:color w:val="595959"/>
          <w:sz w:val="20"/>
          <w:szCs w:val="20"/>
        </w:rPr>
        <w:t xml:space="preserve">September 2026</w:t>
      </w:r>
    </w:p>
    <w:p>
      <w:pPr>
        <w:shd w:fill="F2F2F2" w:val="clear"/>
        <w:spacing w:after="100" w:before="200"/>
        <w:jc w:val="center"/>
      </w:pPr>
      <w:r>
        <w:rPr>
          <w:i/>
          <w:iCs/>
          <w:color w:val="333333"/>
          <w:sz w:val="19"/>
          <w:szCs w:val="19"/>
        </w:rPr>
        <w:t xml:space="preserve">  A standalone problem statement for the Bank Fraud Risk Analysis Dashboard, derived from the full project documentation.  </w:t>
      </w:r>
    </w:p>
    <w:p>
      <w:r>
        <w:br w:type="page"/>
      </w:r>
    </w:p>
    <w:p>
      <w:pPr>
        <w:pStyle w:val="Heading1"/>
        <w:pBdr>
          <w:bottom w:val="single" w:color="0B1F3A" w:sz="8" w:space="4"/>
        </w:pBdr>
        <w:spacing w:after="160" w:before="360"/>
      </w:pPr>
      <w:r>
        <w:rPr>
          <w:b/>
          <w:bCs/>
          <w:color w:val="0B1F3A"/>
          <w:sz w:val="30"/>
          <w:szCs w:val="30"/>
        </w:rPr>
        <w:t xml:space="preserve">1. Background</w:t>
      </w:r>
    </w:p>
    <w:p>
      <w:pPr>
        <w:spacing w:after="140" w:line="288"/>
      </w:pPr>
      <w:r>
        <w:rPr>
          <w:b w:val="false"/>
          <w:bCs w:val="false"/>
          <w:i w:val="false"/>
          <w:iCs w:val="false"/>
          <w:color w:val="222222"/>
          <w:sz w:val="21"/>
          <w:szCs w:val="21"/>
        </w:rPr>
        <w:t xml:space="preserve">The bank holds detailed financial records for 40,959 customers, spanning income, debt, repayment behaviour, credit utilisation, and demographic attributes. Today, this data is siloed in raw form and is not consolidated into a view that credit risk, fraud, and lending teams can act on quickly. Without a unified analytical view, credit decisions rely on manual, ad-hoc review of individual customer records rather than portfolio-wide, evidence-based patterns.</w:t>
      </w:r>
    </w:p>
    <w:p>
      <w:pPr>
        <w:pStyle w:val="Heading1"/>
        <w:pBdr>
          <w:bottom w:val="single" w:color="0B1F3A" w:sz="8" w:space="4"/>
        </w:pBdr>
        <w:spacing w:after="160" w:before="360"/>
      </w:pPr>
      <w:r>
        <w:rPr>
          <w:b/>
          <w:bCs/>
          <w:color w:val="0B1F3A"/>
          <w:sz w:val="30"/>
          <w:szCs w:val="30"/>
        </w:rPr>
        <w:t xml:space="preserve">2. Problem Statement</w:t>
      </w:r>
    </w:p>
    <w:p>
      <w:pPr>
        <w:pBdr>
          <w:left w:val="single" w:color="1A73E8" w:sz="24" w:space="8"/>
        </w:pBdr>
        <w:shd w:fill="F2F2F2" w:val="clear"/>
        <w:spacing w:after="200" w:before="120"/>
        <w:ind w:left="120"/>
      </w:pPr>
      <w:r>
        <w:rPr>
          <w:i/>
          <w:iCs/>
          <w:color w:val="222222"/>
          <w:sz w:val="21"/>
          <w:szCs w:val="21"/>
        </w:rPr>
        <w:t xml:space="preserve">  The bank needs a way to identify which customers are high-risk for default or fraud, understand what drives that risk, and act on it before losses occur — using the financial and behavioural data it already collects, rather than reviewing accounts one at a time.</w:t>
      </w:r>
    </w:p>
    <w:p>
      <w:pPr>
        <w:spacing w:after="140" w:line="288"/>
      </w:pPr>
      <w:r>
        <w:rPr>
          <w:b w:val="false"/>
          <w:bCs w:val="false"/>
          <w:i w:val="false"/>
          <w:iCs w:val="false"/>
          <w:color w:val="222222"/>
          <w:sz w:val="21"/>
          <w:szCs w:val="21"/>
        </w:rPr>
        <w:t xml:space="preserve">Specifically, three gaps currently exist:</w:t>
      </w:r>
    </w:p>
    <w:p>
      <w:pPr>
        <w:pStyle w:val="ListParagraph"/>
        <w:numPr>
          <w:ilvl w:val="0"/>
          <w:numId w:val="2"/>
        </w:numPr>
        <w:spacing w:after="80"/>
      </w:pPr>
      <w:r>
        <w:t xml:space="preserve"/>
      </w:r>
      <w:r>
        <w:rPr>
          <w:color w:val="222222"/>
          <w:sz w:val="21"/>
          <w:szCs w:val="21"/>
        </w:rPr>
        <w:t xml:space="preserve">No consolidated view of portfolio credit quality — Good, Standard, and Poor customers cannot be segmented or sized at a glance.</w:t>
      </w:r>
    </w:p>
    <w:p>
      <w:pPr>
        <w:pStyle w:val="ListParagraph"/>
        <w:numPr>
          <w:ilvl w:val="0"/>
          <w:numId w:val="2"/>
        </w:numPr>
        <w:spacing w:after="80"/>
      </w:pPr>
      <w:r>
        <w:t xml:space="preserve"/>
      </w:r>
      <w:r>
        <w:rPr>
          <w:color w:val="222222"/>
          <w:sz w:val="21"/>
          <w:szCs w:val="21"/>
        </w:rPr>
        <w:t xml:space="preserve">No systematic way to detect behavioural red flags (missed minimum payments, high delay days, high debt-to-income) that correlate with fraud and default.</w:t>
      </w:r>
    </w:p>
    <w:p>
      <w:pPr>
        <w:pStyle w:val="ListParagraph"/>
        <w:numPr>
          <w:ilvl w:val="0"/>
          <w:numId w:val="2"/>
        </w:numPr>
        <w:spacing w:after="80"/>
      </w:pPr>
      <w:r>
        <w:t xml:space="preserve"/>
      </w:r>
      <w:r>
        <w:rPr>
          <w:color w:val="222222"/>
          <w:sz w:val="21"/>
          <w:szCs w:val="21"/>
        </w:rPr>
        <w:t xml:space="preserve">No evidence-based link between customer attributes (income, age, occupation) and credit risk to guide underwriting policy or targeted interventions.</w:t>
      </w:r>
    </w:p>
    <w:p>
      <w:pPr>
        <w:pStyle w:val="Heading1"/>
        <w:pBdr>
          <w:bottom w:val="single" w:color="0B1F3A" w:sz="8" w:space="4"/>
        </w:pBdr>
        <w:spacing w:after="160" w:before="360"/>
      </w:pPr>
      <w:r>
        <w:rPr>
          <w:b/>
          <w:bCs/>
          <w:color w:val="0B1F3A"/>
          <w:sz w:val="30"/>
          <w:szCs w:val="30"/>
        </w:rPr>
        <w:t xml:space="preserve">3. Objectives</w:t>
      </w:r>
    </w:p>
    <w:p>
      <w:pPr>
        <w:pStyle w:val="ListParagraph"/>
        <w:numPr>
          <w:ilvl w:val="0"/>
          <w:numId w:val="2"/>
        </w:numPr>
        <w:spacing w:after="80"/>
      </w:pPr>
      <w:r>
        <w:t xml:space="preserve"/>
      </w:r>
      <w:r>
        <w:rPr>
          <w:color w:val="222222"/>
          <w:sz w:val="21"/>
          <w:szCs w:val="21"/>
        </w:rPr>
        <w:t xml:space="preserve">Identify and segment customers by credit quality — Good, Standard, and Poor.</w:t>
      </w:r>
    </w:p>
    <w:p>
      <w:pPr>
        <w:pStyle w:val="ListParagraph"/>
        <w:numPr>
          <w:ilvl w:val="0"/>
          <w:numId w:val="2"/>
        </w:numPr>
        <w:spacing w:after="80"/>
      </w:pPr>
      <w:r>
        <w:t xml:space="preserve"/>
      </w:r>
      <w:r>
        <w:rPr>
          <w:color w:val="222222"/>
          <w:sz w:val="21"/>
          <w:szCs w:val="21"/>
        </w:rPr>
        <w:t xml:space="preserve">Detect high-risk behavioural patterns associated with payment default and fraud.</w:t>
      </w:r>
    </w:p>
    <w:p>
      <w:pPr>
        <w:pStyle w:val="ListParagraph"/>
        <w:numPr>
          <w:ilvl w:val="0"/>
          <w:numId w:val="2"/>
        </w:numPr>
        <w:spacing w:after="80"/>
      </w:pPr>
      <w:r>
        <w:t xml:space="preserve"/>
      </w:r>
      <w:r>
        <w:rPr>
          <w:color w:val="222222"/>
          <w:sz w:val="21"/>
          <w:szCs w:val="21"/>
        </w:rPr>
        <w:t xml:space="preserve">Analyse the relationship between income, debt, interest rate, and credit score.</w:t>
      </w:r>
    </w:p>
    <w:p>
      <w:pPr>
        <w:pStyle w:val="ListParagraph"/>
        <w:numPr>
          <w:ilvl w:val="0"/>
          <w:numId w:val="2"/>
        </w:numPr>
        <w:spacing w:after="80"/>
      </w:pPr>
      <w:r>
        <w:t xml:space="preserve"/>
      </w:r>
      <w:r>
        <w:rPr>
          <w:color w:val="222222"/>
          <w:sz w:val="21"/>
          <w:szCs w:val="21"/>
        </w:rPr>
        <w:t xml:space="preserve">Provide occupation-wise and age-wise credit risk profiling.</w:t>
      </w:r>
    </w:p>
    <w:p>
      <w:pPr>
        <w:pStyle w:val="ListParagraph"/>
        <w:numPr>
          <w:ilvl w:val="0"/>
          <w:numId w:val="2"/>
        </w:numPr>
        <w:spacing w:after="80"/>
      </w:pPr>
      <w:r>
        <w:t xml:space="preserve"/>
      </w:r>
      <w:r>
        <w:rPr>
          <w:color w:val="222222"/>
          <w:sz w:val="21"/>
          <w:szCs w:val="21"/>
        </w:rPr>
        <w:t xml:space="preserve">Enable business stakeholders to make faster, evidence-based lending decisions.</w:t>
      </w:r>
    </w:p>
    <w:p>
      <w:r>
        <w:br w:type="page"/>
      </w:r>
    </w:p>
    <w:p>
      <w:pPr>
        <w:pStyle w:val="Heading1"/>
        <w:pBdr>
          <w:bottom w:val="single" w:color="0B1F3A" w:sz="8" w:space="4"/>
        </w:pBdr>
        <w:spacing w:after="160" w:before="360"/>
      </w:pPr>
      <w:r>
        <w:rPr>
          <w:b/>
          <w:bCs/>
          <w:color w:val="0B1F3A"/>
          <w:sz w:val="30"/>
          <w:szCs w:val="30"/>
        </w:rPr>
        <w:t xml:space="preserve">4. Target Audience &amp; Use Cases</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2805"/>
        <w:gridCol w:w="6545"/>
      </w:tblGrid>
      <w:tr>
        <w:trPr>
          <w:tblHeader/>
        </w:trPr>
        <w:tc>
          <w:tcPr>
            <w:tcW w:type="auto" w:w="0"/>
            <w:shd w:fill="0B1F3A" w:val="clear"/>
            <w:tcMar>
              <w:top w:type="dxa" w:w="100"/>
              <w:left w:type="dxa" w:w="120"/>
              <w:bottom w:type="dxa" w:w="100"/>
              <w:right w:type="dxa" w:w="120"/>
            </w:tcMar>
            <w:vAlign w:val="center"/>
          </w:tcPr>
          <w:p>
            <w:pPr>
              <w:jc w:val="left"/>
            </w:pPr>
            <w:r>
              <w:rPr>
                <w:b/>
                <w:bCs/>
                <w:color w:val="FFFFFF"/>
                <w:sz w:val="19"/>
                <w:szCs w:val="19"/>
              </w:rPr>
              <w:t xml:space="preserve">Stakeholder</w:t>
            </w:r>
          </w:p>
        </w:tc>
        <w:tc>
          <w:tcPr>
            <w:tcW w:type="auto" w:w="0"/>
            <w:shd w:fill="0B1F3A" w:val="clear"/>
            <w:tcMar>
              <w:top w:type="dxa" w:w="100"/>
              <w:left w:type="dxa" w:w="120"/>
              <w:bottom w:type="dxa" w:w="100"/>
              <w:right w:type="dxa" w:w="120"/>
            </w:tcMar>
            <w:vAlign w:val="center"/>
          </w:tcPr>
          <w:p>
            <w:pPr>
              <w:jc w:val="left"/>
            </w:pPr>
            <w:r>
              <w:rPr>
                <w:b/>
                <w:bCs/>
                <w:color w:val="FFFFFF"/>
                <w:sz w:val="19"/>
                <w:szCs w:val="19"/>
              </w:rPr>
              <w:t xml:space="preserve">How they use this dashboard</w:t>
            </w:r>
          </w:p>
        </w:tc>
      </w:tr>
      <w:tr>
        <w:tc>
          <w:tcPr>
            <w:tcW w:type="auto" w:w="0"/>
            <w:tcMar>
              <w:top w:type="dxa" w:w="100"/>
              <w:left w:type="dxa" w:w="120"/>
              <w:bottom w:type="dxa" w:w="100"/>
              <w:right w:type="dxa" w:w="120"/>
            </w:tcMar>
            <w:vAlign w:val="center"/>
          </w:tcPr>
          <w:p>
            <w:pPr>
              <w:jc w:val="left"/>
            </w:pPr>
            <w:r>
              <w:rPr>
                <w:b w:val="false"/>
                <w:bCs w:val="false"/>
                <w:color w:val="222222"/>
                <w:sz w:val="19"/>
                <w:szCs w:val="19"/>
              </w:rPr>
              <w:t xml:space="preserve">Credit Risk Team</w:t>
            </w:r>
          </w:p>
        </w:tc>
        <w:tc>
          <w:tcPr>
            <w:tcW w:type="auto" w:w="0"/>
            <w:tcMar>
              <w:top w:type="dxa" w:w="100"/>
              <w:left w:type="dxa" w:w="120"/>
              <w:bottom w:type="dxa" w:w="100"/>
              <w:right w:type="dxa" w:w="120"/>
            </w:tcMar>
            <w:vAlign w:val="center"/>
          </w:tcPr>
          <w:p>
            <w:pPr>
              <w:jc w:val="center"/>
            </w:pPr>
            <w:r>
              <w:rPr>
                <w:b w:val="false"/>
                <w:bCs w:val="false"/>
                <w:color w:val="222222"/>
                <w:sz w:val="19"/>
                <w:szCs w:val="19"/>
              </w:rPr>
              <w:t xml:space="preserve">Monitor portfolio credit quality, identify high-risk segments</w:t>
            </w:r>
          </w:p>
        </w:tc>
      </w:tr>
      <w:tr>
        <w:tc>
          <w:tcPr>
            <w:tcW w:type="auto" w:w="0"/>
            <w:tcMar>
              <w:top w:type="dxa" w:w="100"/>
              <w:left w:type="dxa" w:w="120"/>
              <w:bottom w:type="dxa" w:w="100"/>
              <w:right w:type="dxa" w:w="120"/>
            </w:tcMar>
            <w:vAlign w:val="center"/>
          </w:tcPr>
          <w:p>
            <w:pPr>
              <w:jc w:val="left"/>
            </w:pPr>
            <w:r>
              <w:rPr>
                <w:b w:val="false"/>
                <w:bCs w:val="false"/>
                <w:color w:val="222222"/>
                <w:sz w:val="19"/>
                <w:szCs w:val="19"/>
              </w:rPr>
              <w:t xml:space="preserve">Fraud Analysts</w:t>
            </w:r>
          </w:p>
        </w:tc>
        <w:tc>
          <w:tcPr>
            <w:tcW w:type="auto" w:w="0"/>
            <w:tcMar>
              <w:top w:type="dxa" w:w="100"/>
              <w:left w:type="dxa" w:w="120"/>
              <w:bottom w:type="dxa" w:w="100"/>
              <w:right w:type="dxa" w:w="120"/>
            </w:tcMar>
            <w:vAlign w:val="center"/>
          </w:tcPr>
          <w:p>
            <w:pPr>
              <w:jc w:val="center"/>
            </w:pPr>
            <w:r>
              <w:rPr>
                <w:b w:val="false"/>
                <w:bCs w:val="false"/>
                <w:color w:val="222222"/>
                <w:sz w:val="19"/>
                <w:szCs w:val="19"/>
              </w:rPr>
              <w:t xml:space="preserve">Flag customers with high delay days, low income, and high debt</w:t>
            </w:r>
          </w:p>
        </w:tc>
      </w:tr>
      <w:tr>
        <w:tc>
          <w:tcPr>
            <w:tcW w:type="auto" w:w="0"/>
            <w:tcMar>
              <w:top w:type="dxa" w:w="100"/>
              <w:left w:type="dxa" w:w="120"/>
              <w:bottom w:type="dxa" w:w="100"/>
              <w:right w:type="dxa" w:w="120"/>
            </w:tcMar>
            <w:vAlign w:val="center"/>
          </w:tcPr>
          <w:p>
            <w:pPr>
              <w:jc w:val="left"/>
            </w:pPr>
            <w:r>
              <w:rPr>
                <w:b w:val="false"/>
                <w:bCs w:val="false"/>
                <w:color w:val="222222"/>
                <w:sz w:val="19"/>
                <w:szCs w:val="19"/>
              </w:rPr>
              <w:t xml:space="preserve">Loan Officers</w:t>
            </w:r>
          </w:p>
        </w:tc>
        <w:tc>
          <w:tcPr>
            <w:tcW w:type="auto" w:w="0"/>
            <w:tcMar>
              <w:top w:type="dxa" w:w="100"/>
              <w:left w:type="dxa" w:w="120"/>
              <w:bottom w:type="dxa" w:w="100"/>
              <w:right w:type="dxa" w:w="120"/>
            </w:tcMar>
            <w:vAlign w:val="center"/>
          </w:tcPr>
          <w:p>
            <w:pPr>
              <w:jc w:val="center"/>
            </w:pPr>
            <w:r>
              <w:rPr>
                <w:b w:val="false"/>
                <w:bCs w:val="false"/>
                <w:color w:val="222222"/>
                <w:sz w:val="19"/>
                <w:szCs w:val="19"/>
              </w:rPr>
              <w:t xml:space="preserve">Evaluate applicant profiles before approving loans</w:t>
            </w:r>
          </w:p>
        </w:tc>
      </w:tr>
      <w:tr>
        <w:tc>
          <w:tcPr>
            <w:tcW w:type="auto" w:w="0"/>
            <w:tcMar>
              <w:top w:type="dxa" w:w="100"/>
              <w:left w:type="dxa" w:w="120"/>
              <w:bottom w:type="dxa" w:w="100"/>
              <w:right w:type="dxa" w:w="120"/>
            </w:tcMar>
            <w:vAlign w:val="center"/>
          </w:tcPr>
          <w:p>
            <w:pPr>
              <w:jc w:val="left"/>
            </w:pPr>
            <w:r>
              <w:rPr>
                <w:b w:val="false"/>
                <w:bCs w:val="false"/>
                <w:color w:val="222222"/>
                <w:sz w:val="19"/>
                <w:szCs w:val="19"/>
              </w:rPr>
              <w:t xml:space="preserve">Senior Management</w:t>
            </w:r>
          </w:p>
        </w:tc>
        <w:tc>
          <w:tcPr>
            <w:tcW w:type="auto" w:w="0"/>
            <w:tcMar>
              <w:top w:type="dxa" w:w="100"/>
              <w:left w:type="dxa" w:w="120"/>
              <w:bottom w:type="dxa" w:w="100"/>
              <w:right w:type="dxa" w:w="120"/>
            </w:tcMar>
            <w:vAlign w:val="center"/>
          </w:tcPr>
          <w:p>
            <w:pPr>
              <w:jc w:val="center"/>
            </w:pPr>
            <w:r>
              <w:rPr>
                <w:b w:val="false"/>
                <w:bCs w:val="false"/>
                <w:color w:val="222222"/>
                <w:sz w:val="19"/>
                <w:szCs w:val="19"/>
              </w:rPr>
              <w:t xml:space="preserve">Track KPIs — overall portfolio health and default risk</w:t>
            </w:r>
          </w:p>
        </w:tc>
      </w:tr>
      <w:tr>
        <w:tc>
          <w:tcPr>
            <w:tcW w:type="auto" w:w="0"/>
            <w:tcMar>
              <w:top w:type="dxa" w:w="100"/>
              <w:left w:type="dxa" w:w="120"/>
              <w:bottom w:type="dxa" w:w="100"/>
              <w:right w:type="dxa" w:w="120"/>
            </w:tcMar>
            <w:vAlign w:val="center"/>
          </w:tcPr>
          <w:p>
            <w:pPr>
              <w:jc w:val="left"/>
            </w:pPr>
            <w:r>
              <w:rPr>
                <w:b w:val="false"/>
                <w:bCs w:val="false"/>
                <w:color w:val="222222"/>
                <w:sz w:val="19"/>
                <w:szCs w:val="19"/>
              </w:rPr>
              <w:t xml:space="preserve">Compliance Department</w:t>
            </w:r>
          </w:p>
        </w:tc>
        <w:tc>
          <w:tcPr>
            <w:tcW w:type="auto" w:w="0"/>
            <w:tcMar>
              <w:top w:type="dxa" w:w="100"/>
              <w:left w:type="dxa" w:w="120"/>
              <w:bottom w:type="dxa" w:w="100"/>
              <w:right w:type="dxa" w:w="120"/>
            </w:tcMar>
            <w:vAlign w:val="center"/>
          </w:tcPr>
          <w:p>
            <w:pPr>
              <w:jc w:val="center"/>
            </w:pPr>
            <w:r>
              <w:rPr>
                <w:b w:val="false"/>
                <w:bCs w:val="false"/>
                <w:color w:val="222222"/>
                <w:sz w:val="19"/>
                <w:szCs w:val="19"/>
              </w:rPr>
              <w:t xml:space="preserve">Ensure fair lending practices across income and occupation groups</w:t>
            </w:r>
          </w:p>
        </w:tc>
      </w:tr>
    </w:tbl>
    <w:p>
      <w:r>
        <w:br w:type="page"/>
      </w:r>
    </w:p>
    <w:p>
      <w:pPr>
        <w:pStyle w:val="Heading1"/>
        <w:pBdr>
          <w:bottom w:val="single" w:color="0B1F3A" w:sz="8" w:space="4"/>
        </w:pBdr>
        <w:spacing w:after="160" w:before="360"/>
      </w:pPr>
      <w:r>
        <w:rPr>
          <w:b/>
          <w:bCs/>
          <w:color w:val="0B1F3A"/>
          <w:sz w:val="30"/>
          <w:szCs w:val="30"/>
        </w:rPr>
        <w:t xml:space="preserve">5. Scope</w:t>
      </w:r>
    </w:p>
    <w:p>
      <w:pPr>
        <w:pStyle w:val="Heading2"/>
        <w:spacing w:after="120" w:before="280"/>
      </w:pPr>
      <w:r>
        <w:rPr>
          <w:b/>
          <w:bCs/>
          <w:color w:val="1A73E8"/>
          <w:sz w:val="24"/>
          <w:szCs w:val="24"/>
        </w:rPr>
        <w:t xml:space="preserve">In scope</w:t>
      </w:r>
    </w:p>
    <w:p>
      <w:pPr>
        <w:pStyle w:val="ListParagraph"/>
        <w:numPr>
          <w:ilvl w:val="0"/>
          <w:numId w:val="2"/>
        </w:numPr>
        <w:spacing w:after="80"/>
      </w:pPr>
      <w:r>
        <w:t xml:space="preserve"/>
      </w:r>
      <w:r>
        <w:rPr>
          <w:color w:val="222222"/>
          <w:sz w:val="21"/>
          <w:szCs w:val="21"/>
        </w:rPr>
        <w:t xml:space="preserve">40,959 customer records across 28 attributes (income, debt, interest rate, delay days, EMI, credit mix, payment behaviour, occupation, age).</w:t>
      </w:r>
    </w:p>
    <w:p>
      <w:pPr>
        <w:pStyle w:val="ListParagraph"/>
        <w:numPr>
          <w:ilvl w:val="0"/>
          <w:numId w:val="2"/>
        </w:numPr>
        <w:spacing w:after="80"/>
      </w:pPr>
      <w:r>
        <w:t xml:space="preserve"/>
      </w:r>
      <w:r>
        <w:rPr>
          <w:color w:val="222222"/>
          <w:sz w:val="21"/>
          <w:szCs w:val="21"/>
        </w:rPr>
        <w:t xml:space="preserve">Six dashboard pages: Dashboard Insights, Overview, Credit Analysis, Risk &amp; Debt, Customer Behaviour, and Income Analysis / Payment Behaviour Analysis.</w:t>
      </w:r>
    </w:p>
    <w:p>
      <w:pPr>
        <w:pStyle w:val="ListParagraph"/>
        <w:numPr>
          <w:ilvl w:val="0"/>
          <w:numId w:val="2"/>
        </w:numPr>
        <w:spacing w:after="80"/>
      </w:pPr>
      <w:r>
        <w:t xml:space="preserve"/>
      </w:r>
      <w:r>
        <w:rPr>
          <w:color w:val="222222"/>
          <w:sz w:val="21"/>
          <w:szCs w:val="21"/>
        </w:rPr>
        <w:t xml:space="preserve">Segmentation by credit score tier (Good / Standard / Poor), age group, income bracket, occupation, and payment-behaviour type.</w:t>
      </w:r>
    </w:p>
    <w:p>
      <w:pPr>
        <w:pStyle w:val="Heading2"/>
        <w:spacing w:after="120" w:before="280"/>
      </w:pPr>
      <w:r>
        <w:rPr>
          <w:b/>
          <w:bCs/>
          <w:color w:val="1A73E8"/>
          <w:sz w:val="24"/>
          <w:szCs w:val="24"/>
        </w:rPr>
        <w:t xml:space="preserve">Out of scope</w:t>
      </w:r>
    </w:p>
    <w:p>
      <w:pPr>
        <w:pStyle w:val="ListParagraph"/>
        <w:numPr>
          <w:ilvl w:val="0"/>
          <w:numId w:val="2"/>
        </w:numPr>
        <w:spacing w:after="80"/>
      </w:pPr>
      <w:r>
        <w:t xml:space="preserve"/>
      </w:r>
      <w:r>
        <w:rPr>
          <w:color w:val="222222"/>
          <w:sz w:val="21"/>
          <w:szCs w:val="21"/>
        </w:rPr>
        <w:t xml:space="preserve">Real-time transaction-level fraud scoring or automated blocking of transactions.</w:t>
      </w:r>
    </w:p>
    <w:p>
      <w:pPr>
        <w:pStyle w:val="ListParagraph"/>
        <w:numPr>
          <w:ilvl w:val="0"/>
          <w:numId w:val="2"/>
        </w:numPr>
        <w:spacing w:after="80"/>
      </w:pPr>
      <w:r>
        <w:t xml:space="preserve"/>
      </w:r>
      <w:r>
        <w:rPr>
          <w:color w:val="222222"/>
          <w:sz w:val="21"/>
          <w:szCs w:val="21"/>
        </w:rPr>
        <w:t xml:space="preserve">Integration with the loan origination system (identified as a future recommendation, not part of this phase).</w:t>
      </w:r>
    </w:p>
    <w:p>
      <w:pPr>
        <w:pStyle w:val="ListParagraph"/>
        <w:numPr>
          <w:ilvl w:val="0"/>
          <w:numId w:val="2"/>
        </w:numPr>
        <w:spacing w:after="80"/>
      </w:pPr>
      <w:r>
        <w:t xml:space="preserve"/>
      </w:r>
      <w:r>
        <w:rPr>
          <w:color w:val="222222"/>
          <w:sz w:val="21"/>
          <w:szCs w:val="21"/>
        </w:rPr>
        <w:t xml:space="preserve">Predictive modelling / machine learning credit scoring — this dashboard is descriptive and diagnostic, not predictive.</w:t>
      </w:r>
    </w:p>
    <w:p>
      <w:r>
        <w:br w:type="page"/>
      </w:r>
    </w:p>
    <w:p>
      <w:pPr>
        <w:pStyle w:val="Heading1"/>
        <w:pBdr>
          <w:bottom w:val="single" w:color="0B1F3A" w:sz="8" w:space="4"/>
        </w:pBdr>
        <w:spacing w:after="160" w:before="360"/>
      </w:pPr>
      <w:r>
        <w:rPr>
          <w:b/>
          <w:bCs/>
          <w:color w:val="0B1F3A"/>
          <w:sz w:val="30"/>
          <w:szCs w:val="30"/>
        </w:rPr>
        <w:t xml:space="preserve">6. Success Criteria</w:t>
      </w:r>
    </w:p>
    <w:p>
      <w:pPr>
        <w:pStyle w:val="ListParagraph"/>
        <w:numPr>
          <w:ilvl w:val="0"/>
          <w:numId w:val="2"/>
        </w:numPr>
        <w:spacing w:after="80"/>
      </w:pPr>
      <w:r>
        <w:t xml:space="preserve"/>
      </w:r>
      <w:r>
        <w:rPr>
          <w:color w:val="222222"/>
          <w:sz w:val="21"/>
          <w:szCs w:val="21"/>
        </w:rPr>
        <w:t xml:space="preserve">Stakeholders can identify the size and characteristics of the high-risk (Poor credit) segment without manual querying.</w:t>
      </w:r>
    </w:p>
    <w:p>
      <w:pPr>
        <w:pStyle w:val="ListParagraph"/>
        <w:numPr>
          <w:ilvl w:val="0"/>
          <w:numId w:val="2"/>
        </w:numPr>
        <w:spacing w:after="80"/>
      </w:pPr>
      <w:r>
        <w:t xml:space="preserve"/>
      </w:r>
      <w:r>
        <w:rPr>
          <w:color w:val="222222"/>
          <w:sz w:val="21"/>
          <w:szCs w:val="21"/>
        </w:rPr>
        <w:t xml:space="preserve">The dashboard surfaces at least one clear, actionable behavioural fraud indicator (e.g. minimum-payment skipping) that can be used as a screening filter.</w:t>
      </w:r>
    </w:p>
    <w:p>
      <w:pPr>
        <w:pStyle w:val="ListParagraph"/>
        <w:numPr>
          <w:ilvl w:val="0"/>
          <w:numId w:val="2"/>
        </w:numPr>
        <w:spacing w:after="80"/>
      </w:pPr>
      <w:r>
        <w:t xml:space="preserve"/>
      </w:r>
      <w:r>
        <w:rPr>
          <w:color w:val="222222"/>
          <w:sz w:val="21"/>
          <w:szCs w:val="21"/>
        </w:rPr>
        <w:t xml:space="preserve">Credit risk drivers (income, debt, interest rate, delay days) are quantified by credit tier so underwriting policy can be adjusted with evidence.</w:t>
      </w:r>
    </w:p>
    <w:p>
      <w:pPr>
        <w:pStyle w:val="ListParagraph"/>
        <w:numPr>
          <w:ilvl w:val="0"/>
          <w:numId w:val="2"/>
        </w:numPr>
        <w:spacing w:after="80"/>
      </w:pPr>
      <w:r>
        <w:t xml:space="preserve"/>
      </w:r>
      <w:r>
        <w:rPr>
          <w:color w:val="222222"/>
          <w:sz w:val="21"/>
          <w:szCs w:val="21"/>
        </w:rPr>
        <w:t xml:space="preserve">Age-based and occupation-based risk patterns are visible enough to support differentiated underwriting rules.</w:t>
      </w:r>
    </w:p>
    <w:p>
      <w:r>
        <w:br w:type="page"/>
      </w:r>
    </w:p>
    <w:p>
      <w:pPr>
        <w:pStyle w:val="Heading1"/>
        <w:pBdr>
          <w:bottom w:val="single" w:color="0B1F3A" w:sz="8" w:space="4"/>
        </w:pBdr>
        <w:spacing w:after="160" w:before="360"/>
      </w:pPr>
      <w:r>
        <w:rPr>
          <w:b/>
          <w:bCs/>
          <w:color w:val="0B1F3A"/>
          <w:sz w:val="30"/>
          <w:szCs w:val="30"/>
        </w:rPr>
        <w:t xml:space="preserve">7. Key Business Questions This Dashboard Must Answer</w:t>
      </w:r>
    </w:p>
    <w:p>
      <w:pPr>
        <w:pStyle w:val="ListParagraph"/>
        <w:numPr>
          <w:ilvl w:val="0"/>
          <w:numId w:val="2"/>
        </w:numPr>
        <w:spacing w:after="80"/>
      </w:pPr>
      <w:r>
        <w:t xml:space="preserve"/>
      </w:r>
      <w:r>
        <w:rPr>
          <w:color w:val="222222"/>
          <w:sz w:val="21"/>
          <w:szCs w:val="21"/>
        </w:rPr>
        <w:t xml:space="preserve">What share of the customer portfolio falls into each credit tier, and how large is the high-risk segment in absolute terms?</w:t>
      </w:r>
    </w:p>
    <w:p>
      <w:pPr>
        <w:pStyle w:val="ListParagraph"/>
        <w:numPr>
          <w:ilvl w:val="0"/>
          <w:numId w:val="2"/>
        </w:numPr>
        <w:spacing w:after="80"/>
      </w:pPr>
      <w:r>
        <w:t xml:space="preserve"/>
      </w:r>
      <w:r>
        <w:rPr>
          <w:color w:val="222222"/>
          <w:sz w:val="21"/>
          <w:szCs w:val="21"/>
        </w:rPr>
        <w:t xml:space="preserve">How much more debt, interest, and payment delay does a Poor-credit customer carry compared to a Good-credit customer?</w:t>
      </w:r>
    </w:p>
    <w:p>
      <w:pPr>
        <w:pStyle w:val="ListParagraph"/>
        <w:numPr>
          <w:ilvl w:val="0"/>
          <w:numId w:val="2"/>
        </w:numPr>
        <w:spacing w:after="80"/>
      </w:pPr>
      <w:r>
        <w:t xml:space="preserve"/>
      </w:r>
      <w:r>
        <w:rPr>
          <w:color w:val="222222"/>
          <w:sz w:val="21"/>
          <w:szCs w:val="21"/>
        </w:rPr>
        <w:t xml:space="preserve">Which single behavioural metric is the strongest predictor of default or fraud risk?</w:t>
      </w:r>
    </w:p>
    <w:p>
      <w:pPr>
        <w:pStyle w:val="ListParagraph"/>
        <w:numPr>
          <w:ilvl w:val="0"/>
          <w:numId w:val="2"/>
        </w:numPr>
        <w:spacing w:after="80"/>
      </w:pPr>
      <w:r>
        <w:t xml:space="preserve"/>
      </w:r>
      <w:r>
        <w:rPr>
          <w:color w:val="222222"/>
          <w:sz w:val="21"/>
          <w:szCs w:val="21"/>
        </w:rPr>
        <w:t xml:space="preserve">Does age or occupation meaningfully change a customer's credit risk profile?</w:t>
      </w:r>
    </w:p>
    <w:p>
      <w:pPr>
        <w:pStyle w:val="ListParagraph"/>
        <w:numPr>
          <w:ilvl w:val="0"/>
          <w:numId w:val="2"/>
        </w:numPr>
        <w:spacing w:after="80"/>
      </w:pPr>
      <w:r>
        <w:t xml:space="preserve"/>
      </w:r>
      <w:r>
        <w:rPr>
          <w:color w:val="222222"/>
          <w:sz w:val="21"/>
          <w:szCs w:val="21"/>
        </w:rPr>
        <w:t xml:space="preserve">Which customer segments should be prioritised for enhanced due diligence, collections outreach, or tiered interest pricing?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i/>
        <w:iCs/>
        <w:color w:val="595959"/>
        <w:sz w:val="16"/>
        <w:szCs w:val="16"/>
      </w:rPr>
      <w:t xml:space="preserve">Bank Fraud Risk Analysis Dashboard —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2026-09-09T05:54:57.342Z</dcterms:created>
  <dcterms:modified xsi:type="dcterms:W3CDTF">2026-09-09T05:54:57.353Z</dcterms:modified>
</cp:coreProperties>
</file>

<file path=docProps/custom.xml><?xml version="1.0" encoding="utf-8"?>
<Properties xmlns="http://schemas.openxmlformats.org/officeDocument/2006/custom-properties" xmlns:vt="http://schemas.openxmlformats.org/officeDocument/2006/docPropsVTypes"/>
</file>