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4E79"/>
          <w:sz w:val="60"/>
          <w:szCs w:val="60"/>
        </w:rPr>
        <w:t xml:space="preserve">FeatureForge</w:t>
      </w:r>
    </w:p>
    <w:p>
      <w:pPr>
        <w:spacing w:after="240"/>
        <w:jc w:val="center"/>
      </w:pPr>
      <w:r>
        <w:rPr>
          <w:color w:val="595959"/>
          <w:sz w:val="30"/>
          <w:szCs w:val="30"/>
        </w:rPr>
        <w:t xml:space="preserve">Guardrailed Intent-to-Feature for Vecta KMS</w:t>
      </w:r>
    </w:p>
    <w:p>
      <w:pPr>
        <w:spacing w:after="80"/>
        <w:jc w:val="center"/>
      </w:pPr>
      <w:r>
        <w:rPr>
          <w:b/>
          <w:bCs/>
          <w:sz w:val="24"/>
          <w:szCs w:val="24"/>
        </w:rPr>
        <w:t xml:space="preserve">Architecture Design &amp; Rollout Plan</w:t>
      </w:r>
    </w:p>
    <w:p>
      <w:pPr>
        <w:spacing w:after="80"/>
        <w:jc w:val="center"/>
      </w:pPr>
      <w:r>
        <w:rPr>
          <w:color w:val="595959"/>
          <w:sz w:val="20"/>
          <w:szCs w:val="20"/>
        </w:rPr>
        <w:t xml:space="preserve">Prepared for: Nishant  |  Status: Design + working prototype</w:t>
      </w:r>
    </w:p>
    <w:p>
      <w:pPr>
        <w:jc w:val="center"/>
      </w:pPr>
      <w:r>
        <w:rPr>
          <w:color w:val="595959"/>
          <w:sz w:val="20"/>
          <w:szCs w:val="20"/>
        </w:rPr>
        <w:t xml:space="preserve">June 2026</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pPr>
      <w:r>
        <w:t xml:space="preserve">You want the Siri-AI / browser-extension experience inside Vecta KMS: a user types the feature they want, and the platform builds, tests, develops, and deploys it - guardrailed, with validation on your side. This document adapts that idea to the reality of a </w:t>
      </w:r>
      <w:r>
        <w:rPr>
          <w:b/>
          <w:bCs/>
        </w:rPr>
        <w:t xml:space="preserve">key-management system</w:t>
      </w:r>
      <w:r>
        <w:t xml:space="preserve">, where auto-generating and deploying code is a security event, not a convenience.</w:t>
      </w:r>
    </w:p>
    <w:p>
      <w:pPr>
        <w:spacing w:after="120"/>
      </w:pPr>
      <w:r>
        <w:t xml:space="preserve">The core recommendation is to </w:t>
      </w:r>
      <w:r>
        <w:rPr>
          <w:b/>
          <w:bCs/>
        </w:rPr>
        <w:t xml:space="preserve">split the capability into two modes with different risk profiles</w:t>
      </w:r>
      <w:r>
        <w:t xml:space="preserve">, and to put every request through a fixed six-layer guardrail pipeline that reuses your existing </w:t>
      </w:r>
      <w:r>
        <w:rPr>
          <w:b/>
          <w:bCs/>
        </w:rPr>
        <w:t xml:space="preserve">policy</w:t>
      </w:r>
      <w:r>
        <w:t xml:space="preserve">, </w:t>
      </w:r>
      <w:r>
        <w:rPr>
          <w:b/>
          <w:bCs/>
        </w:rPr>
        <w:t xml:space="preserve">governance</w:t>
      </w:r>
      <w:r>
        <w:t xml:space="preserve">, and </w:t>
      </w:r>
      <w:r>
        <w:rPr>
          <w:b/>
          <w:bCs/>
        </w:rPr>
        <w:t xml:space="preserve">audit</w:t>
      </w:r>
      <w:r>
        <w:t xml:space="preserve"> services. Nothing reaches production without passing all six layers, and there is no code path from intake to prod - prod is a separate, explicitly governed step.</w:t>
      </w:r>
    </w:p>
    <w:p>
      <w:pPr>
        <w:spacing w:after="120"/>
      </w:pPr>
      <w:r>
        <w:rPr>
          <w:b/>
          <w:bCs/>
        </w:rPr>
        <w:t xml:space="preserve">Config mode </w:t>
      </w:r>
      <w:r>
        <w:t xml:space="preserve">(safe, automatable): an admin types an intent like </w:t>
      </w:r>
      <w:r>
        <w:rPr>
          <w:i/>
          <w:iCs/>
        </w:rPr>
        <w:t xml:space="preserve">"block RSA-1024"</w:t>
      </w:r>
      <w:r>
        <w:t xml:space="preserve">. An LLM only classifies the intent and fills a schema for a </w:t>
      </w:r>
      <w:r>
        <w:rPr>
          <w:b/>
          <w:bCs/>
        </w:rPr>
        <w:t xml:space="preserve">fixed, allow-listed action</w:t>
      </w:r>
      <w:r>
        <w:t xml:space="preserve">. It never writes code. The bounded outcome space makes auto-to-staging and gated-to-prod genuinely safe.</w:t>
      </w:r>
    </w:p>
    <w:p>
      <w:pPr>
        <w:spacing w:after="120"/>
      </w:pPr>
      <w:r>
        <w:rPr>
          <w:b/>
          <w:bCs/>
        </w:rPr>
        <w:t xml:space="preserve">Scaffold mode </w:t>
      </w:r>
      <w:r>
        <w:t xml:space="preserve">(assisted, never autonomous to prod): an engineer types a feature like </w:t>
      </w:r>
      <w:r>
        <w:rPr>
          <w:i/>
          <w:iCs/>
        </w:rPr>
        <w:t xml:space="preserve">"add an EdDSA signing endpoint"</w:t>
      </w:r>
      <w:r>
        <w:t xml:space="preserve">. The system scaffolds code in your conventions, opens a branch/PR, runs the test suite in a sandbox, and deploys to </w:t>
      </w:r>
      <w:r>
        <w:rPr>
          <w:b/>
          <w:bCs/>
        </w:rPr>
        <w:t xml:space="preserve">staging only</w:t>
      </w:r>
      <w:r>
        <w:t xml:space="preserve">. Promotion to prod is always a human + governance-quorum decision.</w:t>
      </w:r>
    </w:p>
    <w:p>
      <w:pPr>
        <w:spacing w:after="120"/>
      </w:pPr>
      <w:r>
        <w:t xml:space="preserve">A runnable Go prototype accompanies this document. It implements the full pipeline with the two modes, passes </w:t>
      </w:r>
      <w:r>
        <w:rPr>
          <w:b/>
          <w:bCs/>
        </w:rPr>
        <w:t xml:space="preserve">9 unit tests</w:t>
      </w:r>
      <w:r>
        <w:t xml:space="preserve">, and ships as a service in your existing layout (handler/service/types/migrations/Dockerfile).</w:t>
      </w:r>
    </w:p>
    <w:p>
      <w:pPr>
        <w:pStyle w:val="Heading1"/>
      </w:pPr>
      <w:r>
        <w:t xml:space="preserve">2. Why Not "AI Writes Code and Deploys It"</w:t>
      </w:r>
    </w:p>
    <w:p>
      <w:pPr>
        <w:spacing w:after="120"/>
      </w:pPr>
      <w:r>
        <w:t xml:space="preserve">The browser-extension version of this idea is low-stakes: the worst case is a broken extension in one user's browser. In a KMS the same pattern is a direct attack surface. It is worth being explicit about the risks so the design choices make sense.</w:t>
      </w:r>
    </w:p>
    <w:p>
      <w:pPr>
        <w:pStyle w:val="ListParagraph"/>
        <w:numPr>
          <w:ilvl w:val="0"/>
          <w:numId w:val="2"/>
        </w:numPr>
        <w:spacing w:after="60"/>
      </w:pPr>
      <w:r>
        <w:rPr>
          <w:b/>
          <w:bCs/>
        </w:rPr>
        <w:t xml:space="preserve">Remote code execution by design. </w:t>
      </w:r>
      <w:r>
        <w:t xml:space="preserve">"Type text -&gt; generate code -&gt; run it in the KMS" is, structurally, an RCE pipeline. A crafted intent (prompt injection) could try to coax the model into generating code that exfiltrates key material or weakens crypto policy.</w:t>
      </w:r>
    </w:p>
    <w:p>
      <w:pPr>
        <w:pStyle w:val="ListParagraph"/>
        <w:numPr>
          <w:ilvl w:val="0"/>
          <w:numId w:val="2"/>
        </w:numPr>
        <w:spacing w:after="60"/>
      </w:pPr>
      <w:r>
        <w:rPr>
          <w:b/>
          <w:bCs/>
        </w:rPr>
        <w:t xml:space="preserve">Supply-chain / integrity risk. </w:t>
      </w:r>
      <w:r>
        <w:t xml:space="preserve">Auto-merged, auto-deployed code bypasses the review and provenance controls that a KMS is supposed to enforce on everything else. It undermines your own signing and posture story.</w:t>
      </w:r>
    </w:p>
    <w:p>
      <w:pPr>
        <w:pStyle w:val="ListParagraph"/>
        <w:numPr>
          <w:ilvl w:val="0"/>
          <w:numId w:val="2"/>
        </w:numPr>
        <w:spacing w:after="60"/>
      </w:pPr>
      <w:r>
        <w:rPr>
          <w:b/>
          <w:bCs/>
        </w:rPr>
        <w:t xml:space="preserve">Blast radius. </w:t>
      </w:r>
      <w:r>
        <w:t xml:space="preserve">A single bad change to keycore or policy can affect every tenant's cryptographic operations simultaneously. This is the opposite of an isolated browser extension.</w:t>
      </w:r>
    </w:p>
    <w:p>
      <w:pPr>
        <w:pStyle w:val="ListParagraph"/>
        <w:numPr>
          <w:ilvl w:val="0"/>
          <w:numId w:val="2"/>
        </w:numPr>
        <w:spacing w:after="60"/>
      </w:pPr>
      <w:r>
        <w:rPr>
          <w:b/>
          <w:bCs/>
        </w:rPr>
        <w:t xml:space="preserve">Compliance. </w:t>
      </w:r>
      <w:r>
        <w:t xml:space="preserve">Frameworks you already score against (PCI DSS, FIPS, NIST 800-57) expect change control, separation of duties, and evidence. Fully autonomous deploy breaks all three.</w:t>
      </w:r>
    </w:p>
    <w:p>
      <w:pPr>
        <w:spacing w:after="120"/>
      </w:pPr>
      <w:r>
        <w:t xml:space="preserve">The design below keeps the magical UX - type what you want, the platform does the rest - while making the autonomous part operate only inside a bounded, reviewed, audited envelope.</w:t>
      </w:r>
    </w:p>
    <w:p>
      <w:pPr>
        <w:pStyle w:val="Heading1"/>
      </w:pPr>
      <w:r>
        <w:t xml:space="preserve">3. Two Modes, Two Risk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Dimension</w:t>
            </w:r>
          </w:p>
        </w:tc>
        <w:tc>
          <w:tcPr>
            <w:tcW w:type="dxa" w:w="338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Config mode</w:t>
            </w:r>
          </w:p>
        </w:tc>
        <w:tc>
          <w:tcPr>
            <w:tcW w:type="dxa" w:w="338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Scaffold mode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Primary user</w:t>
            </w:r>
          </w:p>
        </w:tc>
        <w:tc>
          <w:tcPr>
            <w:tcW w:type="dxa" w:w="33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KMS admins</w:t>
            </w:r>
          </w:p>
        </w:tc>
        <w:tc>
          <w:tcPr>
            <w:tcW w:type="dxa" w:w="33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Your engineers</w:t>
            </w:r>
          </w:p>
        </w:tc>
      </w:tr>
      <w:tr>
        <w:tc>
          <w:tcPr>
            <w:tcW w:type="dxa" w:w="26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Input example</w:t>
            </w:r>
          </w:p>
        </w:tc>
        <w:tc>
          <w:tcPr>
            <w:tcW w:type="dxa" w:w="338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"block RSA-1024 for tenant X"</w:t>
            </w:r>
          </w:p>
        </w:tc>
        <w:tc>
          <w:tcPr>
            <w:tcW w:type="dxa" w:w="338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"add an EdDSA signing endpoint"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What the LLM does</w:t>
            </w:r>
          </w:p>
        </w:tc>
        <w:tc>
          <w:tcPr>
            <w:tcW w:type="dxa" w:w="33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Classify + fill a schema</w:t>
            </w:r>
          </w:p>
        </w:tc>
        <w:tc>
          <w:tcPr>
            <w:tcW w:type="dxa" w:w="33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Scaffold code in repo conventions</w:t>
            </w:r>
          </w:p>
        </w:tc>
      </w:tr>
      <w:tr>
        <w:tc>
          <w:tcPr>
            <w:tcW w:type="dxa" w:w="26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Output</w:t>
            </w:r>
          </w:p>
        </w:tc>
        <w:tc>
          <w:tcPr>
            <w:tcW w:type="dxa" w:w="338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Structured action from a fixed catalog</w:t>
            </w:r>
          </w:p>
        </w:tc>
        <w:tc>
          <w:tcPr>
            <w:tcW w:type="dxa" w:w="338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Branch / PR: service, handler, proto, migration, tests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Can it write code?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No</w:t>
            </w:r>
          </w:p>
        </w:tc>
        <w:tc>
          <w:tcPr>
            <w:tcW w:type="dxa" w:w="33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Yes (into a branch, sandboxed)</w:t>
            </w:r>
          </w:p>
        </w:tc>
      </w:tr>
      <w:tr>
        <w:tc>
          <w:tcPr>
            <w:tcW w:type="dxa" w:w="26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Auto to staging</w:t>
            </w:r>
          </w:p>
        </w:tc>
        <w:tc>
          <w:tcPr>
            <w:tcW w:type="dxa" w:w="338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Yes</w:t>
            </w:r>
          </w:p>
        </w:tc>
        <w:tc>
          <w:tcPr>
            <w:tcW w:type="dxa" w:w="338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Yes (after build + tests pass)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To production</w:t>
            </w:r>
          </w:p>
        </w:tc>
        <w:tc>
          <w:tcPr>
            <w:tcW w:type="dxa" w:w="33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Auto if low-risk; quorum if sensitive</w:t>
            </w:r>
          </w:p>
        </w:tc>
        <w:tc>
          <w:tcPr>
            <w:tcW w:type="dxa" w:w="338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Always human + governance quorum</w:t>
            </w:r>
          </w:p>
        </w:tc>
      </w:tr>
      <w:tr>
        <w:tc>
          <w:tcPr>
            <w:tcW w:type="dxa" w:w="26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Worst-case blast</w:t>
            </w:r>
          </w:p>
        </w:tc>
        <w:tc>
          <w:tcPr>
            <w:tcW w:type="dxa" w:w="338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Bounded by catalog</w:t>
            </w:r>
          </w:p>
        </w:tc>
        <w:tc>
          <w:tcPr>
            <w:tcW w:type="dxa" w:w="338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Bounded by review + CI + staging wall</w:t>
            </w:r>
          </w:p>
        </w:tc>
      </w:tr>
    </w:tbl>
    <w:p>
      <w:pPr>
        <w:spacing w:after="60"/>
      </w:pPr>
      <w:r>
        <w:t xml:space="preserve"/>
      </w:r>
    </w:p>
    <w:p>
      <w:pPr>
        <w:spacing w:after="120"/>
      </w:pPr>
      <w:r>
        <w:rPr>
          <w:b/>
          <w:bCs/>
        </w:rPr>
        <w:t xml:space="preserve">Why this split is the whole trick: </w:t>
      </w:r>
      <w:r>
        <w:t xml:space="preserve">config mode is safe to automate because the universe of outcomes is finite and pre-reviewed (the catalog). Scaffold mode is unbounded, so it is never trusted to reach prod on its own - the guardrail there is the staging wall, CI, and human review, not the model.</w:t>
      </w:r>
    </w:p>
    <w:p>
      <w:pPr>
        <w:pStyle w:val="Heading1"/>
      </w:pPr>
      <w:r>
        <w:t xml:space="preserve">4. The Six-Layer Guardrail Pipeline</w:t>
      </w:r>
    </w:p>
    <w:p>
      <w:pPr>
        <w:spacing w:after="120"/>
      </w:pPr>
      <w:r>
        <w:t xml:space="preserve">Every intent - in either mode - passes through the same ordered pipeline. Failing any layer halts progression and is audited. This is what makes "it should work flawlessly" a property of the system rather than a hope about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360"/>
        <w:gridCol w:w="2000"/>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Layer</w:t>
            </w:r>
          </w:p>
        </w:tc>
        <w:tc>
          <w:tcPr>
            <w:tcW w:type="dxa" w:w="53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What it does</w:t>
            </w:r>
          </w:p>
        </w:tc>
        <w:tc>
          <w:tcPr>
            <w:tcW w:type="dxa" w:w="20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Backed by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Classify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Raw text -&gt; mode + catalog action + params. Treated as UNTRUSTED output.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LLM (constrained JSON) / keyword classifier in PoC</w:t>
            </w:r>
          </w:p>
        </w:tc>
      </w:tr>
      <w:tr>
        <w:tc>
          <w:tcPr>
            <w:tcW w:type="dxa" w:w="5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2</w:t>
            </w:r>
          </w:p>
        </w:tc>
        <w:tc>
          <w:tcPr>
            <w:tcW w:type="dxa" w:w="15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Validate</w:t>
            </w:r>
          </w:p>
        </w:tc>
        <w:tc>
          <w:tcPr>
            <w:tcW w:type="dxa" w:w="536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Confidence floor + JSON schema + required-param + catalog allow-list check.</w:t>
            </w:r>
          </w:p>
        </w:tc>
        <w:tc>
          <w:tcPr>
            <w:tcW w:type="dxa" w:w="20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FeatureForge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Policy</w:t>
            </w:r>
          </w:p>
        </w:tc>
        <w:tc>
          <w:tcPr>
            <w:tcW w:type="dxa" w:w="5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Resolved action must be permitted for the tenant; refuses risk-raising changes.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Existing policy service</w:t>
            </w:r>
          </w:p>
        </w:tc>
      </w:tr>
      <w:tr>
        <w:tc>
          <w:tcPr>
            <w:tcW w:type="dxa" w:w="5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4</w:t>
            </w:r>
          </w:p>
        </w:tc>
        <w:tc>
          <w:tcPr>
            <w:tcW w:type="dxa" w:w="15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Dry-run / Test</w:t>
            </w:r>
          </w:p>
        </w:tc>
        <w:tc>
          <w:tcPr>
            <w:tcW w:type="dxa" w:w="536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Config: dry-run with no writes. Scaffold: build + run full test suite in sandbox.</w:t>
            </w:r>
          </w:p>
        </w:tc>
        <w:tc>
          <w:tcPr>
            <w:tcW w:type="dxa" w:w="20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Sandbox / CI runner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Stage</w:t>
            </w:r>
          </w:p>
        </w:tc>
        <w:tc>
          <w:tcPr>
            <w:tcW w:type="dxa" w:w="5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Apply to the staging environment automatically.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Deployment pipeline</w:t>
            </w:r>
          </w:p>
        </w:tc>
      </w:tr>
      <w:tr>
        <w:tc>
          <w:tcPr>
            <w:tcW w:type="dxa" w:w="5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6</w:t>
            </w:r>
          </w:p>
        </w:tc>
        <w:tc>
          <w:tcPr>
            <w:tcW w:type="dxa" w:w="15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Governance gate</w:t>
            </w:r>
          </w:p>
        </w:tc>
        <w:tc>
          <w:tcPr>
            <w:tcW w:type="dxa" w:w="536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Quorum approval required before prod for sensitive / all scaffold changes.</w:t>
            </w:r>
          </w:p>
        </w:tc>
        <w:tc>
          <w:tcPr>
            <w:tcW w:type="dxa" w:w="20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Existing governance service</w:t>
            </w:r>
          </w:p>
        </w:tc>
      </w:tr>
    </w:tbl>
    <w:p>
      <w:pPr>
        <w:spacing w:after="60"/>
      </w:pPr>
      <w:r>
        <w:t xml:space="preserve"/>
      </w:r>
    </w:p>
    <w:p>
      <w:pPr>
        <w:spacing w:after="120"/>
      </w:pPr>
      <w:r>
        <w:rPr>
          <w:b/>
          <w:bCs/>
        </w:rPr>
        <w:t xml:space="preserve">Audit everywhere. </w:t>
      </w:r>
      <w:r>
        <w:t xml:space="preserve">Each layer emits a tamper-evident event to your </w:t>
      </w:r>
      <w:r>
        <w:rPr>
          <w:b/>
          <w:bCs/>
        </w:rPr>
        <w:t xml:space="preserve">audit</w:t>
      </w:r>
      <w:r>
        <w:t xml:space="preserve"> service: received, classified, validated, policy_ok, dryrun_ok/tested_ok, staged, awaiting_prod, deployed_prod, or rejected. The result is a complete, inspectable trail for every intent - exactly the evidence your compliance and posture services already expect.</w:t>
      </w:r>
    </w:p>
    <w:p>
      <w:pPr>
        <w:spacing w:after="120"/>
      </w:pPr>
      <w:r>
        <w:rPr>
          <w:b/>
          <w:bCs/>
        </w:rPr>
        <w:t xml:space="preserve">The staging wall, in code. </w:t>
      </w:r>
      <w:r>
        <w:t xml:space="preserve">In the prototype, the intake call (Submit) physically cannot reach prod; it stops at "staged." Production is only reachable through a separate PromoteToProd call that opens a governance approval. This is the "auto-to-staging, gated-to-prod" guarantee expressed as a code-level invariant, not a policy document.</w:t>
      </w:r>
    </w:p>
    <w:p>
      <w:pPr>
        <w:pStyle w:val="Heading2"/>
      </w:pPr>
      <w:r>
        <w:t xml:space="preserve">4.1 Flow at a glance</w:t>
      </w:r>
    </w:p>
    <w:p>
      <w:pPr>
        <w:shd w:fill="F2F2F2" w:val="clear"/>
        <w:spacing w:after="120" w:before="60"/>
      </w:pPr>
      <w:r>
        <w:rPr>
          <w:rFonts w:ascii="Consolas" w:cs="Consolas" w:eastAsia="Consolas" w:hAnsi="Consolas"/>
          <w:sz w:val="18"/>
          <w:szCs w:val="18"/>
        </w:rPr>
        <w:t xml:space="preserve">intent  -&gt;  [1 classify]  -&gt;  [2 validate]  -&gt;  [3 policy]  -&gt;  [4 dry-run/test]</w:t>
      </w:r>
    </w:p>
    <w:p>
      <w:pPr>
        <w:shd w:fill="F2F2F2" w:val="clear"/>
        <w:spacing w:after="120" w:before="60"/>
      </w:pPr>
      <w:r>
        <w:rPr>
          <w:rFonts w:ascii="Consolas" w:cs="Consolas" w:eastAsia="Consolas" w:hAnsi="Consolas"/>
          <w:sz w:val="18"/>
          <w:szCs w:val="18"/>
        </w:rPr>
        <w:t xml:space="preserve">        -&gt;  [5 STAGING apply]   ==== staging wall ====</w:t>
      </w:r>
    </w:p>
    <w:p>
      <w:pPr>
        <w:shd w:fill="F2F2F2" w:val="clear"/>
        <w:spacing w:after="120" w:before="60"/>
      </w:pPr>
      <w:r>
        <w:rPr>
          <w:rFonts w:ascii="Consolas" w:cs="Consolas" w:eastAsia="Consolas" w:hAnsi="Consolas"/>
          <w:sz w:val="18"/>
          <w:szCs w:val="18"/>
        </w:rPr>
        <w:t xml:space="preserve">PromoteToProd  -&gt;  [6 governance quorum]  -&gt;  PROD apply</w:t>
      </w:r>
    </w:p>
    <w:p>
      <w:pPr>
        <w:shd w:fill="F2F2F2" w:val="clear"/>
        <w:spacing w:after="120" w:before="60"/>
      </w:pPr>
      <w:r>
        <w:rPr>
          <w:rFonts w:ascii="Consolas" w:cs="Consolas" w:eastAsia="Consolas" w:hAnsi="Consolas"/>
          <w:sz w:val="18"/>
          <w:szCs w:val="18"/>
        </w:rPr>
        <w:t xml:space="preserve">any failure  -&gt;  rejected (audited)        every step  -&gt;  audit event</w:t>
      </w:r>
    </w:p>
    <w:p>
      <w:pPr>
        <w:pStyle w:val="Heading1"/>
      </w:pPr>
      <w:r>
        <w:t xml:space="preserve">5. How It Plugs Into Vecta KMS</w:t>
      </w:r>
    </w:p>
    <w:p>
      <w:pPr>
        <w:spacing w:after="120"/>
      </w:pPr>
      <w:r>
        <w:t xml:space="preserve">FeatureForge is a new service that orchestrates existing ones. It does not invent shadow lifecycles - it calls into the services that already own each concern, consistent with your architecture's trust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Existing service</w:t>
            </w:r>
          </w:p>
        </w:tc>
        <w:tc>
          <w:tcPr>
            <w:tcW w:type="dxa" w:w="67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Role in FeatureForge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policy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Layer 3. Evaluates whether a resolved action is permitted for the tenant. Refuses risk-raising changes (e.g. blocking a PQC algorithm).</w:t>
            </w:r>
          </w:p>
        </w:tc>
      </w:tr>
      <w:tr>
        <w:tc>
          <w:tcPr>
            <w:tcW w:type="dxa" w:w="26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governance</w:t>
            </w:r>
          </w:p>
        </w:tc>
        <w:tc>
          <w:tcPr>
            <w:tcW w:type="dxa" w:w="676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Layer 6. Opens quorum-bound approvals for prod promotion of sensitive or scaffold changes.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audit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Cross-cutting. Receives a tamper-evident event for every pipeline stage.</w:t>
            </w:r>
          </w:p>
        </w:tc>
      </w:tr>
      <w:tr>
        <w:tc>
          <w:tcPr>
            <w:tcW w:type="dxa" w:w="26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keycore</w:t>
            </w:r>
          </w:p>
        </w:tc>
        <w:tc>
          <w:tcPr>
            <w:tcW w:type="dxa" w:w="676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Target of many config actions (algorithm restrictions, min key sizes) and of scaffolded crypto endpoints.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autokey / certs / pqc</w:t>
            </w:r>
          </w:p>
        </w:tc>
        <w:tc>
          <w:tcPr>
            <w:tcW w:type="dxa" w:w="67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Additional catalog targets as the action catalog grows.</w:t>
            </w:r>
          </w:p>
        </w:tc>
      </w:tr>
      <w:tr>
        <w:tc>
          <w:tcPr>
            <w:tcW w:type="dxa" w:w="26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dashboard</w:t>
            </w:r>
          </w:p>
        </w:tc>
        <w:tc>
          <w:tcPr>
            <w:tcW w:type="dxa" w:w="676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Surfaces the "type a feature" box, the guardrail trail, the staging preview, and the prod-approval queue.</w:t>
            </w:r>
          </w:p>
        </w:tc>
      </w:tr>
    </w:tbl>
    <w:p>
      <w:pPr>
        <w:spacing w:after="60"/>
      </w:pPr>
      <w:r>
        <w:t xml:space="preserve"/>
      </w:r>
    </w:p>
    <w:p>
      <w:pPr>
        <w:spacing w:after="120"/>
      </w:pPr>
      <w:r>
        <w:rPr>
          <w:b/>
          <w:bCs/>
        </w:rPr>
        <w:t xml:space="preserve">Trust boundaries respected: </w:t>
      </w:r>
      <w:r>
        <w:t xml:space="preserve">the human operator boundary (admins authenticate via auth, sensitive changes appear in audit/governance), the crypto execution boundary (keycore remains the execution authority), and the evidence boundary (audit is source of truth) all remain intact.</w:t>
      </w:r>
    </w:p>
    <w:p>
      <w:pPr>
        <w:pStyle w:val="Heading1"/>
      </w:pPr>
      <w:r>
        <w:t xml:space="preserve">6. The Action Catalog (Config Mode's Safety Anchor)</w:t>
      </w:r>
    </w:p>
    <w:p>
      <w:pPr>
        <w:spacing w:after="120"/>
      </w:pPr>
      <w:r>
        <w:t xml:space="preserve">Config mode's safety comes from a fixed allow-list of actions. The LLM can only choose from this list and fill its declared parameters - it can never invent an action outside it. Extending the platform's self-service surface means adding a catalog entry AND an applier, both through normal code review.</w:t>
      </w:r>
    </w:p>
    <w:p>
      <w:pPr>
        <w:spacing w:after="120"/>
      </w:pPr>
      <w:r>
        <w:t xml:space="preserve">The prototype ships with four illustrative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360"/>
        <w:gridCol w:w="160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Action</w:t>
            </w:r>
          </w:p>
        </w:tc>
        <w:tc>
          <w:tcPr>
            <w:tcW w:type="dxa" w:w="436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Summary</w:t>
            </w:r>
          </w:p>
        </w:tc>
        <w:tc>
          <w:tcPr>
            <w:tcW w:type="dxa" w:w="16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tcPr>
          <w:p>
            <w:r>
              <w:rPr>
                <w:b/>
                <w:bCs/>
                <w:color w:val="FFFFFF"/>
                <w:sz w:val="19"/>
                <w:szCs w:val="19"/>
              </w:rPr>
              <w:t xml:space="preserve">Quorum for prod?</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policy.restrict_algorithm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Disallow a named algorithm (e.g. RSA-1024)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No</w:t>
            </w:r>
          </w:p>
        </w:tc>
      </w:tr>
      <w:tr>
        <w:tc>
          <w:tcPr>
            <w:tcW w:type="dxa" w:w="34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policy.require_approval_for</w:t>
            </w:r>
          </w:p>
        </w:tc>
        <w:tc>
          <w:tcPr>
            <w:tcW w:type="dxa" w:w="436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Require governance approval for an operation</w:t>
            </w:r>
          </w:p>
        </w:tc>
        <w:tc>
          <w:tcPr>
            <w:tcW w:type="dxa" w:w="16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Yes</w:t>
            </w:r>
          </w:p>
        </w:tc>
      </w:tr>
      <w:tr>
        <w:tc>
          <w:tcPr>
            <w:tcW w:type="dxa" w:w="34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policy.set_min_key_size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Set a minimum key size for a key type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tcPr>
          <w:p>
            <w:r>
              <w:rPr>
                <w:b w:val="false"/>
                <w:bCs w:val="false"/>
                <w:color w:val="000000"/>
                <w:sz w:val="19"/>
                <w:szCs w:val="19"/>
              </w:rPr>
              <w:t xml:space="preserve">No</w:t>
            </w:r>
          </w:p>
        </w:tc>
      </w:tr>
      <w:tr>
        <w:tc>
          <w:tcPr>
            <w:tcW w:type="dxa" w:w="34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pqc.enable_hybrid</w:t>
            </w:r>
          </w:p>
        </w:tc>
        <w:tc>
          <w:tcPr>
            <w:tcW w:type="dxa" w:w="436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Enable hybrid classical+PQC posture on an interface</w:t>
            </w:r>
          </w:p>
        </w:tc>
        <w:tc>
          <w:tcPr>
            <w:tcW w:type="dxa" w:w="1600"/>
            <w:tcBorders>
              <w:top w:val="single" w:color="CCCCCC" w:sz="1"/>
              <w:left w:val="single" w:color="CCCCCC" w:sz="1"/>
              <w:bottom w:val="single" w:color="CCCCCC" w:sz="1"/>
              <w:right w:val="single" w:color="CCCCCC" w:sz="1"/>
            </w:tcBorders>
            <w:shd w:fill="F7FBFD" w:val="clear"/>
            <w:tcMar>
              <w:top w:type="dxa" w:w="60"/>
              <w:left w:type="dxa" w:w="110"/>
              <w:bottom w:type="dxa" w:w="60"/>
              <w:right w:type="dxa" w:w="110"/>
            </w:tcMar>
          </w:tcPr>
          <w:p>
            <w:r>
              <w:rPr>
                <w:b w:val="false"/>
                <w:bCs w:val="false"/>
                <w:color w:val="000000"/>
                <w:sz w:val="19"/>
                <w:szCs w:val="19"/>
              </w:rPr>
              <w:t xml:space="preserve">Yes</w:t>
            </w:r>
          </w:p>
        </w:tc>
      </w:tr>
    </w:tbl>
    <w:p>
      <w:pPr>
        <w:pStyle w:val="Heading1"/>
      </w:pPr>
      <w:r>
        <w:t xml:space="preserve">7. The Working Prototype</w:t>
      </w:r>
    </w:p>
    <w:p>
      <w:pPr>
        <w:spacing w:after="120"/>
      </w:pPr>
      <w:r>
        <w:t xml:space="preserve">A runnable Go prototype accompanies this document, in your service layout. It implements the full pipeline, both modes, and in-memory stubs for policy / governance / audit / sandbox so it runs standalone.</w:t>
      </w:r>
    </w:p>
    <w:p>
      <w:pPr>
        <w:pStyle w:val="Heading3"/>
      </w:pPr>
      <w:r>
        <w:t xml:space="preserve">Files</w:t>
      </w:r>
    </w:p>
    <w:p>
      <w:pPr>
        <w:pStyle w:val="ListParagraph"/>
        <w:numPr>
          <w:ilvl w:val="0"/>
          <w:numId w:val="2"/>
        </w:numPr>
        <w:spacing w:after="60"/>
      </w:pPr>
      <w:r>
        <w:rPr>
          <w:b/>
          <w:bCs/>
        </w:rPr>
        <w:t xml:space="preserve">services/featureforge/types.go </w:t>
      </w:r>
      <w:r>
        <w:t xml:space="preserve">- domain types + the four client interfaces</w:t>
      </w:r>
    </w:p>
    <w:p>
      <w:pPr>
        <w:pStyle w:val="ListParagraph"/>
        <w:numPr>
          <w:ilvl w:val="0"/>
          <w:numId w:val="2"/>
        </w:numPr>
        <w:spacing w:after="60"/>
      </w:pPr>
      <w:r>
        <w:rPr>
          <w:b/>
          <w:bCs/>
        </w:rPr>
        <w:t xml:space="preserve">catalog.go </w:t>
      </w:r>
      <w:r>
        <w:t xml:space="preserve">- the allow-listed action catalog</w:t>
      </w:r>
    </w:p>
    <w:p>
      <w:pPr>
        <w:pStyle w:val="ListParagraph"/>
        <w:numPr>
          <w:ilvl w:val="0"/>
          <w:numId w:val="2"/>
        </w:numPr>
        <w:spacing w:after="60"/>
      </w:pPr>
      <w:r>
        <w:rPr>
          <w:b/>
          <w:bCs/>
        </w:rPr>
        <w:t xml:space="preserve">classifier.go </w:t>
      </w:r>
      <w:r>
        <w:t xml:space="preserve">- deterministic classifier (swap for LLM in prod)</w:t>
      </w:r>
    </w:p>
    <w:p>
      <w:pPr>
        <w:pStyle w:val="ListParagraph"/>
        <w:numPr>
          <w:ilvl w:val="0"/>
          <w:numId w:val="2"/>
        </w:numPr>
        <w:spacing w:after="60"/>
      </w:pPr>
      <w:r>
        <w:rPr>
          <w:b/>
          <w:bCs/>
        </w:rPr>
        <w:t xml:space="preserve">service.go </w:t>
      </w:r>
      <w:r>
        <w:t xml:space="preserve">- the six-layer pipeline + the staging wall invariant</w:t>
      </w:r>
    </w:p>
    <w:p>
      <w:pPr>
        <w:pStyle w:val="ListParagraph"/>
        <w:numPr>
          <w:ilvl w:val="0"/>
          <w:numId w:val="2"/>
        </w:numPr>
        <w:spacing w:after="60"/>
      </w:pPr>
      <w:r>
        <w:rPr>
          <w:b/>
          <w:bCs/>
        </w:rPr>
        <w:t xml:space="preserve">stubs.go </w:t>
      </w:r>
      <w:r>
        <w:t xml:space="preserve">- in-memory policy / governance / audit / sandbox</w:t>
      </w:r>
    </w:p>
    <w:p>
      <w:pPr>
        <w:pStyle w:val="ListParagraph"/>
        <w:numPr>
          <w:ilvl w:val="0"/>
          <w:numId w:val="2"/>
        </w:numPr>
        <w:spacing w:after="60"/>
      </w:pPr>
      <w:r>
        <w:rPr>
          <w:b/>
          <w:bCs/>
        </w:rPr>
        <w:t xml:space="preserve">handler.go </w:t>
      </w:r>
      <w:r>
        <w:t xml:space="preserve">- HTTP API under /svc/featureforge/</w:t>
      </w:r>
    </w:p>
    <w:p>
      <w:pPr>
        <w:pStyle w:val="ListParagraph"/>
        <w:numPr>
          <w:ilvl w:val="0"/>
          <w:numId w:val="2"/>
        </w:numPr>
        <w:spacing w:after="60"/>
      </w:pPr>
      <w:r>
        <w:rPr>
          <w:b/>
          <w:bCs/>
        </w:rPr>
        <w:t xml:space="preserve">service_test.go </w:t>
      </w:r>
      <w:r>
        <w:t xml:space="preserve">- 9 tests covering every guardrail path</w:t>
      </w:r>
    </w:p>
    <w:p>
      <w:pPr>
        <w:pStyle w:val="ListParagraph"/>
        <w:numPr>
          <w:ilvl w:val="0"/>
          <w:numId w:val="2"/>
        </w:numPr>
        <w:spacing w:after="60"/>
      </w:pPr>
      <w:r>
        <w:rPr>
          <w:b/>
          <w:bCs/>
        </w:rPr>
        <w:t xml:space="preserve">migrations/001_initial.sql, Dockerfile, cmd/featureforge/main.go</w:t>
      </w:r>
    </w:p>
    <w:p>
      <w:pPr>
        <w:pStyle w:val="Heading3"/>
      </w:pPr>
      <w:r>
        <w:t xml:space="preserve">Verified</w:t>
      </w:r>
    </w:p>
    <w:p>
      <w:pPr>
        <w:pStyle w:val="ListParagraph"/>
        <w:numPr>
          <w:ilvl w:val="0"/>
          <w:numId w:val="2"/>
        </w:numPr>
        <w:spacing w:after="60"/>
      </w:pPr>
      <w:r>
        <w:rPr>
          <w:b/>
          <w:bCs/>
        </w:rPr>
        <w:t xml:space="preserve">go vet </w:t>
      </w:r>
      <w:r>
        <w:t xml:space="preserve">clean; </w:t>
      </w:r>
      <w:r>
        <w:rPr>
          <w:b/>
          <w:bCs/>
        </w:rPr>
        <w:t xml:space="preserve">go build </w:t>
      </w:r>
      <w:r>
        <w:t xml:space="preserve">clean; </w:t>
      </w:r>
      <w:r>
        <w:rPr>
          <w:b/>
          <w:bCs/>
        </w:rPr>
        <w:t xml:space="preserve">go test ./... </w:t>
      </w:r>
      <w:r>
        <w:t xml:space="preserve">- all 9 tests pass.</w:t>
      </w:r>
    </w:p>
    <w:p>
      <w:pPr>
        <w:pStyle w:val="ListParagraph"/>
        <w:numPr>
          <w:ilvl w:val="0"/>
          <w:numId w:val="2"/>
        </w:numPr>
        <w:spacing w:after="60"/>
      </w:pPr>
      <w:r>
        <w:t xml:space="preserve">Demo run confirms: a low-risk config action reaches prod; a quorum-bound action and a scaffold both stop at awaiting_prod; a vague intent is rejected at the confidence floor.</w:t>
      </w:r>
    </w:p>
    <w:p>
      <w:pPr>
        <w:pStyle w:val="Heading3"/>
      </w:pPr>
      <w:r>
        <w:t xml:space="preserve">Run it</w:t>
      </w:r>
    </w:p>
    <w:p>
      <w:pPr>
        <w:shd w:fill="F2F2F2" w:val="clear"/>
        <w:spacing w:after="120" w:before="60"/>
      </w:pPr>
      <w:r>
        <w:rPr>
          <w:rFonts w:ascii="Consolas" w:cs="Consolas" w:eastAsia="Consolas" w:hAnsi="Consolas"/>
          <w:sz w:val="18"/>
          <w:szCs w:val="18"/>
        </w:rPr>
        <w:t xml:space="preserve">go test ./...                    # 9 tests</w:t>
      </w:r>
    </w:p>
    <w:p>
      <w:pPr>
        <w:shd w:fill="F2F2F2" w:val="clear"/>
        <w:spacing w:after="120" w:before="60"/>
      </w:pPr>
      <w:r>
        <w:rPr>
          <w:rFonts w:ascii="Consolas" w:cs="Consolas" w:eastAsia="Consolas" w:hAnsi="Consolas"/>
          <w:sz w:val="18"/>
          <w:szCs w:val="18"/>
        </w:rPr>
        <w:t xml:space="preserve">go run ./cmd/featureforge demo   # full pipeline + audit trail</w:t>
      </w:r>
    </w:p>
    <w:p>
      <w:pPr>
        <w:shd w:fill="F2F2F2" w:val="clear"/>
        <w:spacing w:after="120" w:before="60"/>
      </w:pPr>
      <w:r>
        <w:rPr>
          <w:rFonts w:ascii="Consolas" w:cs="Consolas" w:eastAsia="Consolas" w:hAnsi="Consolas"/>
          <w:sz w:val="18"/>
          <w:szCs w:val="18"/>
        </w:rPr>
        <w:t xml:space="preserve">go run ./cmd/featureforge        # HTTP service on :8099</w:t>
      </w:r>
    </w:p>
    <w:p>
      <w:pPr>
        <w:pStyle w:val="Heading1"/>
      </w:pPr>
      <w:r>
        <w:t xml:space="preserve">8. From Prototype to Production</w:t>
      </w:r>
    </w:p>
    <w:p>
      <w:pPr>
        <w:spacing w:after="120"/>
      </w:pPr>
      <w:r>
        <w:t xml:space="preserve">The interfaces are the contract; only the bodies change. Recommended order:</w:t>
      </w:r>
    </w:p>
    <w:p>
      <w:pPr>
        <w:pStyle w:val="ListParagraph"/>
        <w:numPr>
          <w:ilvl w:val="0"/>
          <w:numId w:val="3"/>
        </w:numPr>
        <w:spacing w:after="60"/>
      </w:pPr>
      <w:r>
        <w:rPr>
          <w:b/>
          <w:bCs/>
        </w:rPr>
        <w:t xml:space="preserve">Wire real clients. </w:t>
      </w:r>
      <w:r>
        <w:t xml:space="preserve">Replace the four stubs with clients to your real policy, governance, audit services and your CI/sandbox runner.</w:t>
      </w:r>
    </w:p>
    <w:p>
      <w:pPr>
        <w:pStyle w:val="ListParagraph"/>
        <w:numPr>
          <w:ilvl w:val="0"/>
          <w:numId w:val="3"/>
        </w:numPr>
        <w:spacing w:after="60"/>
      </w:pPr>
      <w:r>
        <w:rPr>
          <w:b/>
          <w:bCs/>
        </w:rPr>
        <w:t xml:space="preserve">Add the LLM classifier. </w:t>
      </w:r>
      <w:r>
        <w:t xml:space="preserve">Swap the keyword classifier for an LLM call constrained to emit JSON matching the catalog schema. The rest of the pipeline is unchanged - and that pipeline, not the model, is what keeps it safe.</w:t>
      </w:r>
    </w:p>
    <w:p>
      <w:pPr>
        <w:pStyle w:val="ListParagraph"/>
        <w:numPr>
          <w:ilvl w:val="0"/>
          <w:numId w:val="3"/>
        </w:numPr>
        <w:spacing w:after="60"/>
      </w:pPr>
      <w:r>
        <w:rPr>
          <w:b/>
          <w:bCs/>
        </w:rPr>
        <w:t xml:space="preserve">Harden against injection. </w:t>
      </w:r>
      <w:r>
        <w:t xml:space="preserve">Strip/escape the raw intent, never let it reach a shell or code path directly, and treat low confidence or schema mismatch as automatic rejection.</w:t>
      </w:r>
    </w:p>
    <w:p>
      <w:pPr>
        <w:pStyle w:val="ListParagraph"/>
        <w:numPr>
          <w:ilvl w:val="0"/>
          <w:numId w:val="3"/>
        </w:numPr>
        <w:spacing w:after="60"/>
      </w:pPr>
      <w:r>
        <w:rPr>
          <w:b/>
          <w:bCs/>
        </w:rPr>
        <w:t xml:space="preserve">Build scaffold templates. </w:t>
      </w:r>
      <w:r>
        <w:t xml:space="preserve">Codify your service skeleton as templates the scaffolder fills, so generated code starts compliant.</w:t>
      </w:r>
    </w:p>
    <w:p>
      <w:pPr>
        <w:pStyle w:val="ListParagraph"/>
        <w:numPr>
          <w:ilvl w:val="0"/>
          <w:numId w:val="3"/>
        </w:numPr>
        <w:spacing w:after="60"/>
      </w:pPr>
      <w:r>
        <w:rPr>
          <w:b/>
          <w:bCs/>
        </w:rPr>
        <w:t xml:space="preserve">Real staging + promotion. </w:t>
      </w:r>
      <w:r>
        <w:t xml:space="preserve">Hook layer 5 to your actual staging deploy and layer 6 to a real governance approval flow with notifications.</w:t>
      </w:r>
    </w:p>
    <w:p>
      <w:pPr>
        <w:pStyle w:val="ListParagraph"/>
        <w:numPr>
          <w:ilvl w:val="0"/>
          <w:numId w:val="3"/>
        </w:numPr>
        <w:spacing w:after="60"/>
      </w:pPr>
      <w:r>
        <w:rPr>
          <w:b/>
          <w:bCs/>
        </w:rPr>
        <w:t xml:space="preserve">Dashboard surface. </w:t>
      </w:r>
      <w:r>
        <w:t xml:space="preserve">Add the "type a feature" box, live guardrail trail, staging preview, and a prod-approval inbox for reviewers.</w:t>
      </w:r>
    </w:p>
    <w:p>
      <w:pPr>
        <w:pStyle w:val="Heading2"/>
      </w:pPr>
      <w:r>
        <w:t xml:space="preserve">8.1 Guardrails checklist</w:t>
      </w:r>
    </w:p>
    <w:p>
      <w:pPr>
        <w:pStyle w:val="ListParagraph"/>
        <w:numPr>
          <w:ilvl w:val="0"/>
          <w:numId w:val="2"/>
        </w:numPr>
        <w:spacing w:after="60"/>
      </w:pPr>
      <w:r>
        <w:t xml:space="preserve">Catalog allow-list is the only source of config actions.</w:t>
      </w:r>
    </w:p>
    <w:p>
      <w:pPr>
        <w:pStyle w:val="ListParagraph"/>
        <w:numPr>
          <w:ilvl w:val="0"/>
          <w:numId w:val="2"/>
        </w:numPr>
        <w:spacing w:after="60"/>
      </w:pPr>
      <w:r>
        <w:t xml:space="preserve">Confidence floor rejects ambiguous intents.</w:t>
      </w:r>
    </w:p>
    <w:p>
      <w:pPr>
        <w:pStyle w:val="ListParagraph"/>
        <w:numPr>
          <w:ilvl w:val="0"/>
          <w:numId w:val="2"/>
        </w:numPr>
        <w:spacing w:after="60"/>
      </w:pPr>
      <w:r>
        <w:t xml:space="preserve">Policy service can veto any action; refuses risk-raising changes.</w:t>
      </w:r>
    </w:p>
    <w:p>
      <w:pPr>
        <w:pStyle w:val="ListParagraph"/>
        <w:numPr>
          <w:ilvl w:val="0"/>
          <w:numId w:val="2"/>
        </w:numPr>
        <w:spacing w:after="60"/>
      </w:pPr>
      <w:r>
        <w:t xml:space="preserve">No code path from intake to prod; prod requires explicit promotion.</w:t>
      </w:r>
    </w:p>
    <w:p>
      <w:pPr>
        <w:pStyle w:val="ListParagraph"/>
        <w:numPr>
          <w:ilvl w:val="0"/>
          <w:numId w:val="2"/>
        </w:numPr>
        <w:spacing w:after="60"/>
      </w:pPr>
      <w:r>
        <w:t xml:space="preserve">All scaffold (code) changes require governance quorum for prod.</w:t>
      </w:r>
    </w:p>
    <w:p>
      <w:pPr>
        <w:pStyle w:val="ListParagraph"/>
        <w:numPr>
          <w:ilvl w:val="0"/>
          <w:numId w:val="2"/>
        </w:numPr>
        <w:spacing w:after="60"/>
      </w:pPr>
      <w:r>
        <w:t xml:space="preserve">Sensitive config actions require governance quorum for prod.</w:t>
      </w:r>
    </w:p>
    <w:p>
      <w:pPr>
        <w:pStyle w:val="ListParagraph"/>
        <w:numPr>
          <w:ilvl w:val="0"/>
          <w:numId w:val="2"/>
        </w:numPr>
        <w:spacing w:after="60"/>
      </w:pPr>
      <w:r>
        <w:t xml:space="preserve">Every stage emits a tamper-evident audit event.</w:t>
      </w:r>
    </w:p>
    <w:p>
      <w:pPr>
        <w:pStyle w:val="ListParagraph"/>
        <w:numPr>
          <w:ilvl w:val="0"/>
          <w:numId w:val="2"/>
        </w:numPr>
        <w:spacing w:after="60"/>
      </w:pPr>
      <w:r>
        <w:t xml:space="preserve">Generated code is reviewed (PR) before merge; staging build + tests must pass.</w:t>
      </w:r>
    </w:p>
    <w:p>
      <w:pPr>
        <w:pStyle w:val="Heading1"/>
      </w:pPr>
      <w:r>
        <w:t xml:space="preserve">9. Recommended First Slice</w:t>
      </w:r>
    </w:p>
    <w:p>
      <w:pPr>
        <w:spacing w:after="120"/>
      </w:pPr>
      <w:r>
        <w:t xml:space="preserve">Ship config mode first, with two or three low-risk catalog actions (algorithm restriction, min key size). It delivers the "type it and it happens" magic with the smallest blast radius, exercises the full pipeline end to end, and builds organizational trust before you turn on scaffold mode for your engineers.</w:t>
      </w:r>
    </w:p>
    <w:p>
      <w:pPr>
        <w:spacing w:after="120"/>
      </w:pPr>
      <w:r>
        <w:rPr>
          <w:i/>
          <w:iCs/>
          <w:color w:val="595959"/>
        </w:rPr>
        <w:t xml:space="preserve">Open question for you: which two catalog actions would be most valuable to your admins on day one? That choice drives the first appliers and the demo.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FeatureForge - Vecta KMS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E94"/>
      <w:sz w:val="25"/>
      <w:szCs w:val="25"/>
    </w:rPr>
  </w:style>
  <w:style w:type="paragraph" w:styleId="Heading3">
    <w:name w:val="Heading 3"/>
    <w:basedOn w:val="Normal"/>
    <w:next w:val="Normal"/>
    <w:qFormat/>
    <w:pPr>
      <w:spacing w:after="80" w:before="1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FeatureForge</dc:creator>
  <cp:lastModifiedBy>Un-named</cp:lastModifiedBy>
  <cp:revision>1</cp:revision>
  <dcterms:created xsi:type="dcterms:W3CDTF">2026-06-09T08:00:40.921Z</dcterms:created>
  <dcterms:modified xsi:type="dcterms:W3CDTF">2026-06-09T08:00:40.921Z</dcterms:modified>
</cp:coreProperties>
</file>

<file path=docProps/custom.xml><?xml version="1.0" encoding="utf-8"?>
<Properties xmlns="http://schemas.openxmlformats.org/officeDocument/2006/custom-properties" xmlns:vt="http://schemas.openxmlformats.org/officeDocument/2006/docPropsVTypes"/>
</file>