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Clean rejection and adaptive manipulation in P300 spellers character level reliability of existing detectors</w:t>
      </w:r>
    </w:p>
    <w:p>
      <w:r>
        <w:t>Working manuscript, updated27 October2026 UTC. Not submission-ready.</w:t>
      </w:r>
    </w:p>
    <w:p>
      <w:r>
        <w:t>Author and corresponding author: M M Nishat (sole author, confirmed by the author on22 October2026). Correspondence: mm.nishat@usm.edu (confirmed by the author). Affiliation: University of Southern Mississippi (author-supplied wording). No professor or other coauthor is listed. Target journal remains unselected; no acceptance claim.</w:t>
      </w:r>
    </w:p>
    <w:p>
      <w:pPr>
        <w:pStyle w:val="Heading1"/>
      </w:pPr>
      <w:r>
        <w:t>Abstract draft</w:t>
      </w:r>
    </w:p>
    <w:p>
      <w:r>
        <w:t>P300 speller security requires character decisions that remain useful after a system rejects suspicious signals. Ranking attack examples by anomaly does not by itself quantify genuine character rejection, accepted decoding errors or successful manipulations that pass a deployed threshold. We evaluate these outcomes for seven existing detector controls and adaptations in an offline recorded-marker OpenBMI protocol. Source models use18 participants; clean-user normalization and threshold calibration use disjoint official training decisions; evaluation retains all36 official test characters per available held-out user. The prespecified study includes17 eligible evaluation participants, three fixed model seeds, five nonadaptive perturbation budgets and detector-aware stress tests. One further intended participant remains in the flow with an unavailable calibrated estimand because training labels fail identity validation. All-original- attempt rates, participant uncertainty and explicit rejection-cost assumptions separate reliability from successful-attack-only detection. All51 subject-seed tasks completed. A separately disclosed post-execution numerical-envelope analysis retains13,419 original strict-budget violations; it does not establish original strict compliance. At nominal5%, mean genuine character rejection ranged from3.92% to8.82% across the seven detectors, while accepted wrong characters comprised36.00% to38.24% of all clean attempts. At budget0.20, separate detector-aware attacks achieved94.01% to100% accepted targeted manipulation. Participant-bootstrap intervals and all declared settings are retained. These findings indicate limitations of these detector operating points under the tested offline conditions, rather than a new robust defense. The high clean-error burden limits practical interpretation. Two-task paired sensitivity does not establish population equivalence or causal rounding-only invariance.</w:t>
      </w:r>
    </w:p>
    <w:p>
      <w:pPr>
        <w:pStyle w:val="Heading1"/>
      </w:pPr>
      <w:r>
        <w:t>Introduction</w:t>
      </w:r>
    </w:p>
    <w:p>
      <w:r>
        <w:t>A P300 speller maps repeated stimulus responses to a character. Manipulating the recorded signal can therefore change the selected symbol, even when the added perturbation is small. Targeted P300 manipulation is established prior work [Zhang et al. 2021]. Generative and attention-guided EEG attacks further motivate checking structured signal manipulations rather than only random corruption [Jung et al. 2023; Zhong et al. 2025]. A signal detector adds a second decision: whether to accept the character. Rejecting an attack may be useful, but rejecting genuine characters also imposes a cost. A detector's ranking performance alone does not specify either outcome at a threshold calibrated for a new user.</w:t>
      </w:r>
    </w:p>
    <w:p>
      <w:r>
        <w:t>Existing EEG security studies already examine attack detection, subject transfer, P300 defense benchmarks and detector-aware evasion. These are not new claims of this study. The question here is narrower: under clean-only user calibration, what proportion of genuine character decisions is rejected, what genuine errors remain accepted, and what proportion of all targeted manipulation attempts both changes the character and passes the detector? We examine these outcomes together rather than interpreting a nominal false-alarm setting or attack-ranking score as a reliability guarantee.</w:t>
      </w:r>
    </w:p>
    <w:p>
      <w:r>
        <w:t>The protocol separates source learning, clean-user normalization, clean threshold calibration and held-out character evaluation. It fixes model seeds, attack budgets and the adaptive recipe before evaluation; retains unsuccessful attacks in end-to-end denominators; averages model seeds within participants; and reports participant-level uncertainty. Rejection and source-query compute costs have explicit assumptions. The empirical scope is an offline recorded-marker signal- access setting, not a live headset attack or clinical throughput experiment.</w:t>
      </w:r>
    </w:p>
    <w:p>
      <w:r>
        <w:t>The intended contribution is evidence about character-level operating points and their limitations across users and attack families. Whether that evidence supports a useful publication claim depends on the complete independent results. The detector families, bootstrap methods and adaptive attack principles are established. We do not claim a first P300 defense, first adaptive P300 evaluation, a new uncertainty method or a certified robust detector.</w:t>
      </w:r>
    </w:p>
    <w:p>
      <w:pPr>
        <w:pStyle w:val="Heading1"/>
      </w:pPr>
      <w:r>
        <w:t>Related work</w:t>
      </w:r>
    </w:p>
    <w:p>
      <w:r>
        <w:t>Targeted speller attacks and signal protection have different security assumptions. Tiny Noise demonstrated targeted P300 manipulation [Zhang et al. 2021]. GPN and attention-guided universal perturbations provide learned-generator and structured-perturbation precedents [Jung et al. 2023; Zhong et al. 2025]. They motivated development work here, but no unlicensed GPN implementation was copied and an AUAP-style sparse mask is not evaluated. Mezzina etal. examine synchronized transformation-based protection under a trusted transmission architecture [Mezzina et al. 2021]. That architecture is distinct from post hoc signal-only anomaly detection.</w:t>
      </w:r>
    </w:p>
    <w:p>
      <w:r>
        <w:t>Zhang and Gu compare confidence, entropy, Bayesian uncertainty and kernel density estimation on CompetitionIII P300 and motor-imagery signals, including detector-aware CW against KDE [Zhang et al. 2024]. Their study establishes prior P300 detection and adaptive-evasion evidence. Its reviewed protocol emphasizes flash-level attack ranking and balanced classification rather than independently clean-calibrated character rejection and all-attempt spelling reliability. Our conventional negative-Gaussian KDE is an explicit adaptation: the printed positive exponent conflicts with the article's low-density rationale. It is not an exact reproduction claim.</w:t>
      </w:r>
    </w:p>
    <w:p>
      <w:r>
        <w:t>Chen, Meng, Xu and Wu's expanded journal study evaluates ERN, motor-imagery and RSVP epochs using supervised clean/attack logistic detectors, subject-held-out evaluation and nested AUC tuning [Chen et al. 2024]. Its methods explicitly use AUC to avoid selecting a detection threshold. The journal protocol was reviewed separately from the earlier Chen and Wu preprint [Xiaoqing Chen and Dongrui Wu et al. 2022]. Clean-only character calibration and its observed operating point therefore represent a different estimand from the reviewed journal experiment; this does not establish uniqueness across the full literature.</w:t>
      </w:r>
    </w:p>
    <w:p>
      <w:r>
        <w:t>Chen, Jia and Wu benchmark nine defenses across five datasets, including an eight-participant P300 dataset, three networks and within-/cross-session online/offline scenarios [Chen et al. 2025]. Their epoch-level balanced accuracy and targeted attack success establish broad P300 defense and session-shift precedents. Conventional detector/ANFIS comparisons [Conceição da Costa et al. 2026] and Covariance Entropy detection with compute reporting [Khilnani et al. 2025] further limit broad detector-comparison or efficiency novelty claims. The latter review uses accepted-manuscript HTML; the final PDF has not been visually verified.</w:t>
      </w:r>
    </w:p>
    <w:p>
      <w:r>
        <w:t>Our frozen seven-method set is nonexhaustive: it omits Covariance Entropy and journal cosine-distance variants. Conclusions must therefore concern these specified adaptations and settings. The source-by-source reading scope and protocol comparison are retained in results/literature_protocol_matrix_20261022.md. The reviewed protocols do not evaluate the same combined clean-only character operating-point, all-attempt manipulation and rejection-cost estimand. This bounded distinction is not a universal priority proof. Independent results must establish the magnitude and practical implications beyond known adaptive failure.</w:t>
      </w:r>
    </w:p>
    <w:p>
      <w:pPr>
        <w:pStyle w:val="Heading1"/>
      </w:pPr>
      <w:r>
        <w:t>Methods completed development work</w:t>
      </w:r>
    </w:p>
    <w:p>
      <w:r>
        <w:t>See immutable splits and append-only PREREG. CompIII official test outcomes are already inspected; report them as development evidence. Historical budget-label overwrite claims remain superseded by corrected evaluations. Target attacks do not fit clean thresholds; later exploratory repairs must not become confirmation.</w:t>
      </w:r>
    </w:p>
    <w:p>
      <w:pPr>
        <w:pStyle w:val="Heading1"/>
      </w:pPr>
      <w:r>
        <w:t>Verified results to retain</w:t>
      </w:r>
    </w:p>
    <w:p>
      <w:r>
        <w:t>Original prototype stealth hypothesis failed. Independent-normalization external clean audit failed its strict gate. At budget0.2, fixed logistic nearest-causal cross-subject TPR is12.4% A-to-B and39.2% B-to-A, observed FAR5%/6%. Adding channel/time bins changesTPR to30.6%/3.6%, FAR3%/3%, while TinyNoise detection drops68.7% to3.9% A-to-B and100% to50.5% B-to-A. No general feature improvement. Cloud verification covers software contracts, not independent scientific validation. The complete validation19 controller executed all36 characters across three model seeds and cloud aggregation, preserving completed-ledger hashes on repeat invocation. The latest code-bound release regression passed368 portable tests with four declared historical raw/path exclusions. Exact scopes and failures remain in the supplement and private provenance artifacts.</w:t>
      </w:r>
    </w:p>
    <w:p>
      <w:pPr>
        <w:pStyle w:val="Heading1"/>
      </w:pPr>
      <w:r>
        <w:t>OpenBMI development clean validation result</w:t>
      </w:r>
    </w:p>
    <w:p>
      <w:r>
        <w:t>Fixed validation subject19 had36/36 clean characters decoded correctly for each of the three source seeds, with no seed selected. At nominal5%, rejection counts for seeds20261013/14/15 were confidence0/0/0, entropy0/0/0, BU0/2/1, LID1/0/2, MD0/2/3, adjusted MD0/2/3 and KDE1/1/0, each out of36. Preserve all1/5/10% operating-point records in results/validation_clean_v1. These are repeated measurements on one development subject, not108 independent characters or3 people. There are no genuine decoder errors here to establish rejection behavior on mistaken clean decisions. Zero false alarms has a two-sided95% IID upper bound9.74%; serial dependence and user shift remain unresolved. No detector is selected as a confirmed winner and no threshold is retuned. These clean-validation observations precede the separately recorded development attack audit. Independent-user outcomes are reported below under the revised numerical contract.</w:t>
      </w:r>
    </w:p>
    <w:p>
      <w:pPr>
        <w:pStyle w:val="Heading1"/>
      </w:pPr>
      <w:r>
        <w:t>Independent results under the revised numerical envelope</w:t>
      </w:r>
    </w:p>
    <w:p>
      <w:r>
        <w:t>The complete cloud analysis retains all51 original subject-seed tasks for17 available users. Participant52 remains in the18-person flow with unavailable calibrated performance: official training data had528 schedule/known-label mismatches and no compatible symbol in any33 blocks under the fixed schedule. No substitution or performance-based exclusion was made. The source-only release review verified task identities, stage hashes, clean CSV decision consistency and the exact numerical envelope before aggregation. It passed368 portable tests and six envelope guards. The original strict failure remains disclosed; these results use the separate post-execution contract, not the original strict budget claim.</w:t>
      </w:r>
    </w:p>
    <w:p>
      <w:pPr>
        <w:pStyle w:val="Heading2"/>
      </w:pPr>
      <w:r>
        <w:t>Clean operating points</w:t>
      </w:r>
    </w:p>
    <w:p>
      <w:r>
        <w:t>At nominal5%, the cloud report gives the following equal-user means after within-user model-seed averaging. Intervals are pointwise95% participant-bootstrap intervals, not simultaneous intervals or individual-user guarantees.</w:t>
      </w:r>
    </w:p>
    <w:tbl>
      <w:tblPr>
        <w:tblStyle w:val="LightShading-Accent1"/>
        <w:tblW w:type="auto" w:w="0"/>
        <w:tblLook w:firstColumn="1" w:firstRow="1" w:lastColumn="0" w:lastRow="0" w:noHBand="0" w:noVBand="1" w:val="04A0"/>
      </w:tblPr>
      <w:tblGrid>
        <w:gridCol w:w="2160"/>
        <w:gridCol w:w="2160"/>
        <w:gridCol w:w="2160"/>
        <w:gridCol w:w="2160"/>
      </w:tblGrid>
      <w:tr>
        <w:trPr>
          <w:tblHeader/>
          <w:cantSplit/>
        </w:trPr>
        <w:tc>
          <w:tcPr>
            <w:tcW w:type="dxa" w:w="2160"/>
          </w:tcPr>
          <w:p>
            <w:r>
              <w:rPr>
                <w:sz w:val="18"/>
              </w:rPr>
              <w:t>Detector</w:t>
            </w:r>
          </w:p>
        </w:tc>
        <w:tc>
          <w:tcPr>
            <w:tcW w:type="dxa" w:w="2160"/>
          </w:tcPr>
          <w:p>
            <w:r>
              <w:rPr>
                <w:sz w:val="18"/>
              </w:rPr>
              <w:t>Rejected clean characters, mean [95% CI]</w:t>
            </w:r>
          </w:p>
        </w:tc>
        <w:tc>
          <w:tcPr>
            <w:tcW w:type="dxa" w:w="2160"/>
          </w:tcPr>
          <w:p>
            <w:r>
              <w:rPr>
                <w:sz w:val="18"/>
              </w:rPr>
              <w:t>Accepted correct / all clean</w:t>
            </w:r>
          </w:p>
        </w:tc>
        <w:tc>
          <w:tcPr>
            <w:tcW w:type="dxa" w:w="2160"/>
          </w:tcPr>
          <w:p>
            <w:r>
              <w:rPr>
                <w:sz w:val="18"/>
              </w:rPr>
              <w:t>Accepted wrong / all clean</w:t>
            </w:r>
          </w:p>
        </w:tc>
      </w:tr>
      <w:tr>
        <w:trPr>
          <w:cantSplit/>
        </w:trPr>
        <w:tc>
          <w:tcPr>
            <w:tcW w:type="dxa" w:w="2160"/>
          </w:tcPr>
          <w:p>
            <w:r>
              <w:rPr>
                <w:sz w:val="18"/>
              </w:rPr>
              <w:t>Confidence</w:t>
            </w:r>
          </w:p>
        </w:tc>
        <w:tc>
          <w:tcPr>
            <w:tcW w:type="dxa" w:w="2160"/>
          </w:tcPr>
          <w:p>
            <w:r>
              <w:rPr>
                <w:sz w:val="18"/>
              </w:rPr>
              <w:t>6.32% [4.52,8.17]</w:t>
            </w:r>
          </w:p>
        </w:tc>
        <w:tc>
          <w:tcPr>
            <w:tcW w:type="dxa" w:w="2160"/>
          </w:tcPr>
          <w:p>
            <w:r>
              <w:rPr>
                <w:sz w:val="18"/>
              </w:rPr>
              <w:t>56.05%</w:t>
            </w:r>
          </w:p>
        </w:tc>
        <w:tc>
          <w:tcPr>
            <w:tcW w:type="dxa" w:w="2160"/>
          </w:tcPr>
          <w:p>
            <w:r>
              <w:rPr>
                <w:sz w:val="18"/>
              </w:rPr>
              <w:t>37.64%</w:t>
            </w:r>
          </w:p>
        </w:tc>
      </w:tr>
      <w:tr>
        <w:trPr>
          <w:cantSplit/>
        </w:trPr>
        <w:tc>
          <w:tcPr>
            <w:tcW w:type="dxa" w:w="2160"/>
          </w:tcPr>
          <w:p>
            <w:r>
              <w:rPr>
                <w:sz w:val="18"/>
              </w:rPr>
              <w:t>Entropy</w:t>
            </w:r>
          </w:p>
        </w:tc>
        <w:tc>
          <w:tcPr>
            <w:tcW w:type="dxa" w:w="2160"/>
          </w:tcPr>
          <w:p>
            <w:r>
              <w:rPr>
                <w:sz w:val="18"/>
              </w:rPr>
              <w:t>5.83% [3.98,7.63]</w:t>
            </w:r>
          </w:p>
        </w:tc>
        <w:tc>
          <w:tcPr>
            <w:tcW w:type="dxa" w:w="2160"/>
          </w:tcPr>
          <w:p>
            <w:r>
              <w:rPr>
                <w:sz w:val="18"/>
              </w:rPr>
              <w:t>56.15%</w:t>
            </w:r>
          </w:p>
        </w:tc>
        <w:tc>
          <w:tcPr>
            <w:tcW w:type="dxa" w:w="2160"/>
          </w:tcPr>
          <w:p>
            <w:r>
              <w:rPr>
                <w:sz w:val="18"/>
              </w:rPr>
              <w:t>38.02%</w:t>
            </w:r>
          </w:p>
        </w:tc>
      </w:tr>
      <w:tr>
        <w:trPr>
          <w:cantSplit/>
        </w:trPr>
        <w:tc>
          <w:tcPr>
            <w:tcW w:type="dxa" w:w="2160"/>
          </w:tcPr>
          <w:p>
            <w:r>
              <w:rPr>
                <w:sz w:val="18"/>
              </w:rPr>
              <w:t>BU</w:t>
            </w:r>
          </w:p>
        </w:tc>
        <w:tc>
          <w:tcPr>
            <w:tcW w:type="dxa" w:w="2160"/>
          </w:tcPr>
          <w:p>
            <w:r>
              <w:rPr>
                <w:sz w:val="18"/>
              </w:rPr>
              <w:t>4.85% [2.34,7.90]</w:t>
            </w:r>
          </w:p>
        </w:tc>
        <w:tc>
          <w:tcPr>
            <w:tcW w:type="dxa" w:w="2160"/>
          </w:tcPr>
          <w:p>
            <w:r>
              <w:rPr>
                <w:sz w:val="18"/>
              </w:rPr>
              <w:t>56.92%</w:t>
            </w:r>
          </w:p>
        </w:tc>
        <w:tc>
          <w:tcPr>
            <w:tcW w:type="dxa" w:w="2160"/>
          </w:tcPr>
          <w:p>
            <w:r>
              <w:rPr>
                <w:sz w:val="18"/>
              </w:rPr>
              <w:t>38.24%</w:t>
            </w:r>
          </w:p>
        </w:tc>
      </w:tr>
      <w:tr>
        <w:trPr>
          <w:cantSplit/>
        </w:trPr>
        <w:tc>
          <w:tcPr>
            <w:tcW w:type="dxa" w:w="2160"/>
          </w:tcPr>
          <w:p>
            <w:r>
              <w:rPr>
                <w:sz w:val="18"/>
              </w:rPr>
              <w:t>LID</w:t>
            </w:r>
          </w:p>
        </w:tc>
        <w:tc>
          <w:tcPr>
            <w:tcW w:type="dxa" w:w="2160"/>
          </w:tcPr>
          <w:p>
            <w:r>
              <w:rPr>
                <w:sz w:val="18"/>
              </w:rPr>
              <w:t>3.92% [2.23,5.94]</w:t>
            </w:r>
          </w:p>
        </w:tc>
        <w:tc>
          <w:tcPr>
            <w:tcW w:type="dxa" w:w="2160"/>
          </w:tcPr>
          <w:p>
            <w:r>
              <w:rPr>
                <w:sz w:val="18"/>
              </w:rPr>
              <w:t>58.17%</w:t>
            </w:r>
          </w:p>
        </w:tc>
        <w:tc>
          <w:tcPr>
            <w:tcW w:type="dxa" w:w="2160"/>
          </w:tcPr>
          <w:p>
            <w:r>
              <w:rPr>
                <w:sz w:val="18"/>
              </w:rPr>
              <w:t>37.91%</w:t>
            </w:r>
          </w:p>
        </w:tc>
      </w:tr>
      <w:tr>
        <w:trPr>
          <w:cantSplit/>
        </w:trPr>
        <w:tc>
          <w:tcPr>
            <w:tcW w:type="dxa" w:w="2160"/>
          </w:tcPr>
          <w:p>
            <w:r>
              <w:rPr>
                <w:sz w:val="18"/>
              </w:rPr>
              <w:t>MD</w:t>
            </w:r>
          </w:p>
        </w:tc>
        <w:tc>
          <w:tcPr>
            <w:tcW w:type="dxa" w:w="2160"/>
          </w:tcPr>
          <w:p>
            <w:r>
              <w:rPr>
                <w:sz w:val="18"/>
              </w:rPr>
              <w:t>8.82% [3.92,15.09]</w:t>
            </w:r>
          </w:p>
        </w:tc>
        <w:tc>
          <w:tcPr>
            <w:tcW w:type="dxa" w:w="2160"/>
          </w:tcPr>
          <w:p>
            <w:r>
              <w:rPr>
                <w:sz w:val="18"/>
              </w:rPr>
              <w:t>55.17%</w:t>
            </w:r>
          </w:p>
        </w:tc>
        <w:tc>
          <w:tcPr>
            <w:tcW w:type="dxa" w:w="2160"/>
          </w:tcPr>
          <w:p>
            <w:r>
              <w:rPr>
                <w:sz w:val="18"/>
              </w:rPr>
              <w:t>36.00%</w:t>
            </w:r>
          </w:p>
        </w:tc>
      </w:tr>
      <w:tr>
        <w:trPr>
          <w:cantSplit/>
        </w:trPr>
        <w:tc>
          <w:tcPr>
            <w:tcW w:type="dxa" w:w="2160"/>
          </w:tcPr>
          <w:p>
            <w:r>
              <w:rPr>
                <w:sz w:val="18"/>
              </w:rPr>
              <w:t>Adjusted MD</w:t>
            </w:r>
          </w:p>
        </w:tc>
        <w:tc>
          <w:tcPr>
            <w:tcW w:type="dxa" w:w="2160"/>
          </w:tcPr>
          <w:p>
            <w:r>
              <w:rPr>
                <w:sz w:val="18"/>
              </w:rPr>
              <w:t>8.77% [3.92,14.92]</w:t>
            </w:r>
          </w:p>
        </w:tc>
        <w:tc>
          <w:tcPr>
            <w:tcW w:type="dxa" w:w="2160"/>
          </w:tcPr>
          <w:p>
            <w:r>
              <w:rPr>
                <w:sz w:val="18"/>
              </w:rPr>
              <w:t>55.17%</w:t>
            </w:r>
          </w:p>
        </w:tc>
        <w:tc>
          <w:tcPr>
            <w:tcW w:type="dxa" w:w="2160"/>
          </w:tcPr>
          <w:p>
            <w:r>
              <w:rPr>
                <w:sz w:val="18"/>
              </w:rPr>
              <w:t>36.06%</w:t>
            </w:r>
          </w:p>
        </w:tc>
      </w:tr>
      <w:tr>
        <w:trPr>
          <w:cantSplit/>
        </w:trPr>
        <w:tc>
          <w:tcPr>
            <w:tcW w:type="dxa" w:w="2160"/>
          </w:tcPr>
          <w:p>
            <w:r>
              <w:rPr>
                <w:sz w:val="18"/>
              </w:rPr>
              <w:t>KDE</w:t>
            </w:r>
          </w:p>
        </w:tc>
        <w:tc>
          <w:tcPr>
            <w:tcW w:type="dxa" w:w="2160"/>
          </w:tcPr>
          <w:p>
            <w:r>
              <w:rPr>
                <w:sz w:val="18"/>
              </w:rPr>
              <w:t>6.32% [2.94,10.13]</w:t>
            </w:r>
          </w:p>
        </w:tc>
        <w:tc>
          <w:tcPr>
            <w:tcW w:type="dxa" w:w="2160"/>
          </w:tcPr>
          <w:p>
            <w:r>
              <w:rPr>
                <w:sz w:val="18"/>
              </w:rPr>
              <w:t>56.86%</w:t>
            </w:r>
          </w:p>
        </w:tc>
        <w:tc>
          <w:tcPr>
            <w:tcW w:type="dxa" w:w="2160"/>
          </w:tcPr>
          <w:p>
            <w:r>
              <w:rPr>
                <w:sz w:val="18"/>
              </w:rPr>
              <w:t>36.82%</w:t>
            </w:r>
          </w:p>
        </w:tc>
      </w:tr>
    </w:tbl>
    <w:p/>
    <w:p>
      <w:r>
        <w:t>Nominal1% and5% yield identical observed outcomes because both select the maximum of20 calibration decisions. At nominal10%, the observed rejection means range from8.39% for LID to13.13% for MD. The full report retains all operating points, accepted-correct and accepted-wrong intervals. Genuine accepted errors remain substantial for every tested detector. This limits the usefulness of the underlying decoder-detector system regardless of attack rejection.</w:t>
      </w:r>
    </w:p>
    <w:p>
      <w:pPr>
        <w:pStyle w:val="Heading2"/>
      </w:pPr>
      <w:r>
        <w:t>Detector unaware and detector aware manipulation</w:t>
      </w:r>
    </w:p>
    <w:p>
      <w:r>
        <w:t>At the primary0.20 budget, ordinary targeted PGD was accepted and successful on 100% of original attempts for confidence and entropy,99.89% for BU,85.62% for LID,0.05% for MD and adjusted MD, and0% for KDE. The fixed own-detector adaptive recipes produced the following rates over all original characters, including unsuccessful attempts. The declared longer run contributes only its fixed first character candidate to the corresponding character union.</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r>
              <w:rPr>
                <w:sz w:val="18"/>
              </w:rPr>
              <w:t>Attacked detector</w:t>
            </w:r>
          </w:p>
        </w:tc>
        <w:tc>
          <w:tcPr>
            <w:tcW w:type="dxa" w:w="4320"/>
          </w:tcPr>
          <w:p>
            <w:r>
              <w:rPr>
                <w:sz w:val="18"/>
              </w:rPr>
              <w:t>Accepted targeted manipulation, mean [95% CI]</w:t>
            </w:r>
          </w:p>
        </w:tc>
      </w:tr>
      <w:tr>
        <w:trPr>
          <w:cantSplit/>
        </w:trPr>
        <w:tc>
          <w:tcPr>
            <w:tcW w:type="dxa" w:w="4320"/>
          </w:tcPr>
          <w:p>
            <w:r>
              <w:rPr>
                <w:sz w:val="18"/>
              </w:rPr>
              <w:t>Confidence</w:t>
            </w:r>
          </w:p>
        </w:tc>
        <w:tc>
          <w:tcPr>
            <w:tcW w:type="dxa" w:w="4320"/>
          </w:tcPr>
          <w:p>
            <w:r>
              <w:rPr>
                <w:sz w:val="18"/>
              </w:rPr>
              <w:t>100.00% [100.00,100.00]</w:t>
            </w:r>
          </w:p>
        </w:tc>
      </w:tr>
      <w:tr>
        <w:trPr>
          <w:cantSplit/>
        </w:trPr>
        <w:tc>
          <w:tcPr>
            <w:tcW w:type="dxa" w:w="4320"/>
          </w:tcPr>
          <w:p>
            <w:r>
              <w:rPr>
                <w:sz w:val="18"/>
              </w:rPr>
              <w:t>Entropy</w:t>
            </w:r>
          </w:p>
        </w:tc>
        <w:tc>
          <w:tcPr>
            <w:tcW w:type="dxa" w:w="4320"/>
          </w:tcPr>
          <w:p>
            <w:r>
              <w:rPr>
                <w:sz w:val="18"/>
              </w:rPr>
              <w:t>100.00% [100.00,100.00]</w:t>
            </w:r>
          </w:p>
        </w:tc>
      </w:tr>
      <w:tr>
        <w:trPr>
          <w:cantSplit/>
        </w:trPr>
        <w:tc>
          <w:tcPr>
            <w:tcW w:type="dxa" w:w="4320"/>
          </w:tcPr>
          <w:p>
            <w:r>
              <w:rPr>
                <w:sz w:val="18"/>
              </w:rPr>
              <w:t>BU</w:t>
            </w:r>
          </w:p>
        </w:tc>
        <w:tc>
          <w:tcPr>
            <w:tcW w:type="dxa" w:w="4320"/>
          </w:tcPr>
          <w:p>
            <w:r>
              <w:rPr>
                <w:sz w:val="18"/>
              </w:rPr>
              <w:t>100.00% [100.00,100.00]</w:t>
            </w:r>
          </w:p>
        </w:tc>
      </w:tr>
      <w:tr>
        <w:trPr>
          <w:cantSplit/>
        </w:trPr>
        <w:tc>
          <w:tcPr>
            <w:tcW w:type="dxa" w:w="4320"/>
          </w:tcPr>
          <w:p>
            <w:r>
              <w:rPr>
                <w:sz w:val="18"/>
              </w:rPr>
              <w:t>LID</w:t>
            </w:r>
          </w:p>
        </w:tc>
        <w:tc>
          <w:tcPr>
            <w:tcW w:type="dxa" w:w="4320"/>
          </w:tcPr>
          <w:p>
            <w:r>
              <w:rPr>
                <w:sz w:val="18"/>
              </w:rPr>
              <w:t>94.23% [82.68,100.00]</w:t>
            </w:r>
          </w:p>
        </w:tc>
      </w:tr>
      <w:tr>
        <w:trPr>
          <w:cantSplit/>
        </w:trPr>
        <w:tc>
          <w:tcPr>
            <w:tcW w:type="dxa" w:w="4320"/>
          </w:tcPr>
          <w:p>
            <w:r>
              <w:rPr>
                <w:sz w:val="18"/>
              </w:rPr>
              <w:t>MD</w:t>
            </w:r>
          </w:p>
        </w:tc>
        <w:tc>
          <w:tcPr>
            <w:tcW w:type="dxa" w:w="4320"/>
          </w:tcPr>
          <w:p>
            <w:r>
              <w:rPr>
                <w:sz w:val="18"/>
              </w:rPr>
              <w:t>94.12% [82.35,100.00]</w:t>
            </w:r>
          </w:p>
        </w:tc>
      </w:tr>
      <w:tr>
        <w:trPr>
          <w:cantSplit/>
        </w:trPr>
        <w:tc>
          <w:tcPr>
            <w:tcW w:type="dxa" w:w="4320"/>
          </w:tcPr>
          <w:p>
            <w:r>
              <w:rPr>
                <w:sz w:val="18"/>
              </w:rPr>
              <w:t>Adjusted MD</w:t>
            </w:r>
          </w:p>
        </w:tc>
        <w:tc>
          <w:tcPr>
            <w:tcW w:type="dxa" w:w="4320"/>
          </w:tcPr>
          <w:p>
            <w:r>
              <w:rPr>
                <w:sz w:val="18"/>
              </w:rPr>
              <w:t>94.12% [82.35,100.00]</w:t>
            </w:r>
          </w:p>
        </w:tc>
      </w:tr>
      <w:tr>
        <w:trPr>
          <w:cantSplit/>
        </w:trPr>
        <w:tc>
          <w:tcPr>
            <w:tcW w:type="dxa" w:w="4320"/>
          </w:tcPr>
          <w:p>
            <w:r>
              <w:rPr>
                <w:sz w:val="18"/>
              </w:rPr>
              <w:t>KDE</w:t>
            </w:r>
          </w:p>
        </w:tc>
        <w:tc>
          <w:tcPr>
            <w:tcW w:type="dxa" w:w="4320"/>
          </w:tcPr>
          <w:p>
            <w:r>
              <w:rPr>
                <w:sz w:val="18"/>
              </w:rPr>
              <w:t>94.01% [82.14,100.00]</w:t>
            </w:r>
          </w:p>
        </w:tc>
      </w:tr>
    </w:tbl>
    <w:p/>
    <w:p>
      <w:r>
        <w:t>These are different attacks optimized separately against each detector. They do not establish simultaneous evasion or a comparative defense ranking. Bootstrap intervals collapsed at100% reflect observed resampling outcomes, not certainty for future users. The contrast between MD/KDE rejection of ordinary PGD and high own-detector adaptive acceptance limits any robustness conclusion from nonadaptive attacks alone. All147 attack/budget/detector groups and120 paired nonadaptive descriptive comparisons are retained without selecting a winner. The full cloud report also retains FGSM, Gaussian controls and source-template results across all five declared budgets.</w:t>
      </w:r>
    </w:p>
    <w:p>
      <w:pPr>
        <w:pStyle w:val="Heading2"/>
      </w:pPr>
      <w:r>
        <w:t>Secondary decoder conditional detection and ranking summaries</w:t>
      </w:r>
    </w:p>
    <w:p>
      <w:r>
        <w:t>A separate hash-bound CPU summary of the existing aggregate passed five reporting guards. Mean clean decoder accuracy before rejection was0.601852, with pointwise 95% participant-bootstrap interval[0.430814,0.767443]. Conditional accuracy among accepted clean characters at nominal5% was0.597051 for confidence,0.597046 for entropy,0.596029 for BU,0.598654 for LID,0.597628 for MD,0.596906 for adjusted MD, and0.605231 for KDE. Full intervals and accepted-decision denominators are retained in results/secondary_summary_v1. These are averages of within-participant seed summaries, not ratios of population mean rates. Rejection did not provide high accepted-character accuracy in this decoder configuration.</w:t>
      </w:r>
    </w:p>
    <w:p>
      <w:r>
        <w:t>For ordinary PGD at budget0.20, all-attempt nonadaptive AUC was0.995930 [0.991799,0.999047] for MD/adjusted MD and0.999425[0.998517,1.000000] for KDE. These ranking results coexist with high own-detector adaptive accepted-targeted rates reported above. They do not quantify adaptive AUC, which was not computed. The conditional TPR among successful ordinary PGD attacks was0.999455 [0.998366,1.000000] for MD/adjusted MD and1.000000[1.000000,1.000000] for KDE; the full report retains every attack group and its successful-attempt denominator.</w:t>
      </w:r>
    </w:p>
    <w:p>
      <w:r>
        <w:t>The all17participant conditional adaptive LID TPR summary is unavailable because participant51 has an undefined seed-level conditional denominator. That identity is retained, and any defined-only descriptive summary is explicitly conditional, not silently presented as complete-cohort performance. This does not remove that participant from the primary all-original-attempt accepted-targeted endpoint. Undefined conditional outcomes are not imputed as zero. All nominal settings, attack groups, participant/seed records and undefined-case identities remain in the secondary JSON and Markdown report. Secondary pointwise intervals are not familywise or serial-dependence guarantees.</w:t>
      </w:r>
    </w:p>
    <w:p>
      <w:pPr>
        <w:pStyle w:val="Heading2"/>
      </w:pPr>
      <w:r>
        <w:t>Computation and rejection cost</w:t>
      </w:r>
    </w:p>
    <w:p>
      <w:r>
        <w:t>The cost report retains every participant/seed/nominal operating point and its stored ideal IID retry expression. It is not a measured repeated-spelling or backspace-correction cost. Fixed source-query timing on Tesla T4 had BU medians 0.062255to0.064205seconds across seeds, compared with confidence medians 0.006543to0.007710seconds. These are synchronized batch1 source-query timings, not independent-user latency or clinical throughput. Recorded first-to-last marker plus0.8second extrema remain descriptive duration proxies. No product of mean retry and mean timing is claimed as observed throughput, and no population retry confidence interval is inferred from the per-seed table.</w:t>
      </w:r>
    </w:p>
    <w:p>
      <w:r>
        <w:t>All numerical values in this section are transcribed from the Kaggle-generated reports in results/envelope_aggregate_v1/out. Aggregate SHA256 is e11fb26676c22c548074ecbf8113f4aa427a815df2723c383effb277cf31e9ce. Actual browser visual review of the two cloud-generated figures remains pending; their generation and hashes alone do not establish layout quality. Draft captions and exact file bindings are in figure_captions_and_review_20261027.md; that record explicitly remains visually unverified.</w:t>
      </w:r>
    </w:p>
    <w:p>
      <w:pPr>
        <w:pStyle w:val="Heading1"/>
      </w:pPr>
      <w:r>
        <w:t>Independent methods prespecified protocol</w:t>
      </w:r>
    </w:p>
    <w:p>
      <w:r>
        <w:t>The exact prospective settings are frozen in configs/openbmi_independent_protocol_frozen_20261022.json, with cloud-generated immutable allocations, targets and code-bound receipts in splits/openbmi_independent_20261022. Settings and artifacts were committed before independent launch. All51 fixed subject-seed tasks have completed and their compact provenance is preserved. The unchanged strict aggregator stopped on an actual-budget check. Separate post-execution numerical-envelope cloud aggregation and reporting are complete; the original strict failure is retained. Cloud auditing traced the violations to upward float32 rounding of the declared epsilon; a stricter implementation passed373 portable tests and a separate source-only raw projection/release review. The initial corrective plan specified33 affected whole-task reruns and18 valid original tasks. The author subsequently declined further strict corrective launches and chose a separately disclosed post-execution numerical-envelope analysis of all51 original tasks. The original strict failure and completed corrective evidence remain preserved. This revised analysis permits norms up to max(original epsilon, its nearest float32 representation); it must not be described as satisfying the original strict bound. Before combined analysis, a separate CPU release review verified original source and task hashes, full coverage, exact envelope validity and clean-score CSV consistency. Its new receipt was privately preserved before aggregate launch.</w:t>
      </w:r>
    </w:p>
    <w:p>
      <w:r>
        <w:t>Paired sensitivity of the two completed corrective tasks retained1958 settings, all147 groups and72 paired characters per group. Decoded predictions, targeted success, own-detector recipe rejections and the declared accepted-targeted character unions were unchanged. Cross-detector diagnostic rejection changes remain recorded. This limited comparison does not isolate rounding causally or prove equivalence for the full cohort. No further strict reruns are planned; the separately labeled full-cohort results are reported above. Task01 has a preserved terminal failure with no exposed log or outputs and one identical-payload retry. No scientific setting changed. Existing historical splits and failed gates are preserved; BNCI2015-003 remains locked.</w:t>
      </w:r>
    </w:p>
    <w:p>
      <w:pPr>
        <w:pStyle w:val="Heading2"/>
      </w:pPr>
      <w:r>
        <w:t>Participants identity and missingness</w:t>
      </w:r>
    </w:p>
    <w:p>
      <w:r>
        <w:t>Development subjects1-18, validation19-36 and evaluation37-54 are assigned by ID, with model seeds20261013/14/15 and no best-seed selection. Of18 intended evaluation participants,52 lacks a usable official training identity under the fixed loader. Keep this person in feasibility/participant flow, with calibrated performance unavailable. Cloud metadata verification establishes allocation eligibility for17 people only; their available-case performance is reported above. This is pre-outcome metadata eligibility, not exclusion by accuracy or detection rate. Available-case results do not imply missing-at-random or reliability for all18 people. No substitution, inferred relabeling or reuse of test characters for calibration is permitted.</w:t>
      </w:r>
    </w:p>
    <w:p>
      <w:pPr>
        <w:pStyle w:val="Heading2"/>
      </w:pPr>
      <w:r>
        <w:t>Decoder references and clean operating points</w:t>
      </w:r>
    </w:p>
    <w:p>
      <w:r>
        <w:t>The source-only EEGNet uses0.5-20Hz filtering/CAR, raw1000Hz decimated by17 to 58.8235Hz, and0.8second epochs. Adam.001, batch64,30 epochs and final checkpoints are fixed. Source checkpoints/EEG files, reference features and schedule are bound by hashes; models and raw data remain on Kaggle. The source reference set uses at most5000 flash activations with deterministic subject/class quotas. Seven controls/adaptations are confidence, binary predictive entropy, dropout uncertainty, LID(k20), shared-shrinkage network Mahalanobis, confidence-adjusted Mahalanobis(epsilon.001 normalized units) and KDE(bandwidth.5). Shared LedoitWolf covariance/final-layer aggregation are adaptations, not exact paper reproductions.</w:t>
      </w:r>
    </w:p>
    <w:p>
      <w:r>
        <w:t>For each eligible user, split33 official train decisions into13 normalization and20 calibration decisions with fixed seed20261013; keep all36 official test decisions for evaluation. Refit channel normalization only on the13 decisions. The OpenBMI dataset/toolbox source is Lee etal.2019 [Lee et al. 2019]. Compute clean calibration scores without true-character selection: average flash anomaly over groups supporting the decoder-predicted symbol. The higher empirical quantile at nominal1/5/10% defines rejection strictly above the threshold, retaining ties. At20 decisions, nominal1% and5% both select the maximum; nominal values are not per-user guarantees. Clean-reference calibration has established statistical precedents [Bates et al. 2023]; our empirical-quantile rule does not establish their calibration-conditional or multiple-testing guarantees under phase shift. Dropout calibration and every reported clean/attacked score use100 draws; only adaptive gradient estimation uses30 draws. Recalibrating a different draw-count score at evaluation is forbidden.</w:t>
      </w:r>
    </w:p>
    <w:p>
      <w:pPr>
        <w:pStyle w:val="Heading2"/>
      </w:pPr>
      <w:r>
        <w:t>Manipulation and adaptive evasion scope</w:t>
      </w:r>
    </w:p>
    <w:p>
      <w:r>
        <w:t>This is an offline recorded-marker signal-access benchmark, not verified physical onset or real-time hardware security. Perturbations act before preprocessing on all raw channels/samples. Preserve budget ratios.05/.10/.20/.30/.50, scaled from the median channel standard deviation of concatenated normalization-only raw EEG. Freeze one wrong-symbol target per evaluation character, shared across methods/budgets/seeds. Never fit thresholds or choose a model from target attacks.</w:t>
      </w:r>
    </w:p>
    <w:p>
      <w:r>
        <w:t>Compare targeted FGSM,200-step/3-restart PGD, Gaussian controls and a gradient- trained source-only template idea adaptation. The latter uses800 samples at 1000Hz(0.8s),200Adam updates/.01, eight individually accumulated variable-length source-trial gradients, and primary.20 source raw scale; rescale the same learned template across budgets. No raw padding, target-user template fitting, exact NSR reproduction or physical causality claim. Source-only template training has completed, with hash-bound provenance.</w:t>
      </w:r>
    </w:p>
    <w:p>
      <w:r>
        <w:t>FGSM and projected-gradient attack ideas are established [Ian J. Goodfellow and Jonathon Shlens and Christian Szegedy et al. 2014; Aleksander Madry and Aleksandar Makelov and Ludwig Schmidt and Dimitris Tsipras and Adrian Vladu et al. 2017]. Adaptive evaluation is required methodological practice [Florian Tramer and Nicholas Carlini and Wieland Brendel and Aleksander Madry et al. 2020], not a contribution by itself. Stochastic gradient averaging uses the expectation-over-transformation idea [Anish Athalye and Logan Engstrom and Andrew Ilyas and Kevin Kwok et al. 2018], without a physical-world robustness claim. Detector-aware PGD combines targeted cross-entropy and a softplus detector penalty at fixed weight1 and budget.20 with200steps/3restarts on all36 characters. A400step/5restart sensitivity runs only on the fixed first test character of each eligible user, for all seeds/detectors. Ordinary targeted PGD is the weight0 comparator. The larger weights0/.1/1/10 development grid remains development evidence and is not represented as the independent scope. Thresholds/MAD scales come only from clean calibration. Report every setting and the adversary's strongest successful nonrejected attempt; this selects an attack, not a winning defense. Preserve all failures and inspect gradient/ convergence evidence before interpreting failed evasion as robustness.</w:t>
      </w:r>
    </w:p>
    <w:p>
      <w:pPr>
        <w:pStyle w:val="Heading2"/>
      </w:pPr>
      <w:r>
        <w:t>Denominators uncertainty and cost</w:t>
      </w:r>
    </w:p>
    <w:p>
      <w:r>
        <w:t>Primary summaries are per-user observed clean FAR at nominal5% and defended targeted success over every original attack attempt at budget.20. Conditional TPR among successful attacks is secondary and must disclose its denominator. Include genuine decoder mistakes among clean decisions; report accepted-correct and accepted-wrong rates over all original clean characters and conditional accepted accuracy with its denominator. No successful-attack-only denominator may replace end-to-end attack success.</w:t>
      </w:r>
    </w:p>
    <w:p>
      <w:r>
        <w:t>Describe per-user two-sided95% exact binomial intervals [CLOPPER et al. 1934] under IID assumptions, not serial-dependence-proof assurance. Average all three seeds within each user, then use equal-user2000-resample percentile bootstrap(seed20261013) for population mean summaries, using established resampling ideas [Efron et al. 1979]. Report paired pointwise differences versus confidence for the shared nonadaptive perturbations. Detector-specific adaptive objectives do not support a paired comparative-efficacy claim. No selected winners or familywise significance claims are made; exchangeable-user sampling is assumed. Cost includes observed rejection and accepted-wrong counts, recorded-marker duration proxies and synchronized GPU inference timing. The retry expression1/(1-FAR)-1 is ideal IID sensitivity only, not measured clinical latency or backspace-corrected throughput.</w:t>
      </w:r>
    </w:p>
    <w:p>
      <w:pPr>
        <w:pStyle w:val="Heading1"/>
      </w:pPr>
      <w:r>
        <w:t>Discussion and limitations</w:t>
      </w:r>
    </w:p>
    <w:p>
      <w:r>
        <w:t>AUC reflects ranking and can coexist with weak upper-tail detection. The contribution must demonstrate where this matters across users and attack types, not rediscover the mathematical distinction. Known-label ERP analysis is not a deployed unknown-intent authenticity system. Rejection-cost simulations require an explicit retry model and are not live-user latency measurements. IID bounds require independent decisions and do not erase session dependence. Negative results limit tested methods/settings, not all possible defenses.</w:t>
      </w:r>
    </w:p>
    <w:p>
      <w:pPr>
        <w:pStyle w:val="Heading2"/>
      </w:pPr>
      <w:r>
        <w:t>Interpretation of the independent findings</w:t>
      </w:r>
    </w:p>
    <w:p>
      <w:r>
        <w:t>The result supports a bounded reliability audit of these seven adaptations, not an effective new defense. A detector may reject ordinary optimization while accepting most separately optimized detector-aware attacks. This adaptive vulnerability is established prior methodology; the contribution here is its joint characterization with genuine character rejection, accepted decoding mistakes and explicit cost assumptions under clean-only user calibration.</w:t>
      </w:r>
    </w:p>
    <w:p>
      <w:r>
        <w:t>The large accepted-clean-error burden is a major limitation, not a result to remove by conditioning on correctly decoded characters. Together with17 conditional available cases, one unavailable participant, one recorded dataset, coarse calibration, marker-timing uncertainty and fixed attack recipes, it limits deployment implications and generalization. No result establishes cross-dataset, cross-session or physical attack effectiveness. The post-execution numerical contract further limits confirmatory interpretation. Small bound excesses and stable paired outcomes in two tasks do not establish all-cohort counterfactual equivalence under strict projection.</w:t>
      </w:r>
    </w:p>
    <w:p>
      <w:pPr>
        <w:pStyle w:val="Heading1"/>
      </w:pPr>
      <w:r>
        <w:t>Conclusion draft</w:t>
      </w:r>
    </w:p>
    <w:p>
      <w:r>
        <w:t>Across the17 available held-out OpenBMI participants, the tested clean-calibrated operating points left substantial genuine decoding errors accepted and allowed high detector-specific adaptive targeted manipulation. These findings caution against inferring character-level reliability from nominal calibration or nonadaptive detection alone. They concern the specified detector adaptations, decoder, offline signal-access assumptions and separately disclosed numerical envelope. They neither establish a new robust detector nor guarantee reliability for future users. Final figure review, reproducibility access and professor scientific review remain required before submission.</w:t>
      </w:r>
    </w:p>
    <w:p>
      <w:pPr>
        <w:pStyle w:val="Heading1"/>
      </w:pPr>
      <w:r>
        <w:t>Required before submission</w:t>
      </w:r>
    </w:p>
    <w:p>
      <w:r>
        <w:t>Actual independent figure visual review, a refreshed closest-paper scope check, explicitly labelled baseline adaptations, uncertainty/cluster-aware analysis, clean-error/rejection cost, defense-aware stress test, source-audited results tables/figures, complete methods/supplement, author/professor review, journal scope/current category-quartile verification.</w:t>
      </w:r>
    </w:p>
    <w:p>
      <w:pPr>
        <w:pStyle w:val="Heading2"/>
      </w:pPr>
      <w:r>
        <w:t xml:space="preserve">Development detector aware optimization audit 16 October </w:t>
      </w:r>
    </w:p>
    <w:p>
      <w:r>
        <w:t>On one fixed validation subject19 character, at the primary raw budget0.20, ordinary targeted PGD was rejected by MD, adjusted MD and KDE in all three model seeds, while confidence, entropy, BU and LID accepted it. Optimizing separately against each detector with weights0.1,1,10 reached the wrong target and passed that attacked detector for every seed at both200steps/3restarts and400steps/ 5restarts. This does not establish simultaneous evasion of all detectors or a population success rate. Longer optimization improved some objective endpoints without changing these binary outcomes. Finite values, actual raw budgets and trace consistency passed cloud checks. The finding rules out a robust-defense claim from this example; the independently held-out cohort findings are reported above. Full settings, timings, gradients and limitations are preserved in results/development_attack_audit_interpretation.md and development_attack_summary_v2.</w:t>
      </w:r>
    </w:p>
    <w:p>
      <w:pPr>
        <w:pStyle w:val="Heading2"/>
      </w:pPr>
      <w:r>
        <w:t>Full development subject19 reporting check 22 October</w:t>
      </w:r>
    </w:p>
    <w:p>
      <w:r>
        <w:t>The completed36-character validation19 run was processed by the cloud-only reporter across all three seeds. At budget0.20, seed-averaged accepted targeted manipulation under ordinary PGD was100% for confidence/entropy/BU,52.78% for LID, and0% for MD/adjustedMD/KDE. Under each detector's separate fixed aware recipe, the reported rate was100% for every attacked detector. This is not one shared perturbation evading all seven. No threshold, method or source seed was selected from these observations. All nominal settings and method/budget rows are retained in results/report_checks_v2/development_reliability_report.md.</w:t>
      </w:r>
    </w:p>
    <w:p>
      <w:r>
        <w:t>These are one already-inspected user's development observations, not17-user independent findings or108 independent clean characters. No population confidence interval is reported from one user. This extends the earlier fixed-character audit's coverage but does not establish a new adaptive-failure phenomenon or journal readiness. The complete independent cohort is summarized above under the revised numerical contract.</w:t>
      </w:r>
    </w:p>
    <w:p>
      <w:pPr>
        <w:pStyle w:val="Heading1"/>
      </w:pPr>
      <w:r>
        <w:t>References</w:t>
      </w:r>
    </w:p>
    <w:p>
      <w:r>
        <w:t>Zhang, Xiao and Wu, Dongrui and Ding, Lieyun and Luo, Hanbin and Lin, Chin-Teng and Jung, Tzyy-Ping and Chavarriaga, Ricardo (2021). Tiny noise, big mistakes: adversarial perturbations induce errors in brain--computer interface spellers. National Science Review. https://doi.org/10.1093/nsr/nwaa233</w:t>
      </w:r>
    </w:p>
    <w:p>
      <w:r>
        <w:t>Jung, Jiyoung and Moon, HeeJoon and Yu, Geunhyeok and Hwang, Hyoseok (2023). Generative Perturbation Network for Universal Adversarial Attacks on Brain-Computer Interfaces. IEEE Journal of Biomedical and Health Informatics. https://doi.org/10.1109/jbhi.2023.3303494</w:t>
      </w:r>
    </w:p>
    <w:p>
      <w:r>
        <w:t>Zhong, Sheng-hua and Zhao, Sijia and Xiao, Zhijiao and Zhang, Zhi and Liu, Yan (2025). Attention-guided universal adversarial perturbations for EEG-based brain--computer interfaces. Expert Systems with Applications. https://doi.org/10.1016/j.eswa.2024.126362</w:t>
      </w:r>
    </w:p>
    <w:p>
      <w:r>
        <w:t>Mezzina, Giovanni and Annese, Valerio F. and De Venuto, Daniela (2021). A Cybersecure P300-Based Brain-to-Computer Interface against Noise-Based and Fake P300 Cyberattacks. Sensors. https://doi.org/10.3390/s21248280</w:t>
      </w:r>
    </w:p>
    <w:p>
      <w:r>
        <w:t>Zhang, Hao and Gu, Zhenghui (2024). Adversarial sample detection for EEG-based brain-computer interfaces. Journal of Physics: Conference Series. https://doi.org/10.1088/1742-6596/2761/1/012037</w:t>
      </w:r>
    </w:p>
    <w:p>
      <w:r>
        <w:t>Chen, Xiaoqing and Meng, Lubin and Xu, Yifan and Wu, Dongrui (2024). Adversarial artifact detection in EEG-based brain--computer interfaces. Journal of Neural Engineering. https://doi.org/10.1088/1741-2552/ad8964</w:t>
      </w:r>
    </w:p>
    <w:p>
      <w:r>
        <w:t>Xiaoqing Chen and Dongrui Wu (2022). Adversarial Artifact Detection in EEG-Based Brain-Computer Interfaces. . https://arxiv.org/abs/2212.00727</w:t>
      </w:r>
    </w:p>
    <w:p>
      <w:r>
        <w:t>Chen, Xiaoqing and Jia, Tianwang and Wu, Dongrui (2025). Data alignment based adversarial defense benchmark for EEG-based BCIs. Neural Networks. https://doi.org/10.1016/j.neunet.2025.107516</w:t>
      </w:r>
    </w:p>
    <w:p>
      <w:r>
        <w:t>Conceição da Costa, Beatriz and Lucca, Giancarlo and Oliveira, Lizandro and Riker, André and Dalmazo, Bruno (2026). Model Comparison for Adversarial Attack Detection in EEG-Based Brain-Computer Interfaces. Proceedings of the 28th International Conference on Enterprise Information Systems. https://doi.org/10.5220/0014819600004018</w:t>
      </w:r>
    </w:p>
    <w:p>
      <w:r>
        <w:t>Khilnani, Aashish and Kirar, Jyoti Singh and Gautam, Ganga Ram (2025). Enhancing Adversarial Attack Detection in EEG Signals With Covariance Entropy: A Novel Framework for BCI Security. IEEE Signal Processing Letters. https://doi.org/10.1109/lsp.2025.3580330</w:t>
      </w:r>
    </w:p>
    <w:p>
      <w:r>
        <w:t>Lee, Min-Ho and Kwon, O-Yeon and Kim, Yong-Jeong and Kim, Hong-Kyung and Lee, Young-Eun and Williamson, John and Fazli, Siamac and Lee, Seong-Whan (2019). EEG dataset and OpenBMI toolbox for three BCI paradigms: an investigation into BCI illiteracy. GigaScience. https://doi.org/10.1093/gigascience/giz002</w:t>
      </w:r>
    </w:p>
    <w:p>
      <w:r>
        <w:t>Bates, Stephen and Candès, Emmanuel and Lei, Lihua and Romano, Yaniv and Sesia, Matteo (2023). Testing for outliers with conformal p-values. The Annals of Statistics. https://doi.org/10.1214/22-aos2244</w:t>
      </w:r>
    </w:p>
    <w:p>
      <w:r>
        <w:t>Ian J. Goodfellow and Jonathon Shlens and Christian Szegedy (2014). Explaining and Harnessing Adversarial Examples. . https://arxiv.org/abs/1412.6572</w:t>
      </w:r>
    </w:p>
    <w:p>
      <w:r>
        <w:t>Aleksander Madry and Aleksandar Makelov and Ludwig Schmidt and Dimitris Tsipras and Adrian Vladu (2017). Towards Deep Learning Models Resistant to Adversarial Attacks. . https://arxiv.org/abs/1706.06083</w:t>
      </w:r>
    </w:p>
    <w:p>
      <w:r>
        <w:t>Florian Tramer and Nicholas Carlini and Wieland Brendel and Aleksander Madry (2020). On Adaptive Attacks to Adversarial Example Defenses. . https://arxiv.org/abs/2002.08347</w:t>
      </w:r>
    </w:p>
    <w:p>
      <w:r>
        <w:t>Anish Athalye and Logan Engstrom and Andrew Ilyas and Kevin Kwok (2018). Synthesizing Robust Adversarial Examples. Proceedings of the 35th International Conference on Machine Learning. https://proceedings.mlr.press/v80/athalye18b.html</w:t>
      </w:r>
    </w:p>
    <w:p>
      <w:r>
        <w:t>CLOPPER, C. J. and PEARSON, E. S. (1934). THE USE OF CONFIDENCE OR FIDUCIAL LIMITS ILLUSTRATED IN THE CASE OF THE BINOMIAL. Biometrika. https://doi.org/10.1093/biomet/26.4.404</w:t>
      </w:r>
    </w:p>
    <w:p>
      <w:r>
        <w:t>Efron, B. (1979). Bootstrap Methods: Another Look at the Jackknife. The Annals of Statistics. https://doi.org/10.1214/aos/1176344552</w:t>
      </w:r>
    </w:p>
    <w:p>
      <w:r>
        <w:br w:type="page"/>
      </w:r>
    </w:p>
    <w:p>
      <w:pPr>
        <w:pStyle w:val="Heading1"/>
      </w:pPr>
      <w:r>
        <w:t>Figures awaiting visual verification</w:t>
      </w:r>
    </w:p>
    <w:p>
      <w:r>
        <w:t>The two final independent figures remain on Kaggle. They have not been visually verified and are intentionally not represented by substituted or locally regenerated images. The exact hashes and draft captions are recorded in the source package.</w:t>
      </w:r>
    </w:p>
    <w:p>
      <w:pPr>
        <w:pStyle w:val="Heading2"/>
      </w:pPr>
      <w:r>
        <w:t>Figure1  Clean rejection across available participants</w:t>
      </w:r>
    </w:p>
    <w:p>
      <w:r>
        <w:t>Observed genuine-character rejection at nominal5percent for17available held-out OpenBMI participants and seven specified detector controls/adaptations. Each participant contributes all36official test characters for each of three fixed model seeds; each cell averages the three seed-specific rejection proportions. Rows identify participants and columns identify detectors. Participant52 remains in the18-person evaluation flow with unavailable calibrated performance, not an imputed result. The fixed0to100percent color scale represents rejected/all clean characters, not accepted-error probability. Nominal5percent is a calibration setting, not a per-user guarantee;20calibration decisions yield coarse thresholds. Population intervals and accepted-correct/accepted-wrong outcomes are reported in the tables rather than inferred from heatmap colors. This figure belongs to the separately disclosed post-execution numerical-envelope analysis; original strict budget violations remain retained, and no original strict-compliance claim is made.</w:t>
      </w:r>
    </w:p>
    <w:p>
      <w:pPr>
        <w:pStyle w:val="Heading2"/>
      </w:pPr>
      <w:r>
        <w:t>Figure2  Accepted targeted manipulation at the primary budget</w:t>
      </w:r>
    </w:p>
    <w:p>
      <w:r>
        <w:t>Accepted targeted wrong-character manipulation divided by all original attack attempts at raw perturbation budget0.20. Cells show equal-participant means after within-participant averaging over all three fixed model seeds, for17available participants. Rows identify detectors; columns identify the five attack families. Each detector-aware cell concerns a separate attack optimized against that specific detector, not one shared perturbation simultaneously evading all seven or a paired comparative defense-efficacy result. The declared short/long adaptive candidate union applies only to the same character; the longer400step/5restart run covers the fixed first character per participant/seed, not every character. The fixed0to100percent scale represents successful nonrejected targeted manipulation, with unsuccessful attempts retained in the denominator. Pointwise participant-bootstrap intervals and all five nonadaptive budgets are in the full tables; the figure does not establish familywise significance or a best defense. Results use the explicitly revised post-execution float32 conversion envelope, not original strict-budget compliance or proven cohort rounding equivalence.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Paper4 manuscript for professor review</dc:title>
  <dc:subject/>
  <dc:creator>M M Nishat</dc:creator>
  <cp:keywords/>
  <dc:description>generated by python-docx</dc:description>
  <cp:lastModifiedBy/>
  <cp:revision>1</cp:revision>
  <dcterms:created xsi:type="dcterms:W3CDTF">2013-12-23T23:15:00Z</dcterms:created>
  <dcterms:modified xsi:type="dcterms:W3CDTF">2013-12-23T23:15:00Z</dcterms:modified>
  <cp:category/>
</cp:coreProperties>
</file>