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Team eMitra — Domain Research &amp; Technical Background</w:t>
      </w:r>
    </w:p>
    <w:p>
      <w:pPr>
        <w:jc w:val="center"/>
      </w:pPr>
      <w:r>
        <w:rPr>
          <w:i/>
          <w:sz w:val="20"/>
        </w:rPr>
        <w:t>National Technical Research Organisation (NTRO) • Problem Statement ID: SIH26149</w:t>
        <w:br/>
        <w:t>Theme: Blockchain &amp; Cybersecurity | Category: Software</w:t>
        <w:br/>
        <w:t>Date: September 2026 | Version: 1.0.0</w:t>
      </w:r>
    </w:p>
    <w:p>
      <w:pPr>
        <w:pStyle w:val="Heading1"/>
      </w:pPr>
      <w:r>
        <w:t>1. Executive Summary &amp; Problem Scope</w:t>
      </w:r>
    </w:p>
    <w:p>
      <w:r>
        <w:t>In the modern intelligence, military, and law enforcement landscape, cybersecurity operatives and forensic examiners face two intertwined and mission-critical challenges: (1) permanently sanitizing classified data from decommissioned or repurposed storage media to prevent adversary reconstruction, and (2) aggressively carving deleted or damaged artifacts from evidentiary digital media during criminal investigations. Historically, Indian defense units (NTRO, Armed Forces) and law enforcement agencies have been forced to procure disparate, single-purpose foreign tools (e.g., Blancco, BitRaser, DBAN, Autopsy, PhotoRec) that incur steep per-drive license fees, require internet/cloud connectivity, and create operational silos. Void Vault provides an indigenous, single-binary, 100% memory-safe Rust platform that unifies both domains.</w:t>
      </w:r>
    </w:p>
    <w:p>
      <w:pPr>
        <w:pStyle w:val="Heading1"/>
      </w:pPr>
      <w:r>
        <w:t>2. Team eMitra — Domain Expertise &amp; Engineering Roster</w:t>
      </w:r>
    </w:p>
    <w:p>
      <w:r>
        <w:t>Team eMitra consists of specialized undergraduate systems engineers, forensic researchers, and cryptographers:</w:t>
        <w:br/>
        <w:t>• Systems &amp; Kernel Architecture: Deep expertise in Win32 Direct I/O (FILE_FLAG_NO_BUFFERING), Linux io_uring, and low-level IOCTL device commands.</w:t>
        <w:br/>
        <w:t>• Systems Programming (Rust): Memory safety, Rayon parallel work-stealing schedulers, Crossbeam ring buffers, and zero-cost abstractions.</w:t>
        <w:br/>
        <w:t>• Digital Forensics &amp; File Carving: Heuristic signature matching, NTFS Master File Table (MFT) record traversal, and Bifragment Gap Carving (BGC).</w:t>
        <w:br/>
        <w:t>• Cryptographic Assurance &amp; Legal Compliance: Merkle DAG hash-chains, SHA-256 evidence integrity, and Bharatiya Sakshya Adhiniyam (BSA) 2023 §63 court certification.</w:t>
      </w:r>
    </w:p>
    <w:p>
      <w:pPr>
        <w:pStyle w:val="Heading1"/>
      </w:pPr>
      <w:r>
        <w:t>3. Core Storage Mechanics &amp; Forensic Engineering</w:t>
      </w:r>
    </w:p>
    <w:p>
      <w:r>
        <w:t>Physical storage technologies present distinct anti-forensic and forensic recovery challenges:</w:t>
        <w:br/>
        <w:t>• Magnetic Media (HDDs): Susceptible to residual magnetic force microscopy (MFM) attacks if single-pattern overwrites are incomplete. Overcome via 17 international multi-pass standards (DoD 5220.22-M, NIST SP 800-88 Purge, Gutmann).</w:t>
        <w:br/>
        <w:t>• Flash Memory (SSDs &amp; NVMe): Governed by the Flash Translation Layer (FTL), dynamic wear-leveling algorithms, and over-provisioned spare blocks. Logical overwrites cannot reach remapped physical NAND pages. Overcome via native NVMe Sanitize Block Erase, Crypto Erase ASIC commands, and TCG OPAL 2.0 PSID Revert.</w:t>
        <w:br/>
        <w:t>• Hidden Firmware Sectors: Host Protected Areas (HPA) and Device Configuration Overlays (DCO) can harbor hidden adversary partitions. Void Vault inspects native maximum sector counts via ATA IDENTIFY DEVICE to flag and purge hidden areas.</w:t>
      </w:r>
    </w:p>
    <w:p>
      <w:pPr>
        <w:pStyle w:val="Heading1"/>
      </w:pPr>
      <w:r>
        <w:t>4. Legal Framework: Bharatiya Sakshya Adhiniyam (BSA) 2023 §63</w:t>
      </w:r>
    </w:p>
    <w:p>
      <w:r>
        <w:t>Under India's modern criminal justice code, digital evidence is governed by Section 63 of the BSA 2023 (superseding Indian Evidence Act §65B). Electronic records produced from computer systems are admissible only when accompanied by a cryptographically signed certificate signed by the custodian and the technical examiner. Void Vault automates this compliance by generating structured JSON/PDF evidence certificates anchored to an append-only SHA-256 Merkle hash chain, ensuring absolute evidentiary integrity.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