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color w:val="7A1322"/>
          <w:sz w:val="52"/>
          <w:szCs w:val="52"/>
        </w:rPr>
        <w:t xml:space="preserve">MUFG CIAM Platform</w:t>
      </w:r>
    </w:p>
    <w:p>
      <w:pPr>
        <w:spacing w:after="200"/>
      </w:pPr>
      <w:r>
        <w:rPr>
          <w:rFonts w:ascii="Calibri" w:cs="Calibri" w:eastAsia="Calibri" w:hAnsi="Calibri"/>
          <w:b/>
          <w:bCs/>
          <w:color w:val="262626"/>
          <w:sz w:val="40"/>
          <w:szCs w:val="40"/>
        </w:rPr>
        <w:t xml:space="preserve">UAP Functional Objectives</w:t>
      </w:r>
    </w:p>
    <w:p>
      <w:pPr>
        <w:spacing w:after="400"/>
      </w:pPr>
      <w:r>
        <w:rPr>
          <w:rFonts w:ascii="Calibri" w:cs="Calibri" w:eastAsia="Calibri" w:hAnsi="Calibri"/>
          <w:i/>
          <w:iCs/>
          <w:color w:val="6B6B6B"/>
          <w:sz w:val="32"/>
          <w:szCs w:val="32"/>
        </w:rPr>
        <w:t xml:space="preserve">Diagram Descriptions &amp; Detailed Steps</w:t>
      </w:r>
    </w:p>
    <w:p>
      <w:pPr>
        <w:spacing w:after="200"/>
      </w:pPr>
      <w:r>
        <w:rPr>
          <w:rFonts w:ascii="Calibri" w:cs="Calibri" w:eastAsia="Calibri" w:hAnsi="Calibri"/>
          <w:color w:val="6B6B6B"/>
          <w:sz w:val="20"/>
          <w:szCs w:val="20"/>
        </w:rPr>
        <w:t xml:space="preserve">This document provides the narrative description and step-by-step breakdown for each block diagram and sequence diagram in the MUFG CIAM UAP Diagram Deck. Each section corresponds to a UAP functional objective and covers the architecture explanation (for block diagrams) and the detailed interaction steps (for sequence diagrams).</w:t>
      </w:r>
    </w:p>
    <w:p>
      <w:r>
        <w:br w:type="page"/>
      </w:r>
    </w:p>
    <w:p>
      <w:pPr>
        <w:pStyle w:val="Heading1"/>
        <w:spacing w:after="200" w:before="400"/>
        <w:rPr>
          <w:rFonts w:ascii="Calibri" w:cs="Calibri" w:eastAsia="Calibri" w:hAnsi="Calibri"/>
          <w:b/>
          <w:bCs/>
          <w:color w:val="7A1322"/>
          <w:sz w:val="36"/>
          <w:szCs w:val="36"/>
        </w:rPr>
      </w:pPr>
      <w:r>
        <w:t xml:space="preserve">1. Security &amp; High Risk Transaction (HRT)</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Security &amp; High Risk Transaction (HRT)</w:t>
      </w:r>
    </w:p>
    <w:p>
      <w:pPr>
        <w:spacing w:after="160" w:before="80"/>
        <w:ind w:left="0"/>
      </w:pPr>
      <w:r>
        <w:rPr>
          <w:rFonts w:ascii="Calibri" w:cs="Calibri" w:eastAsia="Calibri" w:hAnsi="Calibri"/>
          <w:color w:val="262626"/>
          <w:sz w:val="20"/>
          <w:szCs w:val="20"/>
        </w:rPr>
        <w:t xml:space="preserve">This block diagram shows how UAP routes high-risk transactions through PingGateway to PingOne AIC. AIC evaluates risk using Ping Protect and, when the risk score is elevated, triggers an HRT step-up challenge via RSA SecurID. Ping Directory stores user credentials and entitlements. External systems (DTB, EIP/API Gateway) integrate with the platform for downstream transaction validation.</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HRT Step-Up Authentication (Contact Info Change)</w:t>
      </w:r>
    </w:p>
    <w:p>
      <w:pPr>
        <w:spacing w:after="160" w:before="80"/>
        <w:ind w:left="0"/>
      </w:pPr>
      <w:r>
        <w:rPr>
          <w:rFonts w:ascii="Calibri" w:cs="Calibri" w:eastAsia="Calibri" w:hAnsi="Calibri"/>
          <w:color w:val="262626"/>
          <w:sz w:val="20"/>
          <w:szCs w:val="20"/>
        </w:rPr>
        <w:t xml:space="preserve">This sequence diagram shows the HRT step-up authentication flow triggered when a user navigates to a high-risk page (e.g. Change Contact Info). PingGateway evaluates the HRT route rule and invokes the AIC HRT journey. Ping Protect scores the session risk and, if elevated, RSA SecurID issues an OTP or push challenge before access is granted.</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User selects the Change Contact Info page on the UAP portal.</w:t>
      </w:r>
    </w:p>
    <w:p>
      <w:pPr>
        <w:spacing w:after="40" w:before="40"/>
        <w:ind w:left="360"/>
      </w:pPr>
      <w:r>
        <w:rPr>
          <w:rFonts w:ascii="Calibri" w:cs="Calibri" w:eastAsia="Calibri" w:hAnsi="Calibri"/>
          <w:b w:val="false"/>
          <w:bCs w:val="false"/>
          <w:i w:val="false"/>
          <w:iCs w:val="false"/>
          <w:color w:val="262626"/>
          <w:sz w:val="19"/>
          <w:szCs w:val="19"/>
        </w:rPr>
        <w:t xml:space="preserve">2. UAP forwards the HTTP request to PingGateway 2026.3.</w:t>
      </w:r>
    </w:p>
    <w:p>
      <w:pPr>
        <w:spacing w:after="40" w:before="40"/>
        <w:ind w:left="360"/>
      </w:pPr>
      <w:r>
        <w:rPr>
          <w:rFonts w:ascii="Calibri" w:cs="Calibri" w:eastAsia="Calibri" w:hAnsi="Calibri"/>
          <w:b w:val="false"/>
          <w:bCs w:val="false"/>
          <w:i w:val="false"/>
          <w:iCs w:val="false"/>
          <w:color w:val="262626"/>
          <w:sz w:val="19"/>
          <w:szCs w:val="19"/>
        </w:rPr>
        <w:t xml:space="preserve">3. PingGateway evaluates the HRT route rule to determine if step-up is required.</w:t>
      </w:r>
    </w:p>
    <w:p>
      <w:pPr>
        <w:spacing w:after="40" w:before="40"/>
        <w:ind w:left="360"/>
      </w:pPr>
      <w:r>
        <w:rPr>
          <w:rFonts w:ascii="Calibri" w:cs="Calibri" w:eastAsia="Calibri" w:hAnsi="Calibri"/>
          <w:b w:val="false"/>
          <w:bCs w:val="false"/>
          <w:i w:val="false"/>
          <w:iCs w:val="false"/>
          <w:color w:val="262626"/>
          <w:sz w:val="19"/>
          <w:szCs w:val="19"/>
        </w:rPr>
        <w:t xml:space="preserve">4. PingGateway invokes the HRT journey on PingOne AIC via REST.</w:t>
      </w:r>
    </w:p>
    <w:p>
      <w:pPr>
        <w:spacing w:after="40" w:before="40"/>
        <w:ind w:left="360"/>
      </w:pPr>
      <w:r>
        <w:rPr>
          <w:rFonts w:ascii="Calibri" w:cs="Calibri" w:eastAsia="Calibri" w:hAnsi="Calibri"/>
          <w:b w:val="false"/>
          <w:bCs w:val="false"/>
          <w:i w:val="false"/>
          <w:iCs w:val="false"/>
          <w:color w:val="262626"/>
          <w:sz w:val="19"/>
          <w:szCs w:val="19"/>
        </w:rPr>
        <w:t xml:space="preserve">5. AIC sends session context data to Ping Protect for risk evaluation.</w:t>
      </w:r>
    </w:p>
    <w:p>
      <w:pPr>
        <w:spacing w:after="40" w:before="40"/>
        <w:ind w:left="360"/>
      </w:pPr>
      <w:r>
        <w:rPr>
          <w:rFonts w:ascii="Calibri" w:cs="Calibri" w:eastAsia="Calibri" w:hAnsi="Calibri"/>
          <w:b w:val="false"/>
          <w:bCs w:val="false"/>
          <w:i w:val="false"/>
          <w:iCs w:val="false"/>
          <w:color w:val="262626"/>
          <w:sz w:val="19"/>
          <w:szCs w:val="19"/>
        </w:rPr>
        <w:t xml:space="preserve">6. Ping Protect returns the risk score and risk level to AIC.</w:t>
      </w:r>
    </w:p>
    <w:p>
      <w:pPr>
        <w:spacing w:after="40" w:before="40"/>
        <w:ind w:left="360"/>
      </w:pPr>
      <w:r>
        <w:rPr>
          <w:rFonts w:ascii="Calibri" w:cs="Calibri" w:eastAsia="Calibri" w:hAnsi="Calibri"/>
          <w:b w:val="false"/>
          <w:bCs w:val="false"/>
          <w:i w:val="false"/>
          <w:iCs w:val="false"/>
          <w:color w:val="262626"/>
          <w:sz w:val="19"/>
          <w:szCs w:val="19"/>
        </w:rPr>
        <w:t xml:space="preserve">7. AIC triggers an OTP or push step-up challenge via RSA SecurID.</w:t>
      </w:r>
    </w:p>
    <w:p>
      <w:pPr>
        <w:spacing w:after="40" w:before="40"/>
        <w:ind w:left="360"/>
      </w:pPr>
      <w:r>
        <w:rPr>
          <w:rFonts w:ascii="Calibri" w:cs="Calibri" w:eastAsia="Calibri" w:hAnsi="Calibri"/>
          <w:b w:val="false"/>
          <w:bCs w:val="false"/>
          <w:i w:val="false"/>
          <w:iCs w:val="false"/>
          <w:color w:val="262626"/>
          <w:sz w:val="19"/>
          <w:szCs w:val="19"/>
        </w:rPr>
        <w:t xml:space="preserve">8. AIC presents the MFA challenge to the user via UAP portal.</w:t>
      </w:r>
    </w:p>
    <w:p>
      <w:pPr>
        <w:spacing w:after="40" w:before="40"/>
        <w:ind w:left="360"/>
      </w:pPr>
      <w:r>
        <w:rPr>
          <w:rFonts w:ascii="Calibri" w:cs="Calibri" w:eastAsia="Calibri" w:hAnsi="Calibri"/>
          <w:b w:val="false"/>
          <w:bCs w:val="false"/>
          <w:i w:val="false"/>
          <w:iCs w:val="false"/>
          <w:color w:val="262626"/>
          <w:sz w:val="19"/>
          <w:szCs w:val="19"/>
        </w:rPr>
        <w:t xml:space="preserve">9. User submits OTP or push approval response.</w:t>
      </w:r>
    </w:p>
    <w:p>
      <w:pPr>
        <w:spacing w:after="40" w:before="40"/>
        <w:ind w:left="360"/>
      </w:pPr>
      <w:r>
        <w:rPr>
          <w:rFonts w:ascii="Calibri" w:cs="Calibri" w:eastAsia="Calibri" w:hAnsi="Calibri"/>
          <w:b w:val="false"/>
          <w:bCs w:val="false"/>
          <w:i w:val="false"/>
          <w:iCs w:val="false"/>
          <w:color w:val="262626"/>
          <w:sz w:val="19"/>
          <w:szCs w:val="19"/>
        </w:rPr>
        <w:t xml:space="preserve">10. RSA SecurID validates the response and stores an HRT token to the user session.</w:t>
      </w:r>
    </w:p>
    <w:p>
      <w:pPr>
        <w:spacing w:after="40" w:before="40"/>
        <w:ind w:left="360"/>
      </w:pPr>
      <w:r>
        <w:rPr>
          <w:rFonts w:ascii="Calibri" w:cs="Calibri" w:eastAsia="Calibri" w:hAnsi="Calibri"/>
          <w:b w:val="false"/>
          <w:bCs w:val="false"/>
          <w:i w:val="false"/>
          <w:iCs w:val="false"/>
          <w:color w:val="262626"/>
          <w:sz w:val="19"/>
          <w:szCs w:val="19"/>
        </w:rPr>
        <w:t xml:space="preserve">11. AIC redirects the user and displays the Contact Info page.</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2. User Self-Service</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User Self-Service</w:t>
      </w:r>
    </w:p>
    <w:p>
      <w:pPr>
        <w:spacing w:after="160" w:before="80"/>
        <w:ind w:left="0"/>
      </w:pPr>
      <w:r>
        <w:rPr>
          <w:rFonts w:ascii="Calibri" w:cs="Calibri" w:eastAsia="Calibri" w:hAnsi="Calibri"/>
          <w:color w:val="262626"/>
          <w:sz w:val="20"/>
          <w:szCs w:val="20"/>
        </w:rPr>
        <w:t xml:space="preserve">This block diagram shows the User Self-Service capability set within the UAP Platform. Users interact with the UAP Portal to manage their own access entitlements, devices, profile information, MFA settings, and tokens. All self-service requests are orchestrated through PingOne AIC journeys, with identity data read from and written to Ping Directory. Where entitlement changes require approval, requests are routed to the Approval Workflow engine.</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User Self-Service (Access Entitlement Request)</w:t>
      </w:r>
    </w:p>
    <w:p>
      <w:pPr>
        <w:spacing w:after="160" w:before="80"/>
        <w:ind w:left="0"/>
      </w:pPr>
      <w:r>
        <w:rPr>
          <w:rFonts w:ascii="Calibri" w:cs="Calibri" w:eastAsia="Calibri" w:hAnsi="Calibri"/>
          <w:color w:val="262626"/>
          <w:sz w:val="20"/>
          <w:szCs w:val="20"/>
        </w:rPr>
        <w:t xml:space="preserve">This sequence diagram shows an Access Entitlement Request through the User Self-Service capability. A logged-in user requests a new application entitlement; PingOne AIC fetches available entitlements from Ping Directory, presents the selection, and on submission routes the request through the Approval Workflow engine before provisioning the granted entitlement.</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User accesses the UAP self-service portal.</w:t>
      </w:r>
    </w:p>
    <w:p>
      <w:pPr>
        <w:spacing w:after="40" w:before="40"/>
        <w:ind w:left="360"/>
      </w:pPr>
      <w:r>
        <w:rPr>
          <w:rFonts w:ascii="Calibri" w:cs="Calibri" w:eastAsia="Calibri" w:hAnsi="Calibri"/>
          <w:b w:val="false"/>
          <w:bCs w:val="false"/>
          <w:i w:val="false"/>
          <w:iCs w:val="false"/>
          <w:color w:val="262626"/>
          <w:sz w:val="19"/>
          <w:szCs w:val="19"/>
        </w:rPr>
        <w:t xml:space="preserve">2. UAP starts the Access Self-Service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fetches the list of available entitlements from Ping Directory.</w:t>
      </w:r>
    </w:p>
    <w:p>
      <w:pPr>
        <w:spacing w:after="40" w:before="40"/>
        <w:ind w:left="360"/>
      </w:pPr>
      <w:r>
        <w:rPr>
          <w:rFonts w:ascii="Calibri" w:cs="Calibri" w:eastAsia="Calibri" w:hAnsi="Calibri"/>
          <w:b w:val="false"/>
          <w:bCs w:val="false"/>
          <w:i w:val="false"/>
          <w:iCs w:val="false"/>
          <w:color w:val="262626"/>
          <w:sz w:val="19"/>
          <w:szCs w:val="19"/>
        </w:rPr>
        <w:t xml:space="preserve">4. Ping Directory returns the entitlement list to AIC.</w:t>
      </w:r>
    </w:p>
    <w:p>
      <w:pPr>
        <w:spacing w:after="40" w:before="40"/>
        <w:ind w:left="360"/>
      </w:pPr>
      <w:r>
        <w:rPr>
          <w:rFonts w:ascii="Calibri" w:cs="Calibri" w:eastAsia="Calibri" w:hAnsi="Calibri"/>
          <w:b w:val="false"/>
          <w:bCs w:val="false"/>
          <w:i w:val="false"/>
          <w:iCs w:val="false"/>
          <w:color w:val="262626"/>
          <w:sz w:val="19"/>
          <w:szCs w:val="19"/>
        </w:rPr>
        <w:t xml:space="preserve">5. AIC presents the entitlement selection page to the user.</w:t>
      </w:r>
    </w:p>
    <w:p>
      <w:pPr>
        <w:spacing w:after="40" w:before="40"/>
        <w:ind w:left="360"/>
      </w:pPr>
      <w:r>
        <w:rPr>
          <w:rFonts w:ascii="Calibri" w:cs="Calibri" w:eastAsia="Calibri" w:hAnsi="Calibri"/>
          <w:b w:val="false"/>
          <w:bCs w:val="false"/>
          <w:i w:val="false"/>
          <w:iCs w:val="false"/>
          <w:color w:val="262626"/>
          <w:sz w:val="19"/>
          <w:szCs w:val="19"/>
        </w:rPr>
        <w:t xml:space="preserve">6. User selects the desired entitlement and submits the request.</w:t>
      </w:r>
    </w:p>
    <w:p>
      <w:pPr>
        <w:spacing w:after="40" w:before="40"/>
        <w:ind w:left="360"/>
      </w:pPr>
      <w:r>
        <w:rPr>
          <w:rFonts w:ascii="Calibri" w:cs="Calibri" w:eastAsia="Calibri" w:hAnsi="Calibri"/>
          <w:b w:val="false"/>
          <w:bCs w:val="false"/>
          <w:i w:val="false"/>
          <w:iCs w:val="false"/>
          <w:color w:val="262626"/>
          <w:sz w:val="19"/>
          <w:szCs w:val="19"/>
        </w:rPr>
        <w:t xml:space="preserve">7. AIC routes the request to the Approval Workflow engine.</w:t>
      </w:r>
    </w:p>
    <w:p>
      <w:pPr>
        <w:spacing w:after="40" w:before="40"/>
        <w:ind w:left="360"/>
      </w:pPr>
      <w:r>
        <w:rPr>
          <w:rFonts w:ascii="Calibri" w:cs="Calibri" w:eastAsia="Calibri" w:hAnsi="Calibri"/>
          <w:b w:val="false"/>
          <w:bCs w:val="false"/>
          <w:i w:val="false"/>
          <w:iCs w:val="false"/>
          <w:color w:val="262626"/>
          <w:sz w:val="19"/>
          <w:szCs w:val="19"/>
        </w:rPr>
        <w:t xml:space="preserve">8. Approval Workflow notifies the designated approver by email.</w:t>
      </w:r>
    </w:p>
    <w:p>
      <w:pPr>
        <w:spacing w:after="40" w:before="40"/>
        <w:ind w:left="360"/>
      </w:pPr>
      <w:r>
        <w:rPr>
          <w:rFonts w:ascii="Calibri" w:cs="Calibri" w:eastAsia="Calibri" w:hAnsi="Calibri"/>
          <w:b w:val="false"/>
          <w:bCs w:val="false"/>
          <w:i w:val="false"/>
          <w:iCs w:val="false"/>
          <w:color w:val="262626"/>
          <w:sz w:val="19"/>
          <w:szCs w:val="19"/>
        </w:rPr>
        <w:t xml:space="preserve">9. Approver grants approval via the UAP admin interface.</w:t>
      </w:r>
    </w:p>
    <w:p>
      <w:pPr>
        <w:spacing w:after="40" w:before="40"/>
        <w:ind w:left="360"/>
      </w:pPr>
      <w:r>
        <w:rPr>
          <w:rFonts w:ascii="Calibri" w:cs="Calibri" w:eastAsia="Calibri" w:hAnsi="Calibri"/>
          <w:b w:val="false"/>
          <w:bCs w:val="false"/>
          <w:i w:val="false"/>
          <w:iCs w:val="false"/>
          <w:color w:val="262626"/>
          <w:sz w:val="19"/>
          <w:szCs w:val="19"/>
        </w:rPr>
        <w:t xml:space="preserve">10. AIC provisions the approved entitlement to the user in Ping Directory.</w:t>
      </w:r>
    </w:p>
    <w:p>
      <w:pPr>
        <w:spacing w:after="40" w:before="40"/>
        <w:ind w:left="360"/>
      </w:pPr>
      <w:r>
        <w:rPr>
          <w:rFonts w:ascii="Calibri" w:cs="Calibri" w:eastAsia="Calibri" w:hAnsi="Calibri"/>
          <w:b w:val="false"/>
          <w:bCs w:val="false"/>
          <w:i w:val="false"/>
          <w:iCs w:val="false"/>
          <w:color w:val="262626"/>
          <w:sz w:val="19"/>
          <w:szCs w:val="19"/>
        </w:rPr>
        <w:t xml:space="preserve">11. AIC displays a confirmation — entitlement successfully added.</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3. Admin Operations</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Admin Operations</w:t>
      </w:r>
    </w:p>
    <w:p>
      <w:pPr>
        <w:spacing w:after="160" w:before="80"/>
        <w:ind w:left="0"/>
      </w:pPr>
      <w:r>
        <w:rPr>
          <w:rFonts w:ascii="Calibri" w:cs="Calibri" w:eastAsia="Calibri" w:hAnsi="Calibri"/>
          <w:color w:val="262626"/>
          <w:sz w:val="20"/>
          <w:szCs w:val="20"/>
        </w:rPr>
        <w:t xml:space="preserve">This block diagram shows the Admin Operations capability set. Administrators use the UAP Admin Console to perform user management actions including lock/unlock, MFA management, profile administration, user enrolment, and copy-clone operations. All actions are executed through PingOne AIC journeys, with updates persisted to Ping Directory. RSA SecurID integration handles token-related admin operations; email notifications are dispatched for key events such as account lock.</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Admin Lock/Unlock (Fraud Lock)</w:t>
      </w:r>
    </w:p>
    <w:p>
      <w:pPr>
        <w:spacing w:after="160" w:before="80"/>
        <w:ind w:left="0"/>
      </w:pPr>
      <w:r>
        <w:rPr>
          <w:rFonts w:ascii="Calibri" w:cs="Calibri" w:eastAsia="Calibri" w:hAnsi="Calibri"/>
          <w:color w:val="262626"/>
          <w:sz w:val="20"/>
          <w:szCs w:val="20"/>
        </w:rPr>
        <w:t xml:space="preserve">This sequence diagram shows an Admin Lock/Unlock operation — specifically a Fraud Lock scenario. An administrator selects a target user and initiates a lock action via the UAP Admin Console. PingOne AIC validates the admin's role and lock type, checks the fraud lock flag in Ping Directory, applies the lock, and notifies the affected user by email.</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selects the target user account to lock in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starts the Lock/Unlock journey in PingOne AIC via OIDC.</w:t>
      </w:r>
    </w:p>
    <w:p>
      <w:pPr>
        <w:spacing w:after="40" w:before="40"/>
        <w:ind w:left="360"/>
      </w:pPr>
      <w:r>
        <w:rPr>
          <w:rFonts w:ascii="Calibri" w:cs="Calibri" w:eastAsia="Calibri" w:hAnsi="Calibri"/>
          <w:b w:val="false"/>
          <w:bCs w:val="false"/>
          <w:i w:val="false"/>
          <w:iCs w:val="false"/>
          <w:color w:val="262626"/>
          <w:sz w:val="19"/>
          <w:szCs w:val="19"/>
        </w:rPr>
        <w:t xml:space="preserve">3. AIC validates the admin's role and the requested lock type.</w:t>
      </w:r>
    </w:p>
    <w:p>
      <w:pPr>
        <w:spacing w:after="40" w:before="40"/>
        <w:ind w:left="360"/>
      </w:pPr>
      <w:r>
        <w:rPr>
          <w:rFonts w:ascii="Calibri" w:cs="Calibri" w:eastAsia="Calibri" w:hAnsi="Calibri"/>
          <w:b w:val="false"/>
          <w:bCs w:val="false"/>
          <w:i w:val="false"/>
          <w:iCs w:val="false"/>
          <w:color w:val="262626"/>
          <w:sz w:val="19"/>
          <w:szCs w:val="19"/>
        </w:rPr>
        <w:t xml:space="preserve">4. AIC checks the fraud lock flag for the target user in Ping Directory.</w:t>
      </w:r>
    </w:p>
    <w:p>
      <w:pPr>
        <w:spacing w:after="40" w:before="40"/>
        <w:ind w:left="360"/>
      </w:pPr>
      <w:r>
        <w:rPr>
          <w:rFonts w:ascii="Calibri" w:cs="Calibri" w:eastAsia="Calibri" w:hAnsi="Calibri"/>
          <w:b w:val="false"/>
          <w:bCs w:val="false"/>
          <w:i w:val="false"/>
          <w:iCs w:val="false"/>
          <w:color w:val="262626"/>
          <w:sz w:val="19"/>
          <w:szCs w:val="19"/>
        </w:rPr>
        <w:t xml:space="preserve">5. Ping Directory returns the current lock status to AIC.</w:t>
      </w:r>
    </w:p>
    <w:p>
      <w:pPr>
        <w:spacing w:after="40" w:before="40"/>
        <w:ind w:left="360"/>
      </w:pPr>
      <w:r>
        <w:rPr>
          <w:rFonts w:ascii="Calibri" w:cs="Calibri" w:eastAsia="Calibri" w:hAnsi="Calibri"/>
          <w:b w:val="false"/>
          <w:bCs w:val="false"/>
          <w:i w:val="false"/>
          <w:iCs w:val="false"/>
          <w:color w:val="262626"/>
          <w:sz w:val="19"/>
          <w:szCs w:val="19"/>
        </w:rPr>
        <w:t xml:space="preserve">6. AIC applies the account lock in Ping Directory.</w:t>
      </w:r>
    </w:p>
    <w:p>
      <w:pPr>
        <w:spacing w:after="40" w:before="40"/>
        <w:ind w:left="360"/>
      </w:pPr>
      <w:r>
        <w:rPr>
          <w:rFonts w:ascii="Calibri" w:cs="Calibri" w:eastAsia="Calibri" w:hAnsi="Calibri"/>
          <w:b w:val="false"/>
          <w:bCs w:val="false"/>
          <w:i w:val="false"/>
          <w:iCs w:val="false"/>
          <w:color w:val="262626"/>
          <w:sz w:val="19"/>
          <w:szCs w:val="19"/>
        </w:rPr>
        <w:t xml:space="preserve">7. Ping Directory confirms the lock has been applied.</w:t>
      </w:r>
    </w:p>
    <w:p>
      <w:pPr>
        <w:spacing w:after="40" w:before="40"/>
        <w:ind w:left="360"/>
      </w:pPr>
      <w:r>
        <w:rPr>
          <w:rFonts w:ascii="Calibri" w:cs="Calibri" w:eastAsia="Calibri" w:hAnsi="Calibri"/>
          <w:b w:val="false"/>
          <w:bCs w:val="false"/>
          <w:i w:val="false"/>
          <w:iCs w:val="false"/>
          <w:color w:val="262626"/>
          <w:sz w:val="19"/>
          <w:szCs w:val="19"/>
        </w:rPr>
        <w:t xml:space="preserve">8. AIC dispatches a lock notification email to the user.</w:t>
      </w:r>
    </w:p>
    <w:p>
      <w:pPr>
        <w:spacing w:after="40" w:before="40"/>
        <w:ind w:left="360"/>
      </w:pPr>
      <w:r>
        <w:rPr>
          <w:rFonts w:ascii="Calibri" w:cs="Calibri" w:eastAsia="Calibri" w:hAnsi="Calibri"/>
          <w:b w:val="false"/>
          <w:bCs w:val="false"/>
          <w:i w:val="false"/>
          <w:iCs w:val="false"/>
          <w:color w:val="262626"/>
          <w:sz w:val="19"/>
          <w:szCs w:val="19"/>
        </w:rPr>
        <w:t xml:space="preserve">9. AIC returns a confirmation message to the admin.</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4. Bank Admin &amp; Governance</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Bank Admin &amp; Governance</w:t>
      </w:r>
    </w:p>
    <w:p>
      <w:pPr>
        <w:spacing w:after="160" w:before="80"/>
        <w:ind w:left="0"/>
      </w:pPr>
      <w:r>
        <w:rPr>
          <w:rFonts w:ascii="Calibri" w:cs="Calibri" w:eastAsia="Calibri" w:hAnsi="Calibri"/>
          <w:color w:val="262626"/>
          <w:sz w:val="20"/>
          <w:szCs w:val="20"/>
        </w:rPr>
        <w:t xml:space="preserve">This block diagram shows the Bank Admin and Governance capability set. Bank administrators can manage role assignments, initiate co-browsing sessions for customer support, view emulated user sessions, access audit logs, and operate within a role-based access model. The ACAT Engine enforces role-based entitlement decisions. Audit events are persisted to the Audit Log Store. Co-Browse sessions are managed via an external Co-Browse Service.</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Bank Admin Co-Browsing</w:t>
      </w:r>
    </w:p>
    <w:p>
      <w:pPr>
        <w:spacing w:after="160" w:before="80"/>
        <w:ind w:left="0"/>
      </w:pPr>
      <w:r>
        <w:rPr>
          <w:rFonts w:ascii="Calibri" w:cs="Calibri" w:eastAsia="Calibri" w:hAnsi="Calibri"/>
          <w:color w:val="262626"/>
          <w:sz w:val="20"/>
          <w:szCs w:val="20"/>
        </w:rPr>
        <w:t xml:space="preserve">This sequence diagram shows a Bank Admin initiating a Co-Browsing session to provide customer support. The admin authenticates via the UAP Admin Console, requests a co-browsing session through PingOne AIC, and is connected to the customer's active session via the external Co-Browse Service. All session events are written to the Audit Log Store.</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Bank Admin authenticates to the UAP Admin Console.</w:t>
      </w:r>
    </w:p>
    <w:p>
      <w:pPr>
        <w:spacing w:after="40" w:before="40"/>
        <w:ind w:left="360"/>
      </w:pPr>
      <w:r>
        <w:rPr>
          <w:rFonts w:ascii="Calibri" w:cs="Calibri" w:eastAsia="Calibri" w:hAnsi="Calibri"/>
          <w:b w:val="false"/>
          <w:bCs w:val="false"/>
          <w:i w:val="false"/>
          <w:iCs w:val="false"/>
          <w:color w:val="262626"/>
          <w:sz w:val="19"/>
          <w:szCs w:val="19"/>
        </w:rPr>
        <w:t xml:space="preserve">2. Admin requests initiation of a co-browsing session for a target customer.</w:t>
      </w:r>
    </w:p>
    <w:p>
      <w:pPr>
        <w:spacing w:after="40" w:before="40"/>
        <w:ind w:left="360"/>
      </w:pPr>
      <w:r>
        <w:rPr>
          <w:rFonts w:ascii="Calibri" w:cs="Calibri" w:eastAsia="Calibri" w:hAnsi="Calibri"/>
          <w:b w:val="false"/>
          <w:bCs w:val="false"/>
          <w:i w:val="false"/>
          <w:iCs w:val="false"/>
          <w:color w:val="262626"/>
          <w:sz w:val="19"/>
          <w:szCs w:val="19"/>
        </w:rPr>
        <w:t xml:space="preserve">3. UAP routes the co-browse request to PingOne AIC.</w:t>
      </w:r>
    </w:p>
    <w:p>
      <w:pPr>
        <w:spacing w:after="40" w:before="40"/>
        <w:ind w:left="360"/>
      </w:pPr>
      <w:r>
        <w:rPr>
          <w:rFonts w:ascii="Calibri" w:cs="Calibri" w:eastAsia="Calibri" w:hAnsi="Calibri"/>
          <w:b w:val="false"/>
          <w:bCs w:val="false"/>
          <w:i w:val="false"/>
          <w:iCs w:val="false"/>
          <w:color w:val="262626"/>
          <w:sz w:val="19"/>
          <w:szCs w:val="19"/>
        </w:rPr>
        <w:t xml:space="preserve">4. AIC validates the admin role and co-browse entitlement via the ACAT Engine.</w:t>
      </w:r>
    </w:p>
    <w:p>
      <w:pPr>
        <w:spacing w:after="40" w:before="40"/>
        <w:ind w:left="360"/>
      </w:pPr>
      <w:r>
        <w:rPr>
          <w:rFonts w:ascii="Calibri" w:cs="Calibri" w:eastAsia="Calibri" w:hAnsi="Calibri"/>
          <w:b w:val="false"/>
          <w:bCs w:val="false"/>
          <w:i w:val="false"/>
          <w:iCs w:val="false"/>
          <w:color w:val="262626"/>
          <w:sz w:val="19"/>
          <w:szCs w:val="19"/>
        </w:rPr>
        <w:t xml:space="preserve">5. ACAT Engine returns the role authorisation decision to AIC.</w:t>
      </w:r>
    </w:p>
    <w:p>
      <w:pPr>
        <w:spacing w:after="40" w:before="40"/>
        <w:ind w:left="360"/>
      </w:pPr>
      <w:r>
        <w:rPr>
          <w:rFonts w:ascii="Calibri" w:cs="Calibri" w:eastAsia="Calibri" w:hAnsi="Calibri"/>
          <w:b w:val="false"/>
          <w:bCs w:val="false"/>
          <w:i w:val="false"/>
          <w:iCs w:val="false"/>
          <w:color w:val="262626"/>
          <w:sz w:val="19"/>
          <w:szCs w:val="19"/>
        </w:rPr>
        <w:t xml:space="preserve">6. AIC requests session creation from the Co-Browse Service.</w:t>
      </w:r>
    </w:p>
    <w:p>
      <w:pPr>
        <w:spacing w:after="40" w:before="40"/>
        <w:ind w:left="360"/>
      </w:pPr>
      <w:r>
        <w:rPr>
          <w:rFonts w:ascii="Calibri" w:cs="Calibri" w:eastAsia="Calibri" w:hAnsi="Calibri"/>
          <w:b w:val="false"/>
          <w:bCs w:val="false"/>
          <w:i w:val="false"/>
          <w:iCs w:val="false"/>
          <w:color w:val="262626"/>
          <w:sz w:val="19"/>
          <w:szCs w:val="19"/>
        </w:rPr>
        <w:t xml:space="preserve">7. Co-Browse Service returns the session token and connection details.</w:t>
      </w:r>
    </w:p>
    <w:p>
      <w:pPr>
        <w:spacing w:after="40" w:before="40"/>
        <w:ind w:left="360"/>
      </w:pPr>
      <w:r>
        <w:rPr>
          <w:rFonts w:ascii="Calibri" w:cs="Calibri" w:eastAsia="Calibri" w:hAnsi="Calibri"/>
          <w:b w:val="false"/>
          <w:bCs w:val="false"/>
          <w:i w:val="false"/>
          <w:iCs w:val="false"/>
          <w:color w:val="262626"/>
          <w:sz w:val="19"/>
          <w:szCs w:val="19"/>
        </w:rPr>
        <w:t xml:space="preserve">8. AIC writes the co-browse session event to the Audit Log Store.</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5. Approval Workflow</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Approval Workflow (Dual-Approval)</w:t>
      </w:r>
    </w:p>
    <w:p>
      <w:pPr>
        <w:spacing w:after="160" w:before="80"/>
        <w:ind w:left="0"/>
      </w:pPr>
      <w:r>
        <w:rPr>
          <w:rFonts w:ascii="Calibri" w:cs="Calibri" w:eastAsia="Calibri" w:hAnsi="Calibri"/>
          <w:color w:val="262626"/>
          <w:sz w:val="20"/>
          <w:szCs w:val="20"/>
        </w:rPr>
        <w:t xml:space="preserve">This block diagram shows the Dual-Approval (Maker-Checker) workflow. A Requesting Admin (Maker) initiates an action such as a user entitlement change via the UAP Admin Console. The request is submitted to PingOne AIC, which routes it through the Approval Engine for review by an Approving Admin (Checker). On approval, AIC executes the action and persists the outcome to Ping Directory. All events are written to the Audit Logger and email notifications are sent at each stage.</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Dual-Approval Maker-Checker Flow</w:t>
      </w:r>
    </w:p>
    <w:p>
      <w:pPr>
        <w:spacing w:after="160" w:before="80"/>
        <w:ind w:left="0"/>
      </w:pPr>
      <w:r>
        <w:rPr>
          <w:rFonts w:ascii="Calibri" w:cs="Calibri" w:eastAsia="Calibri" w:hAnsi="Calibri"/>
          <w:color w:val="262626"/>
          <w:sz w:val="20"/>
          <w:szCs w:val="20"/>
        </w:rPr>
        <w:t xml:space="preserve">This sequence diagram shows the Dual-Approval (Maker-Checker) flow for administrative operations. A Requesting Admin (Maker) submits a change request; PingOne AIC routes it to the Approval Engine which notifies the Approving Admin (Checker) by email. On approval, AIC executes the change, updates Ping Directory, and logs the event.</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Requesting Admin (Maker) initiates a change request via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submits the request to PingOne AIC for workflow orchestration.</w:t>
      </w:r>
    </w:p>
    <w:p>
      <w:pPr>
        <w:spacing w:after="40" w:before="40"/>
        <w:ind w:left="360"/>
      </w:pPr>
      <w:r>
        <w:rPr>
          <w:rFonts w:ascii="Calibri" w:cs="Calibri" w:eastAsia="Calibri" w:hAnsi="Calibri"/>
          <w:b w:val="false"/>
          <w:bCs w:val="false"/>
          <w:i w:val="false"/>
          <w:iCs w:val="false"/>
          <w:color w:val="262626"/>
          <w:sz w:val="19"/>
          <w:szCs w:val="19"/>
        </w:rPr>
        <w:t xml:space="preserve">3. AIC registers the request in the Approval Engine.</w:t>
      </w:r>
    </w:p>
    <w:p>
      <w:pPr>
        <w:spacing w:after="40" w:before="40"/>
        <w:ind w:left="360"/>
      </w:pPr>
      <w:r>
        <w:rPr>
          <w:rFonts w:ascii="Calibri" w:cs="Calibri" w:eastAsia="Calibri" w:hAnsi="Calibri"/>
          <w:b w:val="false"/>
          <w:bCs w:val="false"/>
          <w:i w:val="false"/>
          <w:iCs w:val="false"/>
          <w:color w:val="262626"/>
          <w:sz w:val="19"/>
          <w:szCs w:val="19"/>
        </w:rPr>
        <w:t xml:space="preserve">4. AIC validates the request against ACAT role rules.</w:t>
      </w:r>
    </w:p>
    <w:p>
      <w:pPr>
        <w:spacing w:after="40" w:before="40"/>
        <w:ind w:left="360"/>
      </w:pPr>
      <w:r>
        <w:rPr>
          <w:rFonts w:ascii="Calibri" w:cs="Calibri" w:eastAsia="Calibri" w:hAnsi="Calibri"/>
          <w:b w:val="false"/>
          <w:bCs w:val="false"/>
          <w:i w:val="false"/>
          <w:iCs w:val="false"/>
          <w:color w:val="262626"/>
          <w:sz w:val="19"/>
          <w:szCs w:val="19"/>
        </w:rPr>
        <w:t xml:space="preserve">5. Approval Engine sends an email notification to the Approving Admin (Checker).</w:t>
      </w:r>
    </w:p>
    <w:p>
      <w:pPr>
        <w:spacing w:after="40" w:before="40"/>
        <w:ind w:left="360"/>
      </w:pPr>
      <w:r>
        <w:rPr>
          <w:rFonts w:ascii="Calibri" w:cs="Calibri" w:eastAsia="Calibri" w:hAnsi="Calibri"/>
          <w:b w:val="false"/>
          <w:bCs w:val="false"/>
          <w:i w:val="false"/>
          <w:iCs w:val="false"/>
          <w:color w:val="262626"/>
          <w:sz w:val="19"/>
          <w:szCs w:val="19"/>
        </w:rPr>
        <w:t xml:space="preserve">6. Approving Admin (Checker) reviews and grants approval.</w:t>
      </w:r>
    </w:p>
    <w:p>
      <w:pPr>
        <w:spacing w:after="40" w:before="40"/>
        <w:ind w:left="360"/>
      </w:pPr>
      <w:r>
        <w:rPr>
          <w:rFonts w:ascii="Calibri" w:cs="Calibri" w:eastAsia="Calibri" w:hAnsi="Calibri"/>
          <w:b w:val="false"/>
          <w:bCs w:val="false"/>
          <w:i w:val="false"/>
          <w:iCs w:val="false"/>
          <w:color w:val="262626"/>
          <w:sz w:val="19"/>
          <w:szCs w:val="19"/>
        </w:rPr>
        <w:t xml:space="preserve">7. AIC executes the approved change in Ping Directory.</w:t>
      </w:r>
    </w:p>
    <w:p>
      <w:pPr>
        <w:spacing w:after="40" w:before="40"/>
        <w:ind w:left="360"/>
      </w:pPr>
      <w:r>
        <w:rPr>
          <w:rFonts w:ascii="Calibri" w:cs="Calibri" w:eastAsia="Calibri" w:hAnsi="Calibri"/>
          <w:b w:val="false"/>
          <w:bCs w:val="false"/>
          <w:i w:val="false"/>
          <w:iCs w:val="false"/>
          <w:color w:val="262626"/>
          <w:sz w:val="19"/>
          <w:szCs w:val="19"/>
        </w:rPr>
        <w:t xml:space="preserve">8. AIC writes the approval and execution event to the Audit Logger.</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6. Platform &amp; Integration</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Platform &amp; Integration</w:t>
      </w:r>
    </w:p>
    <w:p>
      <w:pPr>
        <w:spacing w:after="160" w:before="80"/>
        <w:ind w:left="0"/>
      </w:pPr>
      <w:r>
        <w:rPr>
          <w:rFonts w:ascii="Calibri" w:cs="Calibri" w:eastAsia="Calibri" w:hAnsi="Calibri"/>
          <w:color w:val="262626"/>
          <w:sz w:val="20"/>
          <w:szCs w:val="20"/>
        </w:rPr>
        <w:t xml:space="preserve">This block diagram shows the Platform and Integration capability set. The Admin API provides a REST interface consumed by downstream client applications. The Bulk Admin Engine processes bulk file uploads with dual-approval before line-level execution. The Email Service dispatches notifications at key workflow stages. The Dynamic Logo Service resolves tenant-specific branding. Data is persisted in RCS/Oracle DB; SMTP delivers email notifications.</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Bulk Administration File Upload</w:t>
      </w:r>
    </w:p>
    <w:p>
      <w:pPr>
        <w:spacing w:after="160" w:before="80"/>
        <w:ind w:left="0"/>
      </w:pPr>
      <w:r>
        <w:rPr>
          <w:rFonts w:ascii="Calibri" w:cs="Calibri" w:eastAsia="Calibri" w:hAnsi="Calibri"/>
          <w:color w:val="262626"/>
          <w:sz w:val="20"/>
          <w:szCs w:val="20"/>
        </w:rPr>
        <w:t xml:space="preserve">This sequence diagram shows a Bulk Administration file upload and processing flow. An admin uploads a bulk operation file via the UAP Admin Console; PingOne AIC validates and routes it through the Bulk Admin Engine, which triggers dual-approval before processing each line item against Ping Directory.</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uploads a bulk operation file via the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submits the file to PingOne AIC for orchestration.</w:t>
      </w:r>
    </w:p>
    <w:p>
      <w:pPr>
        <w:spacing w:after="40" w:before="40"/>
        <w:ind w:left="360"/>
      </w:pPr>
      <w:r>
        <w:rPr>
          <w:rFonts w:ascii="Calibri" w:cs="Calibri" w:eastAsia="Calibri" w:hAnsi="Calibri"/>
          <w:b w:val="false"/>
          <w:bCs w:val="false"/>
          <w:i w:val="false"/>
          <w:iCs w:val="false"/>
          <w:color w:val="262626"/>
          <w:sz w:val="19"/>
          <w:szCs w:val="19"/>
        </w:rPr>
        <w:t xml:space="preserve">3. AIC validates the file format and content.</w:t>
      </w:r>
    </w:p>
    <w:p>
      <w:pPr>
        <w:spacing w:after="40" w:before="40"/>
        <w:ind w:left="360"/>
      </w:pPr>
      <w:r>
        <w:rPr>
          <w:rFonts w:ascii="Calibri" w:cs="Calibri" w:eastAsia="Calibri" w:hAnsi="Calibri"/>
          <w:b w:val="false"/>
          <w:bCs w:val="false"/>
          <w:i w:val="false"/>
          <w:iCs w:val="false"/>
          <w:color w:val="262626"/>
          <w:sz w:val="19"/>
          <w:szCs w:val="19"/>
        </w:rPr>
        <w:t xml:space="preserve">4. AIC routes the bulk request to the Bulk Admin Engine.</w:t>
      </w:r>
    </w:p>
    <w:p>
      <w:pPr>
        <w:spacing w:after="40" w:before="40"/>
        <w:ind w:left="360"/>
      </w:pPr>
      <w:r>
        <w:rPr>
          <w:rFonts w:ascii="Calibri" w:cs="Calibri" w:eastAsia="Calibri" w:hAnsi="Calibri"/>
          <w:b w:val="false"/>
          <w:bCs w:val="false"/>
          <w:i w:val="false"/>
          <w:iCs w:val="false"/>
          <w:color w:val="262626"/>
          <w:sz w:val="19"/>
          <w:szCs w:val="19"/>
        </w:rPr>
        <w:t xml:space="preserve">5. Bulk Admin Engine initiates a dual-approval (Maker-Checker) workflow.</w:t>
      </w:r>
    </w:p>
    <w:p>
      <w:pPr>
        <w:spacing w:after="40" w:before="40"/>
        <w:ind w:left="360"/>
      </w:pPr>
      <w:r>
        <w:rPr>
          <w:rFonts w:ascii="Calibri" w:cs="Calibri" w:eastAsia="Calibri" w:hAnsi="Calibri"/>
          <w:b w:val="false"/>
          <w:bCs w:val="false"/>
          <w:i w:val="false"/>
          <w:iCs w:val="false"/>
          <w:color w:val="262626"/>
          <w:sz w:val="19"/>
          <w:szCs w:val="19"/>
        </w:rPr>
        <w:t xml:space="preserve">6. Approving Admin reviews and approves the bulk operation.</w:t>
      </w:r>
    </w:p>
    <w:p>
      <w:pPr>
        <w:spacing w:after="40" w:before="40"/>
        <w:ind w:left="360"/>
      </w:pPr>
      <w:r>
        <w:rPr>
          <w:rFonts w:ascii="Calibri" w:cs="Calibri" w:eastAsia="Calibri" w:hAnsi="Calibri"/>
          <w:b w:val="false"/>
          <w:bCs w:val="false"/>
          <w:i w:val="false"/>
          <w:iCs w:val="false"/>
          <w:color w:val="262626"/>
          <w:sz w:val="19"/>
          <w:szCs w:val="19"/>
        </w:rPr>
        <w:t xml:space="preserve">7. Bulk Admin Engine processes each line item in sequence.</w:t>
      </w:r>
    </w:p>
    <w:p>
      <w:pPr>
        <w:spacing w:after="40" w:before="40"/>
        <w:ind w:left="360"/>
      </w:pPr>
      <w:r>
        <w:rPr>
          <w:rFonts w:ascii="Calibri" w:cs="Calibri" w:eastAsia="Calibri" w:hAnsi="Calibri"/>
          <w:b w:val="false"/>
          <w:bCs w:val="false"/>
          <w:i w:val="false"/>
          <w:iCs w:val="false"/>
          <w:color w:val="262626"/>
          <w:sz w:val="19"/>
          <w:szCs w:val="19"/>
        </w:rPr>
        <w:t xml:space="preserve">8. Each line item result is written to Ping Directory.</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7. Reporting &amp; Configuration</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Reporting &amp; Configuration</w:t>
      </w:r>
    </w:p>
    <w:p>
      <w:pPr>
        <w:spacing w:after="160" w:before="80"/>
        <w:ind w:left="0"/>
      </w:pPr>
      <w:r>
        <w:rPr>
          <w:rFonts w:ascii="Calibri" w:cs="Calibri" w:eastAsia="Calibri" w:hAnsi="Calibri"/>
          <w:color w:val="262626"/>
          <w:sz w:val="20"/>
          <w:szCs w:val="20"/>
        </w:rPr>
        <w:t xml:space="preserve">This block diagram shows the Reporting and Configuration capability set. The Reports Engine generates operational and audit reports on request, storing output in the Report File Store. The Text Configuration Service allows administrators to manage UI text and labels without code changes. The Alerts Administration Service defines monitoring thresholds and alarm rules. The WCAG Accessibility Engine validates UI compliance with accessibility standards.</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Report Generation &amp; Download</w:t>
      </w:r>
    </w:p>
    <w:p>
      <w:pPr>
        <w:spacing w:after="160" w:before="80"/>
        <w:ind w:left="0"/>
      </w:pPr>
      <w:r>
        <w:rPr>
          <w:rFonts w:ascii="Calibri" w:cs="Calibri" w:eastAsia="Calibri" w:hAnsi="Calibri"/>
          <w:color w:val="262626"/>
          <w:sz w:val="20"/>
          <w:szCs w:val="20"/>
        </w:rPr>
        <w:t xml:space="preserve">This sequence diagram shows the report generation and download flow. An admin requests a report via the UAP Admin Console; PingOne AIC orchestrates report generation through the Reports Engine, stores the output, and presents a download link to the admin.</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selects a report type and configures parameters in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submits the report request to PingOne AIC.</w:t>
      </w:r>
    </w:p>
    <w:p>
      <w:pPr>
        <w:spacing w:after="40" w:before="40"/>
        <w:ind w:left="360"/>
      </w:pPr>
      <w:r>
        <w:rPr>
          <w:rFonts w:ascii="Calibri" w:cs="Calibri" w:eastAsia="Calibri" w:hAnsi="Calibri"/>
          <w:b w:val="false"/>
          <w:bCs w:val="false"/>
          <w:i w:val="false"/>
          <w:iCs w:val="false"/>
          <w:color w:val="262626"/>
          <w:sz w:val="19"/>
          <w:szCs w:val="19"/>
        </w:rPr>
        <w:t xml:space="preserve">3. AIC validates the admin's report access entitlements.</w:t>
      </w:r>
    </w:p>
    <w:p>
      <w:pPr>
        <w:spacing w:after="40" w:before="40"/>
        <w:ind w:left="360"/>
      </w:pPr>
      <w:r>
        <w:rPr>
          <w:rFonts w:ascii="Calibri" w:cs="Calibri" w:eastAsia="Calibri" w:hAnsi="Calibri"/>
          <w:b w:val="false"/>
          <w:bCs w:val="false"/>
          <w:i w:val="false"/>
          <w:iCs w:val="false"/>
          <w:color w:val="262626"/>
          <w:sz w:val="19"/>
          <w:szCs w:val="19"/>
        </w:rPr>
        <w:t xml:space="preserve">4. AIC invokes the Reports Engine to generate the requested report.</w:t>
      </w:r>
    </w:p>
    <w:p>
      <w:pPr>
        <w:spacing w:after="40" w:before="40"/>
        <w:ind w:left="360"/>
      </w:pPr>
      <w:r>
        <w:rPr>
          <w:rFonts w:ascii="Calibri" w:cs="Calibri" w:eastAsia="Calibri" w:hAnsi="Calibri"/>
          <w:b w:val="false"/>
          <w:bCs w:val="false"/>
          <w:i w:val="false"/>
          <w:iCs w:val="false"/>
          <w:color w:val="262626"/>
          <w:sz w:val="19"/>
          <w:szCs w:val="19"/>
        </w:rPr>
        <w:t xml:space="preserve">5. Reports Engine processes the data and generates the output file.</w:t>
      </w:r>
    </w:p>
    <w:p>
      <w:pPr>
        <w:spacing w:after="40" w:before="40"/>
        <w:ind w:left="360"/>
      </w:pPr>
      <w:r>
        <w:rPr>
          <w:rFonts w:ascii="Calibri" w:cs="Calibri" w:eastAsia="Calibri" w:hAnsi="Calibri"/>
          <w:b w:val="false"/>
          <w:bCs w:val="false"/>
          <w:i w:val="false"/>
          <w:iCs w:val="false"/>
          <w:color w:val="262626"/>
          <w:sz w:val="19"/>
          <w:szCs w:val="19"/>
        </w:rPr>
        <w:t xml:space="preserve">6. Report file is persisted to the Report File Store.</w:t>
      </w:r>
    </w:p>
    <w:p>
      <w:pPr>
        <w:spacing w:after="40" w:before="40"/>
        <w:ind w:left="360"/>
      </w:pPr>
      <w:r>
        <w:rPr>
          <w:rFonts w:ascii="Calibri" w:cs="Calibri" w:eastAsia="Calibri" w:hAnsi="Calibri"/>
          <w:b w:val="false"/>
          <w:bCs w:val="false"/>
          <w:i w:val="false"/>
          <w:iCs w:val="false"/>
          <w:color w:val="262626"/>
          <w:sz w:val="19"/>
          <w:szCs w:val="19"/>
        </w:rPr>
        <w:t xml:space="preserve">7. Reports Engine returns the file reference to AIC.</w:t>
      </w:r>
    </w:p>
    <w:p>
      <w:pPr>
        <w:spacing w:after="40" w:before="40"/>
        <w:ind w:left="360"/>
      </w:pPr>
      <w:r>
        <w:rPr>
          <w:rFonts w:ascii="Calibri" w:cs="Calibri" w:eastAsia="Calibri" w:hAnsi="Calibri"/>
          <w:b w:val="false"/>
          <w:bCs w:val="false"/>
          <w:i w:val="false"/>
          <w:iCs w:val="false"/>
          <w:color w:val="262626"/>
          <w:sz w:val="19"/>
          <w:szCs w:val="19"/>
        </w:rPr>
        <w:t xml:space="preserve">8. AIC presents a download link to the admin via UAP.</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8. ACE (RSA SecurID) Administration</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ACE (RSA SecurID) Administration</w:t>
      </w:r>
    </w:p>
    <w:p>
      <w:pPr>
        <w:spacing w:after="160" w:before="80"/>
        <w:ind w:left="0"/>
      </w:pPr>
      <w:r>
        <w:rPr>
          <w:rFonts w:ascii="Calibri" w:cs="Calibri" w:eastAsia="Calibri" w:hAnsi="Calibri"/>
          <w:color w:val="262626"/>
          <w:sz w:val="20"/>
          <w:szCs w:val="20"/>
        </w:rPr>
        <w:t xml:space="preserve">This block diagram shows the ACE (RSA SecurID) Administration capability set. All capabilities — PIN Set, Next PIN, PIN Reset, Soft Token Registration, Token Cleanup, User Account Cleanup, and Security Domain Cleanup — are executed through PingOne AIC journeys that call the ACE API. User and token metadata is stored in Ping Directory. The three cleanup journeys share a common pattern: admin triggers, AIC calls ACE to identify stale records, ACE removes or archives them, and the outcome is confirmed to the admin.</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ACE PIN / Token Lifecycle</w:t>
      </w:r>
    </w:p>
    <w:p>
      <w:pPr>
        <w:spacing w:after="160" w:before="80"/>
        <w:ind w:left="0"/>
      </w:pPr>
      <w:r>
        <w:rPr>
          <w:rFonts w:ascii="Calibri" w:cs="Calibri" w:eastAsia="Calibri" w:hAnsi="Calibri"/>
          <w:color w:val="262626"/>
          <w:sz w:val="20"/>
          <w:szCs w:val="20"/>
        </w:rPr>
        <w:t xml:space="preserve">This sequence diagram shows the PIN Set flow — the primary user-facing ACE operation. A user requests a new PIN via the UAP self-service portal; PingOne AIC validates the session and calls the ACE (RSA SecurID) API to generate and confirm the new PIN. PIN metadata is updated in Ping Directory and the new PIN is displayed to the user. The same AIC journey pattern applies to Next PIN and PIN Reset operations.</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User navigates to the PIN management page and requests a new PIN.</w:t>
      </w:r>
    </w:p>
    <w:p>
      <w:pPr>
        <w:spacing w:after="40" w:before="40"/>
        <w:ind w:left="360"/>
      </w:pPr>
      <w:r>
        <w:rPr>
          <w:rFonts w:ascii="Calibri" w:cs="Calibri" w:eastAsia="Calibri" w:hAnsi="Calibri"/>
          <w:b w:val="false"/>
          <w:bCs w:val="false"/>
          <w:i w:val="false"/>
          <w:iCs w:val="false"/>
          <w:color w:val="262626"/>
          <w:sz w:val="19"/>
          <w:szCs w:val="19"/>
        </w:rPr>
        <w:t xml:space="preserve">2. UAP Portal starts the PIN Set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validates the user session and authenticates the request.</w:t>
      </w:r>
    </w:p>
    <w:p>
      <w:pPr>
        <w:spacing w:after="40" w:before="40"/>
        <w:ind w:left="360"/>
      </w:pPr>
      <w:r>
        <w:rPr>
          <w:rFonts w:ascii="Calibri" w:cs="Calibri" w:eastAsia="Calibri" w:hAnsi="Calibri"/>
          <w:b w:val="false"/>
          <w:bCs w:val="false"/>
          <w:i w:val="false"/>
          <w:iCs w:val="false"/>
          <w:color w:val="262626"/>
          <w:sz w:val="19"/>
          <w:szCs w:val="19"/>
        </w:rPr>
        <w:t xml:space="preserve">4. AIC calls the ACE (RSA SecurID) API to request a new PIN.</w:t>
      </w:r>
    </w:p>
    <w:p>
      <w:pPr>
        <w:spacing w:after="40" w:before="40"/>
        <w:ind w:left="360"/>
      </w:pPr>
      <w:r>
        <w:rPr>
          <w:rFonts w:ascii="Calibri" w:cs="Calibri" w:eastAsia="Calibri" w:hAnsi="Calibri"/>
          <w:b w:val="false"/>
          <w:bCs w:val="false"/>
          <w:i w:val="false"/>
          <w:iCs w:val="false"/>
          <w:color w:val="262626"/>
          <w:sz w:val="19"/>
          <w:szCs w:val="19"/>
        </w:rPr>
        <w:t xml:space="preserve">5. ACE generates and validates the new PIN.</w:t>
      </w:r>
    </w:p>
    <w:p>
      <w:pPr>
        <w:spacing w:after="40" w:before="40"/>
        <w:ind w:left="360"/>
      </w:pPr>
      <w:r>
        <w:rPr>
          <w:rFonts w:ascii="Calibri" w:cs="Calibri" w:eastAsia="Calibri" w:hAnsi="Calibri"/>
          <w:b w:val="false"/>
          <w:bCs w:val="false"/>
          <w:i w:val="false"/>
          <w:iCs w:val="false"/>
          <w:color w:val="262626"/>
          <w:sz w:val="19"/>
          <w:szCs w:val="19"/>
        </w:rPr>
        <w:t xml:space="preserve">6. ACE returns the new PIN and confirmation to AIC.</w:t>
      </w:r>
    </w:p>
    <w:p>
      <w:pPr>
        <w:spacing w:after="40" w:before="40"/>
        <w:ind w:left="360"/>
      </w:pPr>
      <w:r>
        <w:rPr>
          <w:rFonts w:ascii="Calibri" w:cs="Calibri" w:eastAsia="Calibri" w:hAnsi="Calibri"/>
          <w:b w:val="false"/>
          <w:bCs w:val="false"/>
          <w:i w:val="false"/>
          <w:iCs w:val="false"/>
          <w:color w:val="262626"/>
          <w:sz w:val="19"/>
          <w:szCs w:val="19"/>
        </w:rPr>
        <w:t xml:space="preserve">7. AIC updates the PIN metadata record in Ping Directory.</w:t>
      </w:r>
    </w:p>
    <w:p>
      <w:pPr>
        <w:spacing w:after="40" w:before="40"/>
        <w:ind w:left="360"/>
      </w:pPr>
      <w:r>
        <w:rPr>
          <w:rFonts w:ascii="Calibri" w:cs="Calibri" w:eastAsia="Calibri" w:hAnsi="Calibri"/>
          <w:b w:val="false"/>
          <w:bCs w:val="false"/>
          <w:i w:val="false"/>
          <w:iCs w:val="false"/>
          <w:color w:val="262626"/>
          <w:sz w:val="19"/>
          <w:szCs w:val="19"/>
        </w:rPr>
        <w:t xml:space="preserve">8. Ping Directory confirms the metadata has been stored.</w:t>
      </w:r>
    </w:p>
    <w:p>
      <w:pPr>
        <w:spacing w:after="40" w:before="40"/>
        <w:ind w:left="360"/>
      </w:pPr>
      <w:r>
        <w:rPr>
          <w:rFonts w:ascii="Calibri" w:cs="Calibri" w:eastAsia="Calibri" w:hAnsi="Calibri"/>
          <w:b w:val="false"/>
          <w:bCs w:val="false"/>
          <w:i w:val="false"/>
          <w:iCs w:val="false"/>
          <w:color w:val="262626"/>
          <w:sz w:val="19"/>
          <w:szCs w:val="19"/>
        </w:rPr>
        <w:t xml:space="preserve">9. AIC displays the new PIN to the user via UAP Portal.</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9. User Provisioning</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User Provisioning (Connected &amp; Disconnected Apps)</w:t>
      </w:r>
    </w:p>
    <w:p>
      <w:pPr>
        <w:spacing w:after="160" w:before="80"/>
        <w:ind w:left="0"/>
      </w:pPr>
      <w:r>
        <w:rPr>
          <w:rFonts w:ascii="Calibri" w:cs="Calibri" w:eastAsia="Calibri" w:hAnsi="Calibri"/>
          <w:color w:val="262626"/>
          <w:sz w:val="20"/>
          <w:szCs w:val="20"/>
        </w:rPr>
        <w:t xml:space="preserve">This block diagram shows the User Provisioning capability covering all eight target systems. The UAP Admin Console and AIC/EIP layer sit at the centre of the platform. Y48 is a disconnected application provisioned asynchronously via file or MQ feed. VAS uses SCIM-based synchronisation to Oracle. TBS, SPY, LQC, GIS, DTB, and CCY are connected applications provisioned via REST, SOAP through EIP, or SCIM APIs. CCY is client-initiated — the user triggers provisioning directly.</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Connected App User Provisioning</w:t>
      </w:r>
    </w:p>
    <w:p>
      <w:pPr>
        <w:spacing w:after="160" w:before="80"/>
        <w:ind w:left="0"/>
      </w:pPr>
      <w:r>
        <w:rPr>
          <w:rFonts w:ascii="Calibri" w:cs="Calibri" w:eastAsia="Calibri" w:hAnsi="Calibri"/>
          <w:color w:val="262626"/>
          <w:sz w:val="20"/>
          <w:szCs w:val="20"/>
        </w:rPr>
        <w:t xml:space="preserve">This sequence diagram shows the generic provisioning flow for REST/SOAP/SCIM-connected target applications. An admin initiates a create, update, or deactivate action via the UAP Admin Console; PingOne AIC orchestrates the request through the Integration Layer (EIP), which translates the API to the target's native protocol, invokes the target, and returns the result. This pattern applies to VAS (SCIM), TBS, SPY (REST), LQC, GIS (SOAP via EIP), DTB, and CCY.</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initiates a create, update, or deactivate action in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starts the provisioning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validates the request and checks admin permissions.</w:t>
      </w:r>
    </w:p>
    <w:p>
      <w:pPr>
        <w:spacing w:after="40" w:before="40"/>
        <w:ind w:left="360"/>
      </w:pPr>
      <w:r>
        <w:rPr>
          <w:rFonts w:ascii="Calibri" w:cs="Calibri" w:eastAsia="Calibri" w:hAnsi="Calibri"/>
          <w:b w:val="false"/>
          <w:bCs w:val="false"/>
          <w:i w:val="false"/>
          <w:iCs w:val="false"/>
          <w:color w:val="262626"/>
          <w:sz w:val="19"/>
          <w:szCs w:val="19"/>
        </w:rPr>
        <w:t xml:space="preserve">4. AIC forwards the provisioning request to the Integration Layer (EIP).</w:t>
      </w:r>
    </w:p>
    <w:p>
      <w:pPr>
        <w:spacing w:after="40" w:before="40"/>
        <w:ind w:left="360"/>
      </w:pPr>
      <w:r>
        <w:rPr>
          <w:rFonts w:ascii="Calibri" w:cs="Calibri" w:eastAsia="Calibri" w:hAnsi="Calibri"/>
          <w:b w:val="false"/>
          <w:bCs w:val="false"/>
          <w:i w:val="false"/>
          <w:iCs w:val="false"/>
          <w:color w:val="262626"/>
          <w:sz w:val="19"/>
          <w:szCs w:val="19"/>
        </w:rPr>
        <w:t xml:space="preserve">5. EIP converts the request to the target application's native protocol (REST/SOAP/SCIM).</w:t>
      </w:r>
    </w:p>
    <w:p>
      <w:pPr>
        <w:spacing w:after="40" w:before="40"/>
        <w:ind w:left="360"/>
      </w:pPr>
      <w:r>
        <w:rPr>
          <w:rFonts w:ascii="Calibri" w:cs="Calibri" w:eastAsia="Calibri" w:hAnsi="Calibri"/>
          <w:b w:val="false"/>
          <w:bCs w:val="false"/>
          <w:i w:val="false"/>
          <w:iCs w:val="false"/>
          <w:color w:val="262626"/>
          <w:sz w:val="19"/>
          <w:szCs w:val="19"/>
        </w:rPr>
        <w:t xml:space="preserve">6. EIP invokes the target application API or service.</w:t>
      </w:r>
    </w:p>
    <w:p>
      <w:pPr>
        <w:spacing w:after="40" w:before="40"/>
        <w:ind w:left="360"/>
      </w:pPr>
      <w:r>
        <w:rPr>
          <w:rFonts w:ascii="Calibri" w:cs="Calibri" w:eastAsia="Calibri" w:hAnsi="Calibri"/>
          <w:b w:val="false"/>
          <w:bCs w:val="false"/>
          <w:i w:val="false"/>
          <w:iCs w:val="false"/>
          <w:color w:val="262626"/>
          <w:sz w:val="19"/>
          <w:szCs w:val="19"/>
        </w:rPr>
        <w:t xml:space="preserve">7. Target application returns success response and record ID.</w:t>
      </w:r>
    </w:p>
    <w:p>
      <w:pPr>
        <w:spacing w:after="40" w:before="40"/>
        <w:ind w:left="360"/>
      </w:pPr>
      <w:r>
        <w:rPr>
          <w:rFonts w:ascii="Calibri" w:cs="Calibri" w:eastAsia="Calibri" w:hAnsi="Calibri"/>
          <w:b w:val="false"/>
          <w:bCs w:val="false"/>
          <w:i w:val="false"/>
          <w:iCs w:val="false"/>
          <w:color w:val="262626"/>
          <w:sz w:val="19"/>
          <w:szCs w:val="19"/>
        </w:rPr>
        <w:t xml:space="preserve">8. EIP confirms the provisioning result to AIC.</w:t>
      </w:r>
    </w:p>
    <w:p>
      <w:pPr>
        <w:spacing w:after="40" w:before="40"/>
        <w:ind w:left="360"/>
      </w:pPr>
      <w:r>
        <w:rPr>
          <w:rFonts w:ascii="Calibri" w:cs="Calibri" w:eastAsia="Calibri" w:hAnsi="Calibri"/>
          <w:b w:val="false"/>
          <w:bCs w:val="false"/>
          <w:i w:val="false"/>
          <w:iCs w:val="false"/>
          <w:color w:val="262626"/>
          <w:sz w:val="19"/>
          <w:szCs w:val="19"/>
        </w:rPr>
        <w:t xml:space="preserve">9. AIC updates the provisioning status in Ping Directory.</w:t>
      </w:r>
    </w:p>
    <w:p>
      <w:pPr>
        <w:spacing w:after="40" w:before="40"/>
        <w:ind w:left="360"/>
      </w:pPr>
      <w:r>
        <w:rPr>
          <w:rFonts w:ascii="Calibri" w:cs="Calibri" w:eastAsia="Calibri" w:hAnsi="Calibri"/>
          <w:b w:val="false"/>
          <w:bCs w:val="false"/>
          <w:i w:val="false"/>
          <w:iCs w:val="false"/>
          <w:color w:val="262626"/>
          <w:sz w:val="19"/>
          <w:szCs w:val="19"/>
        </w:rPr>
        <w:t xml:space="preserve">10. Ping Directory confirms the record has been stored.</w:t>
      </w:r>
    </w:p>
    <w:p>
      <w:pPr>
        <w:spacing w:after="40" w:before="40"/>
        <w:ind w:left="360"/>
      </w:pPr>
      <w:r>
        <w:rPr>
          <w:rFonts w:ascii="Calibri" w:cs="Calibri" w:eastAsia="Calibri" w:hAnsi="Calibri"/>
          <w:b w:val="false"/>
          <w:bCs w:val="false"/>
          <w:i w:val="false"/>
          <w:iCs w:val="false"/>
          <w:color w:val="262626"/>
          <w:sz w:val="19"/>
          <w:szCs w:val="19"/>
        </w:rPr>
        <w:t xml:space="preserve">11. Admin receives confirmation in UAP Admin Console.</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Disconnected App User Provisioning (e.g. Y48)</w:t>
      </w:r>
    </w:p>
    <w:p>
      <w:pPr>
        <w:spacing w:after="160" w:before="80"/>
        <w:ind w:left="0"/>
      </w:pPr>
      <w:r>
        <w:rPr>
          <w:rFonts w:ascii="Calibri" w:cs="Calibri" w:eastAsia="Calibri" w:hAnsi="Calibri"/>
          <w:color w:val="262626"/>
          <w:sz w:val="20"/>
          <w:szCs w:val="20"/>
        </w:rPr>
        <w:t xml:space="preserve">This sequence diagram shows the provisioning flow for disconnected target applications (e.g. Y48) that have no live API endpoint. An admin creates or updates a user profile in UAP; PingOne AIC validates and queues the record to the File/MQ Gateway. The admin receives an early 'queued' confirmation — not yet applied. The gateway delivers the file asynchronously during a scheduled batch pickup; the reconciliation status is then returned to AIC and the admin.</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creates or updates a user profile in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submits the profile change request to PingOne AIC.</w:t>
      </w:r>
    </w:p>
    <w:p>
      <w:pPr>
        <w:spacing w:after="40" w:before="40"/>
        <w:ind w:left="360"/>
      </w:pPr>
      <w:r>
        <w:rPr>
          <w:rFonts w:ascii="Calibri" w:cs="Calibri" w:eastAsia="Calibri" w:hAnsi="Calibri"/>
          <w:b w:val="false"/>
          <w:bCs w:val="false"/>
          <w:i w:val="false"/>
          <w:iCs w:val="false"/>
          <w:color w:val="262626"/>
          <w:sz w:val="19"/>
          <w:szCs w:val="19"/>
        </w:rPr>
        <w:t xml:space="preserve">3. AIC validates the request and queues the record for outbound delivery.</w:t>
      </w:r>
    </w:p>
    <w:p>
      <w:pPr>
        <w:spacing w:after="40" w:before="40"/>
        <w:ind w:left="360"/>
      </w:pPr>
      <w:r>
        <w:rPr>
          <w:rFonts w:ascii="Calibri" w:cs="Calibri" w:eastAsia="Calibri" w:hAnsi="Calibri"/>
          <w:b w:val="false"/>
          <w:bCs w:val="false"/>
          <w:i w:val="false"/>
          <w:iCs w:val="false"/>
          <w:color w:val="262626"/>
          <w:sz w:val="19"/>
          <w:szCs w:val="19"/>
        </w:rPr>
        <w:t xml:space="preserve">4. AIC publishes the user record to the File/MQ Gateway.</w:t>
      </w:r>
    </w:p>
    <w:p>
      <w:pPr>
        <w:spacing w:after="40" w:before="40"/>
        <w:ind w:left="360"/>
      </w:pPr>
      <w:r>
        <w:rPr>
          <w:rFonts w:ascii="Calibri" w:cs="Calibri" w:eastAsia="Calibri" w:hAnsi="Calibri"/>
          <w:b w:val="false"/>
          <w:bCs w:val="false"/>
          <w:i w:val="false"/>
          <w:iCs w:val="false"/>
          <w:color w:val="262626"/>
          <w:sz w:val="19"/>
          <w:szCs w:val="19"/>
        </w:rPr>
        <w:t xml:space="preserve">5. AIC confirms to the admin that the request is queued (not yet applied).</w:t>
      </w:r>
    </w:p>
    <w:p>
      <w:pPr>
        <w:spacing w:after="40" w:before="40"/>
        <w:ind w:left="360"/>
      </w:pPr>
      <w:r>
        <w:rPr>
          <w:rFonts w:ascii="Calibri" w:cs="Calibri" w:eastAsia="Calibri" w:hAnsi="Calibri"/>
          <w:b/>
          <w:bCs/>
          <w:i/>
          <w:iCs/>
          <w:color w:val="6B6B6B"/>
          <w:sz w:val="19"/>
          <w:szCs w:val="19"/>
        </w:rPr>
        <w:t xml:space="preserve">--- Asynchronous boundary: batch / scheduled pickup ---</w:t>
      </w:r>
    </w:p>
    <w:p>
      <w:pPr>
        <w:spacing w:after="40" w:before="40"/>
        <w:ind w:left="360"/>
      </w:pPr>
      <w:r>
        <w:rPr>
          <w:rFonts w:ascii="Calibri" w:cs="Calibri" w:eastAsia="Calibri" w:hAnsi="Calibri"/>
          <w:b w:val="false"/>
          <w:bCs w:val="false"/>
          <w:i w:val="false"/>
          <w:iCs w:val="false"/>
          <w:color w:val="262626"/>
          <w:sz w:val="19"/>
          <w:szCs w:val="19"/>
        </w:rPr>
        <w:t xml:space="preserve">6. File/MQ Gateway delivers the file or message to the disconnected application.</w:t>
      </w:r>
    </w:p>
    <w:p>
      <w:pPr>
        <w:spacing w:after="40" w:before="40"/>
        <w:ind w:left="360"/>
      </w:pPr>
      <w:r>
        <w:rPr>
          <w:rFonts w:ascii="Calibri" w:cs="Calibri" w:eastAsia="Calibri" w:hAnsi="Calibri"/>
          <w:b w:val="false"/>
          <w:bCs w:val="false"/>
          <w:i w:val="false"/>
          <w:iCs w:val="false"/>
          <w:color w:val="262626"/>
          <w:sz w:val="19"/>
          <w:szCs w:val="19"/>
        </w:rPr>
        <w:t xml:space="preserve">7. Disconnected application ingests and applies the profile update.</w:t>
      </w:r>
    </w:p>
    <w:p>
      <w:pPr>
        <w:spacing w:after="40" w:before="40"/>
        <w:ind w:left="360"/>
      </w:pPr>
      <w:r>
        <w:rPr>
          <w:rFonts w:ascii="Calibri" w:cs="Calibri" w:eastAsia="Calibri" w:hAnsi="Calibri"/>
          <w:b w:val="false"/>
          <w:bCs w:val="false"/>
          <w:i w:val="false"/>
          <w:iCs w:val="false"/>
          <w:color w:val="262626"/>
          <w:sz w:val="19"/>
          <w:szCs w:val="19"/>
        </w:rPr>
        <w:t xml:space="preserve">8. Application returns an acknowledgement or status file to the gateway.</w:t>
      </w:r>
    </w:p>
    <w:p>
      <w:pPr>
        <w:spacing w:after="40" w:before="40"/>
        <w:ind w:left="360"/>
      </w:pPr>
      <w:r>
        <w:rPr>
          <w:rFonts w:ascii="Calibri" w:cs="Calibri" w:eastAsia="Calibri" w:hAnsi="Calibri"/>
          <w:b w:val="false"/>
          <w:bCs w:val="false"/>
          <w:i w:val="false"/>
          <w:iCs w:val="false"/>
          <w:color w:val="262626"/>
          <w:sz w:val="19"/>
          <w:szCs w:val="19"/>
        </w:rPr>
        <w:t xml:space="preserve">9. Gateway updates the reconciliation log in AIC.</w:t>
      </w:r>
    </w:p>
    <w:p>
      <w:pPr>
        <w:spacing w:after="40" w:before="40"/>
        <w:ind w:left="360"/>
      </w:pPr>
      <w:r>
        <w:rPr>
          <w:rFonts w:ascii="Calibri" w:cs="Calibri" w:eastAsia="Calibri" w:hAnsi="Calibri"/>
          <w:b w:val="false"/>
          <w:bCs w:val="false"/>
          <w:i w:val="false"/>
          <w:iCs w:val="false"/>
          <w:color w:val="262626"/>
          <w:sz w:val="19"/>
          <w:szCs w:val="19"/>
        </w:rPr>
        <w:t xml:space="preserve">10. AIC notifies the admin of completion (visible at next login or in reports).</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10. EIP Integration</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EIP Integration (OAuth + REST Translation)</w:t>
      </w:r>
    </w:p>
    <w:p>
      <w:pPr>
        <w:spacing w:after="160" w:before="80"/>
        <w:ind w:left="0"/>
      </w:pPr>
      <w:r>
        <w:rPr>
          <w:rFonts w:ascii="Calibri" w:cs="Calibri" w:eastAsia="Calibri" w:hAnsi="Calibri"/>
          <w:color w:val="262626"/>
          <w:sz w:val="20"/>
          <w:szCs w:val="20"/>
        </w:rPr>
        <w:t xml:space="preserve">This block diagram shows the EIP (Enterprise Integration Platform) acting as a single gateway for all five target integrations. A user or admin initiates a request via the UAP Portal; PingOne AIC orchestrates the journey and routes the call to EIP. EIP handles OAuth authentication, translates the API to each target system's native protocol (REST or SOAP), routes to the correct target, and manages error handling. Target systems: LQC, TBS, Y48, DTB, and SPY.</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EIP Integration (OAuth + REST Translation)</w:t>
      </w:r>
    </w:p>
    <w:p>
      <w:pPr>
        <w:spacing w:after="160" w:before="80"/>
        <w:ind w:left="0"/>
      </w:pPr>
      <w:r>
        <w:rPr>
          <w:rFonts w:ascii="Calibri" w:cs="Calibri" w:eastAsia="Calibri" w:hAnsi="Calibri"/>
          <w:color w:val="262626"/>
          <w:sz w:val="20"/>
          <w:szCs w:val="20"/>
        </w:rPr>
        <w:t xml:space="preserve">This sequence diagram shows the generic EIP integration flow applicable to all five target systems (LQC, TBS, Y48, DTB, SPY). A user initiates a request via the UAP Portal; PingOne AIC starts the integration journey and forwards the request to EIP Gateway. EIP obtains an OAuth access token, translates the API to the target's native protocol, invokes the target system, and returns the result back to the user. This pattern repeats for all five target systems.</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User initiates request via UAP Portal.</w:t>
      </w:r>
    </w:p>
    <w:p>
      <w:pPr>
        <w:spacing w:after="40" w:before="40"/>
        <w:ind w:left="360"/>
      </w:pPr>
      <w:r>
        <w:rPr>
          <w:rFonts w:ascii="Calibri" w:cs="Calibri" w:eastAsia="Calibri" w:hAnsi="Calibri"/>
          <w:b w:val="false"/>
          <w:bCs w:val="false"/>
          <w:i w:val="false"/>
          <w:iCs w:val="false"/>
          <w:color w:val="262626"/>
          <w:sz w:val="19"/>
          <w:szCs w:val="19"/>
        </w:rPr>
        <w:t xml:space="preserve">2. UAP starts the integration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forwards the request to the EIP Gateway.</w:t>
      </w:r>
    </w:p>
    <w:p>
      <w:pPr>
        <w:spacing w:after="40" w:before="40"/>
        <w:ind w:left="360"/>
      </w:pPr>
      <w:r>
        <w:rPr>
          <w:rFonts w:ascii="Calibri" w:cs="Calibri" w:eastAsia="Calibri" w:hAnsi="Calibri"/>
          <w:b w:val="false"/>
          <w:bCs w:val="false"/>
          <w:i w:val="false"/>
          <w:iCs w:val="false"/>
          <w:color w:val="262626"/>
          <w:sz w:val="19"/>
          <w:szCs w:val="19"/>
        </w:rPr>
        <w:t xml:space="preserve">4. EIP requests an OAuth access token from the authorisation server.</w:t>
      </w:r>
    </w:p>
    <w:p>
      <w:pPr>
        <w:spacing w:after="40" w:before="40"/>
        <w:ind w:left="360"/>
      </w:pPr>
      <w:r>
        <w:rPr>
          <w:rFonts w:ascii="Calibri" w:cs="Calibri" w:eastAsia="Calibri" w:hAnsi="Calibri"/>
          <w:b w:val="false"/>
          <w:bCs w:val="false"/>
          <w:i w:val="false"/>
          <w:iCs w:val="false"/>
          <w:color w:val="262626"/>
          <w:sz w:val="19"/>
          <w:szCs w:val="19"/>
        </w:rPr>
        <w:t xml:space="preserve">5. Authorisation server returns a valid access token to EIP.</w:t>
      </w:r>
    </w:p>
    <w:p>
      <w:pPr>
        <w:spacing w:after="40" w:before="40"/>
        <w:ind w:left="360"/>
      </w:pPr>
      <w:r>
        <w:rPr>
          <w:rFonts w:ascii="Calibri" w:cs="Calibri" w:eastAsia="Calibri" w:hAnsi="Calibri"/>
          <w:b w:val="false"/>
          <w:bCs w:val="false"/>
          <w:i w:val="false"/>
          <w:iCs w:val="false"/>
          <w:color w:val="262626"/>
          <w:sz w:val="19"/>
          <w:szCs w:val="19"/>
        </w:rPr>
        <w:t xml:space="preserve">6. EIP translates the API request to the target system's native protocol.</w:t>
      </w:r>
    </w:p>
    <w:p>
      <w:pPr>
        <w:spacing w:after="40" w:before="40"/>
        <w:ind w:left="360"/>
      </w:pPr>
      <w:r>
        <w:rPr>
          <w:rFonts w:ascii="Calibri" w:cs="Calibri" w:eastAsia="Calibri" w:hAnsi="Calibri"/>
          <w:b w:val="false"/>
          <w:bCs w:val="false"/>
          <w:i w:val="false"/>
          <w:iCs w:val="false"/>
          <w:color w:val="262626"/>
          <w:sz w:val="19"/>
          <w:szCs w:val="19"/>
        </w:rPr>
        <w:t xml:space="preserve">7. EIP invokes the target system REST/SOAP API with the access token.</w:t>
      </w:r>
    </w:p>
    <w:p>
      <w:pPr>
        <w:spacing w:after="40" w:before="40"/>
        <w:ind w:left="360"/>
      </w:pPr>
      <w:r>
        <w:rPr>
          <w:rFonts w:ascii="Calibri" w:cs="Calibri" w:eastAsia="Calibri" w:hAnsi="Calibri"/>
          <w:b w:val="false"/>
          <w:bCs w:val="false"/>
          <w:i w:val="false"/>
          <w:iCs w:val="false"/>
          <w:color w:val="262626"/>
          <w:sz w:val="19"/>
          <w:szCs w:val="19"/>
        </w:rPr>
        <w:t xml:space="preserve">8. Target system returns the response or result to EIP.</w:t>
      </w:r>
    </w:p>
    <w:p>
      <w:pPr>
        <w:spacing w:after="40" w:before="40"/>
        <w:ind w:left="360"/>
      </w:pPr>
      <w:r>
        <w:rPr>
          <w:rFonts w:ascii="Calibri" w:cs="Calibri" w:eastAsia="Calibri" w:hAnsi="Calibri"/>
          <w:b w:val="false"/>
          <w:bCs w:val="false"/>
          <w:i w:val="false"/>
          <w:iCs w:val="false"/>
          <w:color w:val="262626"/>
          <w:sz w:val="19"/>
          <w:szCs w:val="19"/>
        </w:rPr>
        <w:t xml:space="preserve">9. EIP confirms the integration result to AIC.</w:t>
      </w:r>
    </w:p>
    <w:p>
      <w:pPr>
        <w:spacing w:after="40" w:before="40"/>
        <w:ind w:left="360"/>
      </w:pPr>
      <w:r>
        <w:rPr>
          <w:rFonts w:ascii="Calibri" w:cs="Calibri" w:eastAsia="Calibri" w:hAnsi="Calibri"/>
          <w:b w:val="false"/>
          <w:bCs w:val="false"/>
          <w:i w:val="false"/>
          <w:iCs w:val="false"/>
          <w:color w:val="262626"/>
          <w:sz w:val="19"/>
          <w:szCs w:val="19"/>
        </w:rPr>
        <w:t xml:space="preserve">10. AIC returns the outcome to the user via UAP Portal.</w:t>
      </w:r>
    </w:p>
    <w:p>
      <w:pPr>
        <w:spacing w:after="40" w:before="40"/>
        <w:ind w:left="360"/>
      </w:pPr>
      <w:r>
        <w:rPr>
          <w:rFonts w:ascii="Calibri" w:cs="Calibri" w:eastAsia="Calibri" w:hAnsi="Calibri"/>
          <w:b/>
          <w:bCs/>
          <w:i/>
          <w:iCs/>
          <w:color w:val="6B6B6B"/>
          <w:sz w:val="19"/>
          <w:szCs w:val="19"/>
        </w:rPr>
        <w:t xml:space="preserve">Note: This pattern repeats for LQC / TBS / Y48 / DTB / SPY.</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11. Dynatrace Integration &amp; Monitoring</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Dynatrace Integration &amp; Monitoring (DYN)</w:t>
      </w:r>
    </w:p>
    <w:p>
      <w:pPr>
        <w:spacing w:after="160" w:before="80"/>
        <w:ind w:left="0"/>
      </w:pPr>
      <w:r>
        <w:rPr>
          <w:rFonts w:ascii="Calibri" w:cs="Calibri" w:eastAsia="Calibri" w:hAnsi="Calibri"/>
          <w:color w:val="262626"/>
          <w:sz w:val="20"/>
          <w:szCs w:val="20"/>
        </w:rPr>
        <w:t xml:space="preserve">This block diagram shows how Dynatrace integrates with the CIAM platform for end-to-end observability. Dynatrace agents are deployed across all key CIAM components: Login and Authentication flows, Provisioning and Admin operations, and Platform Services (RCS, IDG/PingGateway, PingProtect). Dynatrace captures both client-side browser metrics and server-side application performance, correlates traces end-to-end, generates monitored events for each CIAM function, and provides unified dashboards and proactive alerting for degradation or failures.</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Dynatrace Monitoring</w:t>
      </w:r>
    </w:p>
    <w:p>
      <w:pPr>
        <w:spacing w:after="160" w:before="80"/>
        <w:ind w:left="0"/>
      </w:pPr>
      <w:r>
        <w:rPr>
          <w:rFonts w:ascii="Calibri" w:cs="Calibri" w:eastAsia="Calibri" w:hAnsi="Calibri"/>
          <w:color w:val="262626"/>
          <w:sz w:val="20"/>
          <w:szCs w:val="20"/>
        </w:rPr>
        <w:t xml:space="preserve">This sequence diagram shows how a user CIAM action triggers Dynatrace monitoring. When the user initiates a login or other CIAM action, the AIC journey executes the relevant CIAM flow. Dynatrace agents capture server-side telemetry; client-side RUM agents capture browser performance. Dynatrace correlates client and server traces, raises alerts on degradation or errors, and updates unified dashboards. Synthetic transactions run on a scheduled basis to proactively validate CIAM journey health.</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User initiates a login or CIAM action (e.g. HRT, provisioning) via UAP.</w:t>
      </w:r>
    </w:p>
    <w:p>
      <w:pPr>
        <w:spacing w:after="40" w:before="40"/>
        <w:ind w:left="360"/>
      </w:pPr>
      <w:r>
        <w:rPr>
          <w:rFonts w:ascii="Calibri" w:cs="Calibri" w:eastAsia="Calibri" w:hAnsi="Calibri"/>
          <w:b w:val="false"/>
          <w:bCs w:val="false"/>
          <w:i w:val="false"/>
          <w:iCs w:val="false"/>
          <w:color w:val="262626"/>
          <w:sz w:val="19"/>
          <w:szCs w:val="19"/>
        </w:rPr>
        <w:t xml:space="preserve">2. UAP routes the action to the relevant PingOne AIC journey.</w:t>
      </w:r>
    </w:p>
    <w:p>
      <w:pPr>
        <w:spacing w:after="40" w:before="40"/>
        <w:ind w:left="360"/>
      </w:pPr>
      <w:r>
        <w:rPr>
          <w:rFonts w:ascii="Calibri" w:cs="Calibri" w:eastAsia="Calibri" w:hAnsi="Calibri"/>
          <w:b w:val="false"/>
          <w:bCs w:val="false"/>
          <w:i w:val="false"/>
          <w:iCs w:val="false"/>
          <w:color w:val="262626"/>
          <w:sz w:val="19"/>
          <w:szCs w:val="19"/>
        </w:rPr>
        <w:t xml:space="preserve">3. AIC executes the CIAM flow across platform components.</w:t>
      </w:r>
    </w:p>
    <w:p>
      <w:pPr>
        <w:spacing w:after="40" w:before="40"/>
        <w:ind w:left="360"/>
      </w:pPr>
      <w:r>
        <w:rPr>
          <w:rFonts w:ascii="Calibri" w:cs="Calibri" w:eastAsia="Calibri" w:hAnsi="Calibri"/>
          <w:b w:val="false"/>
          <w:bCs w:val="false"/>
          <w:i w:val="false"/>
          <w:iCs w:val="false"/>
          <w:color w:val="262626"/>
          <w:sz w:val="19"/>
          <w:szCs w:val="19"/>
        </w:rPr>
        <w:t xml:space="preserve">4. Dynatrace agents on CIAM Services emit server-side telemetry to Dynatrace.</w:t>
      </w:r>
    </w:p>
    <w:p>
      <w:pPr>
        <w:spacing w:after="40" w:before="40"/>
        <w:ind w:left="360"/>
      </w:pPr>
      <w:r>
        <w:rPr>
          <w:rFonts w:ascii="Calibri" w:cs="Calibri" w:eastAsia="Calibri" w:hAnsi="Calibri"/>
          <w:b w:val="false"/>
          <w:bCs w:val="false"/>
          <w:i w:val="false"/>
          <w:iCs w:val="false"/>
          <w:color w:val="262626"/>
          <w:sz w:val="19"/>
          <w:szCs w:val="19"/>
        </w:rPr>
        <w:t xml:space="preserve">5. Dynatrace captures performance metrics and detects any errors.</w:t>
      </w:r>
    </w:p>
    <w:p>
      <w:pPr>
        <w:spacing w:after="40" w:before="40"/>
        <w:ind w:left="360"/>
      </w:pPr>
      <w:r>
        <w:rPr>
          <w:rFonts w:ascii="Calibri" w:cs="Calibri" w:eastAsia="Calibri" w:hAnsi="Calibri"/>
          <w:b w:val="false"/>
          <w:bCs w:val="false"/>
          <w:i w:val="false"/>
          <w:iCs w:val="false"/>
          <w:color w:val="262626"/>
          <w:sz w:val="19"/>
          <w:szCs w:val="19"/>
        </w:rPr>
        <w:t xml:space="preserve">6. Client-side RUM agent captures browser behaviour and performance metrics.</w:t>
      </w:r>
    </w:p>
    <w:p>
      <w:pPr>
        <w:spacing w:after="40" w:before="40"/>
        <w:ind w:left="360"/>
      </w:pPr>
      <w:r>
        <w:rPr>
          <w:rFonts w:ascii="Calibri" w:cs="Calibri" w:eastAsia="Calibri" w:hAnsi="Calibri"/>
          <w:b w:val="false"/>
          <w:bCs w:val="false"/>
          <w:i w:val="false"/>
          <w:iCs w:val="false"/>
          <w:color w:val="262626"/>
          <w:sz w:val="19"/>
          <w:szCs w:val="19"/>
        </w:rPr>
        <w:t xml:space="preserve">7. Dynatrace correlates client-side and server-side traces end-to-end.</w:t>
      </w:r>
    </w:p>
    <w:p>
      <w:pPr>
        <w:spacing w:after="40" w:before="40"/>
        <w:ind w:left="360"/>
      </w:pPr>
      <w:r>
        <w:rPr>
          <w:rFonts w:ascii="Calibri" w:cs="Calibri" w:eastAsia="Calibri" w:hAnsi="Calibri"/>
          <w:b w:val="false"/>
          <w:bCs w:val="false"/>
          <w:i w:val="false"/>
          <w:iCs w:val="false"/>
          <w:color w:val="262626"/>
          <w:sz w:val="19"/>
          <w:szCs w:val="19"/>
        </w:rPr>
        <w:t xml:space="preserve">8. AIC journey result is returned to the user.</w:t>
      </w:r>
    </w:p>
    <w:p>
      <w:pPr>
        <w:spacing w:after="40" w:before="40"/>
        <w:ind w:left="360"/>
      </w:pPr>
      <w:r>
        <w:rPr>
          <w:rFonts w:ascii="Calibri" w:cs="Calibri" w:eastAsia="Calibri" w:hAnsi="Calibri"/>
          <w:b w:val="false"/>
          <w:bCs w:val="false"/>
          <w:i w:val="false"/>
          <w:iCs w:val="false"/>
          <w:color w:val="262626"/>
          <w:sz w:val="19"/>
          <w:szCs w:val="19"/>
        </w:rPr>
        <w:t xml:space="preserve">9. Synthetic transactions run on a scheduled basis to validate journey health.</w:t>
      </w:r>
    </w:p>
    <w:p>
      <w:pPr>
        <w:spacing w:after="40" w:before="40"/>
        <w:ind w:left="360"/>
      </w:pPr>
      <w:r>
        <w:rPr>
          <w:rFonts w:ascii="Calibri" w:cs="Calibri" w:eastAsia="Calibri" w:hAnsi="Calibri"/>
          <w:b w:val="false"/>
          <w:bCs w:val="false"/>
          <w:i w:val="false"/>
          <w:iCs w:val="false"/>
          <w:color w:val="262626"/>
          <w:sz w:val="19"/>
          <w:szCs w:val="19"/>
        </w:rPr>
        <w:t xml:space="preserve">10. Dynatrace updates monitoring dashboards and raises alerts where applicable.</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12. CIA Platform (Access, Migration &amp; Export)</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CIA Platform (Access, Migration &amp; Export)</w:t>
      </w:r>
    </w:p>
    <w:p>
      <w:pPr>
        <w:spacing w:after="160" w:before="80"/>
        <w:ind w:left="0"/>
      </w:pPr>
      <w:r>
        <w:rPr>
          <w:rFonts w:ascii="Calibri" w:cs="Calibri" w:eastAsia="Calibri" w:hAnsi="Calibri"/>
          <w:color w:val="262626"/>
          <w:sz w:val="20"/>
          <w:szCs w:val="20"/>
        </w:rPr>
        <w:t xml:space="preserve">This block diagram shows the CIA Platform capability set covering Default Access on Create, Entitlement Migration, and the Export Feature. When a new user is created, the Default Access capability automatically grants a baseline entitlement (e.g. MBC) through an AIC journey. The Entitlement Migration capability retrieves existing entitlements from Oracle DB, translates them into CIAM roles, and enforces them via AIC. The Export Feature allows administrators to export full customer user lists as CSV, Excel, or PDF, ignoring pagination, with an error overlay on failure.</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CIA Access &amp; Migration Flow</w:t>
      </w:r>
    </w:p>
    <w:p>
      <w:pPr>
        <w:spacing w:after="160" w:before="80"/>
        <w:ind w:left="0"/>
      </w:pPr>
      <w:r>
        <w:rPr>
          <w:rFonts w:ascii="Calibri" w:cs="Calibri" w:eastAsia="Calibri" w:hAnsi="Calibri"/>
          <w:color w:val="262626"/>
          <w:sz w:val="20"/>
          <w:szCs w:val="20"/>
        </w:rPr>
        <w:t xml:space="preserve">This sequence diagram shows the user creation flow with default entitlement grant and Oracle entitlement migration. When a new user is created in the CIA Portal, PingOne AIC retrieves their entitlements from Oracle DB, translates them into CIAM roles, grants a default baseline access level (e.g. MBC), assigns the migrated roles to the user in Ping Directory, and confirms the completed provisioning.</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or user creates a new account in the CIA Portal.</w:t>
      </w:r>
    </w:p>
    <w:p>
      <w:pPr>
        <w:spacing w:after="40" w:before="40"/>
        <w:ind w:left="360"/>
      </w:pPr>
      <w:r>
        <w:rPr>
          <w:rFonts w:ascii="Calibri" w:cs="Calibri" w:eastAsia="Calibri" w:hAnsi="Calibri"/>
          <w:b w:val="false"/>
          <w:bCs w:val="false"/>
          <w:i w:val="false"/>
          <w:iCs w:val="false"/>
          <w:color w:val="262626"/>
          <w:sz w:val="19"/>
          <w:szCs w:val="19"/>
        </w:rPr>
        <w:t xml:space="preserve">2. CIA Portal starts the user onboarding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retrieves the user's entitlements from Oracle DB.</w:t>
      </w:r>
    </w:p>
    <w:p>
      <w:pPr>
        <w:spacing w:after="40" w:before="40"/>
        <w:ind w:left="360"/>
      </w:pPr>
      <w:r>
        <w:rPr>
          <w:rFonts w:ascii="Calibri" w:cs="Calibri" w:eastAsia="Calibri" w:hAnsi="Calibri"/>
          <w:b w:val="false"/>
          <w:bCs w:val="false"/>
          <w:i w:val="false"/>
          <w:iCs w:val="false"/>
          <w:color w:val="262626"/>
          <w:sz w:val="19"/>
          <w:szCs w:val="19"/>
        </w:rPr>
        <w:t xml:space="preserve">4. Oracle DB returns the entitlement list to AIC.</w:t>
      </w:r>
    </w:p>
    <w:p>
      <w:pPr>
        <w:spacing w:after="40" w:before="40"/>
        <w:ind w:left="360"/>
      </w:pPr>
      <w:r>
        <w:rPr>
          <w:rFonts w:ascii="Calibri" w:cs="Calibri" w:eastAsia="Calibri" w:hAnsi="Calibri"/>
          <w:b w:val="false"/>
          <w:bCs w:val="false"/>
          <w:i w:val="false"/>
          <w:iCs w:val="false"/>
          <w:color w:val="262626"/>
          <w:sz w:val="19"/>
          <w:szCs w:val="19"/>
        </w:rPr>
        <w:t xml:space="preserve">5. AIC translates Oracle entitlements into corresponding CIAM roles.</w:t>
      </w:r>
    </w:p>
    <w:p>
      <w:pPr>
        <w:spacing w:after="40" w:before="40"/>
        <w:ind w:left="360"/>
      </w:pPr>
      <w:r>
        <w:rPr>
          <w:rFonts w:ascii="Calibri" w:cs="Calibri" w:eastAsia="Calibri" w:hAnsi="Calibri"/>
          <w:b w:val="false"/>
          <w:bCs w:val="false"/>
          <w:i w:val="false"/>
          <w:iCs w:val="false"/>
          <w:color w:val="262626"/>
          <w:sz w:val="19"/>
          <w:szCs w:val="19"/>
        </w:rPr>
        <w:t xml:space="preserve">6. AIC grants the default baseline access entitlement (e.g. MBC) to the user.</w:t>
      </w:r>
    </w:p>
    <w:p>
      <w:pPr>
        <w:spacing w:after="40" w:before="40"/>
        <w:ind w:left="360"/>
      </w:pPr>
      <w:r>
        <w:rPr>
          <w:rFonts w:ascii="Calibri" w:cs="Calibri" w:eastAsia="Calibri" w:hAnsi="Calibri"/>
          <w:b w:val="false"/>
          <w:bCs w:val="false"/>
          <w:i w:val="false"/>
          <w:iCs w:val="false"/>
          <w:color w:val="262626"/>
          <w:sz w:val="19"/>
          <w:szCs w:val="19"/>
        </w:rPr>
        <w:t xml:space="preserve">7. AIC assigns the translated CIAM roles to the user in Ping Directory.</w:t>
      </w:r>
    </w:p>
    <w:p>
      <w:pPr>
        <w:spacing w:after="40" w:before="40"/>
        <w:ind w:left="360"/>
      </w:pPr>
      <w:r>
        <w:rPr>
          <w:rFonts w:ascii="Calibri" w:cs="Calibri" w:eastAsia="Calibri" w:hAnsi="Calibri"/>
          <w:b w:val="false"/>
          <w:bCs w:val="false"/>
          <w:i w:val="false"/>
          <w:iCs w:val="false"/>
          <w:color w:val="262626"/>
          <w:sz w:val="19"/>
          <w:szCs w:val="19"/>
        </w:rPr>
        <w:t xml:space="preserve">8. Ping Directory confirms the user has been provisioned with the correct roles.</w:t>
      </w:r>
    </w:p>
    <w:p>
      <w:pPr>
        <w:spacing w:after="40" w:before="40"/>
        <w:ind w:left="360"/>
      </w:pPr>
      <w:r>
        <w:rPr>
          <w:rFonts w:ascii="Calibri" w:cs="Calibri" w:eastAsia="Calibri" w:hAnsi="Calibri"/>
          <w:b w:val="false"/>
          <w:bCs w:val="false"/>
          <w:i w:val="false"/>
          <w:iCs w:val="false"/>
          <w:color w:val="262626"/>
          <w:sz w:val="19"/>
          <w:szCs w:val="19"/>
        </w:rPr>
        <w:t xml:space="preserve">9. AIC returns confirmation of successful provisioning to the admin or user.</w:t>
      </w:r>
    </w:p>
    <w:p>
      <w:pPr>
        <w:spacing w:after="300"/>
      </w:pPr>
    </w:p>
    <w:p>
      <w:r>
        <w:br w:type="page"/>
      </w:r>
    </w:p>
    <w:p>
      <w:pPr>
        <w:pStyle w:val="Heading1"/>
        <w:spacing w:after="200" w:before="400"/>
        <w:rPr>
          <w:rFonts w:ascii="Calibri" w:cs="Calibri" w:eastAsia="Calibri" w:hAnsi="Calibri"/>
          <w:b/>
          <w:bCs/>
          <w:color w:val="7A1322"/>
          <w:sz w:val="36"/>
          <w:szCs w:val="36"/>
        </w:rPr>
      </w:pPr>
      <w:r>
        <w:t xml:space="preserve">13. BOB &amp; DMO Integration</w:t>
      </w:r>
    </w:p>
    <w:p>
      <w:pPr>
        <w:pBdr>
          <w:bottom w:val="single" w:color="A6192E" w:sz="6"/>
        </w:pBdr>
        <w:spacing w:after="200"/>
      </w:pPr>
    </w:p>
    <w:p>
      <w:pPr>
        <w:spacing w:after="80" w:before="100"/>
      </w:pPr>
      <w:r>
        <w:rPr>
          <w:rFonts w:ascii="Calibri" w:cs="Calibri" w:eastAsia="Calibri" w:hAnsi="Calibri"/>
          <w:b/>
          <w:bCs/>
          <w:i/>
          <w:iCs/>
          <w:color w:val="A6192E"/>
          <w:sz w:val="18"/>
          <w:szCs w:val="18"/>
        </w:rPr>
        <w:t xml:space="preserve">Block Diagram</w:t>
      </w:r>
    </w:p>
    <w:p>
      <w:pPr>
        <w:pStyle w:val="Heading2"/>
        <w:spacing w:after="120" w:before="300"/>
      </w:pPr>
      <w:r>
        <w:t xml:space="preserve">Block Diagram — BOB &amp; DMO Integration</w:t>
      </w:r>
    </w:p>
    <w:p>
      <w:pPr>
        <w:spacing w:after="160" w:before="80"/>
        <w:ind w:left="0"/>
      </w:pPr>
      <w:r>
        <w:rPr>
          <w:rFonts w:ascii="Calibri" w:cs="Calibri" w:eastAsia="Calibri" w:hAnsi="Calibri"/>
          <w:color w:val="262626"/>
          <w:sz w:val="20"/>
          <w:szCs w:val="20"/>
        </w:rPr>
        <w:t xml:space="preserve">This block diagram shows the BOB and DMO integration capabilities. The BOB Reporting capability enables CIAM to submit report requests to BOB via a near-real-time REST API call; BOB schedules the report generation and returns a confirmation to CIAM. The DMO Data Sync capability ensures that customer and user data held in Ping Directory is synchronised to DMO promptly upon a user-initiated sync request, enabling accurate and up-to-date reporting across the platform.</w:t>
      </w:r>
    </w:p>
    <w:p>
      <w:pPr>
        <w:spacing w:after="300"/>
      </w:pPr>
    </w:p>
    <w:p>
      <w:pPr>
        <w:spacing w:after="80" w:before="100"/>
      </w:pPr>
      <w:r>
        <w:rPr>
          <w:rFonts w:ascii="Calibri" w:cs="Calibri" w:eastAsia="Calibri" w:hAnsi="Calibri"/>
          <w:b/>
          <w:bCs/>
          <w:i/>
          <w:iCs/>
          <w:color w:val="A6192E"/>
          <w:sz w:val="18"/>
          <w:szCs w:val="18"/>
        </w:rPr>
        <w:t xml:space="preserve">Sequence Diagram</w:t>
      </w:r>
    </w:p>
    <w:p>
      <w:pPr>
        <w:pStyle w:val="Heading2"/>
        <w:spacing w:after="120" w:before="300"/>
      </w:pPr>
      <w:r>
        <w:t xml:space="preserve">Sequence Diagram — BOB &amp; DMO Integration</w:t>
      </w:r>
    </w:p>
    <w:p>
      <w:pPr>
        <w:spacing w:after="160" w:before="80"/>
        <w:ind w:left="0"/>
      </w:pPr>
      <w:r>
        <w:rPr>
          <w:rFonts w:ascii="Calibri" w:cs="Calibri" w:eastAsia="Calibri" w:hAnsi="Calibri"/>
          <w:color w:val="262626"/>
          <w:sz w:val="20"/>
          <w:szCs w:val="20"/>
        </w:rPr>
        <w:t xml:space="preserve">This sequence diagram shows the combined BOB report submission and DMO data synchronisation flow. An admin or user triggers a report or data sync request via the UAP Admin Console; PingOne AIC fetches the relevant customer and user data from Ping Directory, sends a REST report request to BOB, and synchronises the data to DMO. Both external systems confirm receipt and AIC returns a final completion confirmation.</w:t>
      </w:r>
    </w:p>
    <w:p>
      <w:pPr>
        <w:spacing w:after="60" w:before="120"/>
      </w:pPr>
      <w:r>
        <w:rPr>
          <w:rFonts w:ascii="Calibri" w:cs="Calibri" w:eastAsia="Calibri" w:hAnsi="Calibri"/>
          <w:b/>
          <w:bCs/>
          <w:color w:val="7A1322"/>
          <w:sz w:val="20"/>
          <w:szCs w:val="20"/>
        </w:rPr>
        <w:t xml:space="preserve">Detailed Steps:</w:t>
      </w:r>
    </w:p>
    <w:p>
      <w:pPr>
        <w:spacing w:after="40" w:before="40"/>
        <w:ind w:left="360"/>
      </w:pPr>
      <w:r>
        <w:rPr>
          <w:rFonts w:ascii="Calibri" w:cs="Calibri" w:eastAsia="Calibri" w:hAnsi="Calibri"/>
          <w:b w:val="false"/>
          <w:bCs w:val="false"/>
          <w:i w:val="false"/>
          <w:iCs w:val="false"/>
          <w:color w:val="262626"/>
          <w:sz w:val="19"/>
          <w:szCs w:val="19"/>
        </w:rPr>
        <w:t xml:space="preserve">1. Admin or user triggers a report request or data sync via UAP Admin Console.</w:t>
      </w:r>
    </w:p>
    <w:p>
      <w:pPr>
        <w:spacing w:after="40" w:before="40"/>
        <w:ind w:left="360"/>
      </w:pPr>
      <w:r>
        <w:rPr>
          <w:rFonts w:ascii="Calibri" w:cs="Calibri" w:eastAsia="Calibri" w:hAnsi="Calibri"/>
          <w:b w:val="false"/>
          <w:bCs w:val="false"/>
          <w:i w:val="false"/>
          <w:iCs w:val="false"/>
          <w:color w:val="262626"/>
          <w:sz w:val="19"/>
          <w:szCs w:val="19"/>
        </w:rPr>
        <w:t xml:space="preserve">2. UAP starts the integration journey in PingOne AIC.</w:t>
      </w:r>
    </w:p>
    <w:p>
      <w:pPr>
        <w:spacing w:after="40" w:before="40"/>
        <w:ind w:left="360"/>
      </w:pPr>
      <w:r>
        <w:rPr>
          <w:rFonts w:ascii="Calibri" w:cs="Calibri" w:eastAsia="Calibri" w:hAnsi="Calibri"/>
          <w:b w:val="false"/>
          <w:bCs w:val="false"/>
          <w:i w:val="false"/>
          <w:iCs w:val="false"/>
          <w:color w:val="262626"/>
          <w:sz w:val="19"/>
          <w:szCs w:val="19"/>
        </w:rPr>
        <w:t xml:space="preserve">3. AIC fetches the relevant customer and user data from Ping Directory.</w:t>
      </w:r>
    </w:p>
    <w:p>
      <w:pPr>
        <w:spacing w:after="40" w:before="40"/>
        <w:ind w:left="360"/>
      </w:pPr>
      <w:r>
        <w:rPr>
          <w:rFonts w:ascii="Calibri" w:cs="Calibri" w:eastAsia="Calibri" w:hAnsi="Calibri"/>
          <w:b w:val="false"/>
          <w:bCs w:val="false"/>
          <w:i w:val="false"/>
          <w:iCs w:val="false"/>
          <w:color w:val="262626"/>
          <w:sz w:val="19"/>
          <w:szCs w:val="19"/>
        </w:rPr>
        <w:t xml:space="preserve">4. Ping Directory returns the requested data set to AIC.</w:t>
      </w:r>
    </w:p>
    <w:p>
      <w:pPr>
        <w:spacing w:after="40" w:before="40"/>
        <w:ind w:left="360"/>
      </w:pPr>
      <w:r>
        <w:rPr>
          <w:rFonts w:ascii="Calibri" w:cs="Calibri" w:eastAsia="Calibri" w:hAnsi="Calibri"/>
          <w:b w:val="false"/>
          <w:bCs w:val="false"/>
          <w:i w:val="false"/>
          <w:iCs w:val="false"/>
          <w:color w:val="262626"/>
          <w:sz w:val="19"/>
          <w:szCs w:val="19"/>
        </w:rPr>
        <w:t xml:space="preserve">5. AIC sends a REST API request to BOB to schedule report generation.</w:t>
      </w:r>
    </w:p>
    <w:p>
      <w:pPr>
        <w:spacing w:after="40" w:before="40"/>
        <w:ind w:left="360"/>
      </w:pPr>
      <w:r>
        <w:rPr>
          <w:rFonts w:ascii="Calibri" w:cs="Calibri" w:eastAsia="Calibri" w:hAnsi="Calibri"/>
          <w:b w:val="false"/>
          <w:bCs w:val="false"/>
          <w:i w:val="false"/>
          <w:iCs w:val="false"/>
          <w:color w:val="262626"/>
          <w:sz w:val="19"/>
          <w:szCs w:val="19"/>
        </w:rPr>
        <w:t xml:space="preserve">6. BOB schedules the report generation and queues the task.</w:t>
      </w:r>
    </w:p>
    <w:p>
      <w:pPr>
        <w:spacing w:after="40" w:before="40"/>
        <w:ind w:left="360"/>
      </w:pPr>
      <w:r>
        <w:rPr>
          <w:rFonts w:ascii="Calibri" w:cs="Calibri" w:eastAsia="Calibri" w:hAnsi="Calibri"/>
          <w:b w:val="false"/>
          <w:bCs w:val="false"/>
          <w:i w:val="false"/>
          <w:iCs w:val="false"/>
          <w:color w:val="262626"/>
          <w:sz w:val="19"/>
          <w:szCs w:val="19"/>
        </w:rPr>
        <w:t xml:space="preserve">7. BOB returns an acknowledgement to AIC.</w:t>
      </w:r>
    </w:p>
    <w:p>
      <w:pPr>
        <w:spacing w:after="40" w:before="40"/>
        <w:ind w:left="360"/>
      </w:pPr>
      <w:r>
        <w:rPr>
          <w:rFonts w:ascii="Calibri" w:cs="Calibri" w:eastAsia="Calibri" w:hAnsi="Calibri"/>
          <w:b w:val="false"/>
          <w:bCs w:val="false"/>
          <w:i w:val="false"/>
          <w:iCs w:val="false"/>
          <w:color w:val="262626"/>
          <w:sz w:val="19"/>
          <w:szCs w:val="19"/>
        </w:rPr>
        <w:t xml:space="preserve">8. AIC confirms the integration is complete and notifies the admin or user.</w:t>
      </w:r>
    </w:p>
    <w:p>
      <w:pPr>
        <w:spacing w:after="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7A1322"/>
      <w:sz w:val="36"/>
      <w:szCs w:val="36"/>
    </w:rPr>
  </w:style>
  <w:style w:type="paragraph" w:styleId="Heading2">
    <w:name w:val="Heading 2"/>
    <w:basedOn w:val="Normal"/>
    <w:next w:val="Normal"/>
    <w:qFormat/>
    <w:pPr>
      <w:spacing w:after="120" w:before="240"/>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2026-07-06T08:56:59.269Z</dcterms:created>
  <dcterms:modified xsi:type="dcterms:W3CDTF">2026-07-06T08:56:59.269Z</dcterms:modified>
</cp:coreProperties>
</file>

<file path=docProps/custom.xml><?xml version="1.0" encoding="utf-8"?>
<Properties xmlns="http://schemas.openxmlformats.org/officeDocument/2006/custom-properties" xmlns:vt="http://schemas.openxmlformats.org/officeDocument/2006/docPropsVTypes"/>
</file>