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Quality Inspection Report</w:t>
      </w:r>
    </w:p>
    <w:p>
      <w:r>
        <w:t>Report ID: QA-SN-0612</w:t>
      </w:r>
    </w:p>
    <w:p>
      <w:r>
        <w:t>Batch: B-SN-0601</w:t>
      </w:r>
    </w:p>
    <w:p>
      <w:r>
        <w:t>SKU: SNK-TR</w:t>
      </w:r>
    </w:p>
    <w:p>
      <w:r>
        <w:t>Supplier: SUP-05 (Stride Footwear)</w:t>
      </w:r>
    </w:p>
    <w:p>
      <w:r>
        <w:t>Inspection date: 2026-06-12</w:t>
      </w:r>
    </w:p>
    <w:p>
      <w:r>
        <w:t>Result: Pass with deviations</w:t>
      </w:r>
    </w:p>
    <w:p>
      <w:r>
        <w:t>Defect rate: 2.1%</w:t>
      </w:r>
    </w:p>
    <w:p>
      <w:r>
        <w:t>Findings: Last length measured 4-6 mm shorter than the size spec on sizes 8 to 10. Toe box width within tolerance. Approved for sale pending supplier corrective action on the last.</w:t>
      </w:r>
    </w:p>
    <w:p>
      <w:r>
        <w:t>Inspector: R. Menon, Stride Footwear QA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