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Newtons Laws of Motion</w:t>
      </w:r>
    </w:p>
    <w:p>
      <w:pPr>
        <w:pStyle w:val="Heading2"/>
      </w:pPr>
      <w:r>
        <w:t>First Law</w:t>
      </w:r>
    </w:p>
    <w:p>
      <w:r>
        <w:t>An object at rest stays at rest, and an object in motion stays in motion with the same speed and direction, unless acted upon by an unbalanced force. This is also known as the law of inertia.</w:t>
      </w:r>
    </w:p>
    <w:p>
      <w:pPr>
        <w:pStyle w:val="Heading2"/>
      </w:pPr>
      <w:r>
        <w:t>Second Law</w:t>
      </w:r>
    </w:p>
    <w:p>
      <w:r>
        <w:t>The acceleration of an object is directly proportional to the net force acting on it and inversely proportional to its mass. The formula is F = ma, where F is force, m is mass, and a is acceleration.</w:t>
      </w:r>
    </w:p>
    <w:p>
      <w:pPr>
        <w:pStyle w:val="Heading2"/>
      </w:pPr>
      <w:r>
        <w:t>Third Law</w:t>
      </w:r>
    </w:p>
    <w:p>
      <w:r>
        <w:t>For every action, there is an equal and opposite reaction. When one body exerts a force on a second body, the second body simultaneously exerts a force equal in magnitude and opposite in direction on the first body.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