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ADVANCED DATA ANALYSIS AND VISUALIZATION IN LOGISTICS</w:t>
      </w:r>
    </w:p>
    <w:p>
      <w:pPr>
        <w:jc w:val="center"/>
      </w:pPr>
      <w:r>
        <w:rPr>
          <w:b/>
        </w:rPr>
        <w:t>WEEK 3 TASK | PYTHON-BASED LOGISTICS ANALYTICS</w:t>
      </w:r>
    </w:p>
    <w:p>
      <w:r>
        <w:t>Prepared by: Nishika Agraw</w:t>
      </w:r>
      <w:bookmarkStart w:id="0" w:name="_GoBack"/>
      <w:bookmarkEnd w:id="0"/>
      <w:r>
        <w:t>al</w:t>
      </w:r>
    </w:p>
    <w:p>
      <w:r>
        <w:t>Tools: Python, pandas, NumPy, Matplotlib</w:t>
      </w:r>
    </w:p>
    <w:p>
      <w:r>
        <w:t>Dataset: Supply Chain Analysis dataset (Week 2 processed CSV)</w:t>
      </w:r>
    </w:p>
    <w:p/>
    <w:p>
      <w:pPr>
        <w:pStyle w:val="1"/>
      </w:pPr>
      <w:r>
        <w:t>1. Introduction</w:t>
      </w:r>
    </w:p>
    <w:p>
      <w:r>
        <w:t>Logistics analytics uses data to understand delivery performance, shipping costs, inventory, production, and demand. This report explores a supply-chain dataset with Python and visualizations. The aim is to summarize key variables, compare logistics categories, investigate relationships, and convert the observed patterns into practical recommendations.</w:t>
      </w:r>
    </w:p>
    <w:p>
      <w:pPr>
        <w:pStyle w:val="1"/>
      </w:pPr>
      <w:r>
        <w:t>2. Objectives</w:t>
      </w:r>
    </w:p>
    <w:p>
      <w:pPr>
        <w:pStyle w:val="27"/>
      </w:pPr>
      <w:r>
        <w:t>Explore the structure and quality of the dataset.</w:t>
      </w:r>
    </w:p>
    <w:p>
      <w:pPr>
        <w:pStyle w:val="27"/>
      </w:pPr>
      <w:r>
        <w:t>Calculate central tendency and dispersion measures for numeric variables.</w:t>
      </w:r>
    </w:p>
    <w:p>
      <w:pPr>
        <w:pStyle w:val="27"/>
      </w:pPr>
      <w:r>
        <w:t>Visualize delivery/shipping time, costs, carriers, transportation modes, and product volume.</w:t>
      </w:r>
    </w:p>
    <w:p>
      <w:pPr>
        <w:pStyle w:val="27"/>
      </w:pPr>
      <w:r>
        <w:t>Use correlations to investigate relationships between operational variables.</w:t>
      </w:r>
    </w:p>
    <w:p>
      <w:pPr>
        <w:pStyle w:val="27"/>
      </w:pPr>
      <w:r>
        <w:t>Provide evidence-based recommendations and explain limitations.</w:t>
      </w:r>
    </w:p>
    <w:p>
      <w:pPr>
        <w:pStyle w:val="1"/>
      </w:pPr>
      <w:r>
        <w:t>3. Dataset and Methodology</w:t>
      </w:r>
    </w:p>
    <w:p>
      <w:r>
        <w:t>The supplied CSV contains 100 rows and 37 columns. It includes product and sales fields, stock levels, lead-time fields, shipping times and costs, carriers, suppliers, transportation modes, production volumes, manufacturing costs, defect rates, and some engineered/scaled fields from the Week 2 preprocessing task.</w:t>
      </w:r>
    </w:p>
    <w:p>
      <w:r>
        <w:t>The file is a processed output rather than a confirmed untouched raw dataset. Therefore, this report uses the original-looking operational columns for descriptive analysis and does not treat scaled copies or engineered flags as independent raw measurements. The units/currency and the precise definitions of shipping_times, shipping_costs, costs, lead_times, and lead_time are not fully documented in the supplied file; numeric results are described in dataset units.</w:t>
      </w:r>
    </w:p>
    <w:p>
      <w:r>
        <w:t>Method: load the CSV with pandas; inspect shape, missing cells, duplicates, data types and descriptive statistics; group observations by transportation mode, carrier, and product type; create six Matplotlib visualizations; and calculate Pearson correlations for selected numeric fields. The dataset is small (100 records), so results are descriptive and should not be generalized to all logistics operations without more data.</w:t>
      </w:r>
    </w:p>
    <w:p>
      <w:pPr>
        <w:pStyle w:val="1"/>
      </w:pPr>
      <w:r>
        <w:t>4. Data Quality and Overview</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4968"/>
        <w:gridCol w:w="4968"/>
      </w:tblGrid>
      <w:tr>
        <w:tc>
          <w:tcPr>
            <w:tcW w:w="4968" w:type="dxa"/>
          </w:tcPr>
          <w:p>
            <w:pPr>
              <w:spacing w:after="0" w:line="240" w:lineRule="auto"/>
            </w:pPr>
            <w:r>
              <w:t>Check</w:t>
            </w:r>
          </w:p>
        </w:tc>
        <w:tc>
          <w:tcPr>
            <w:tcW w:w="4968" w:type="dxa"/>
          </w:tcPr>
          <w:p>
            <w:pPr>
              <w:spacing w:after="0" w:line="240" w:lineRule="auto"/>
            </w:pPr>
            <w:r>
              <w:t>Observed result</w:t>
            </w:r>
          </w:p>
        </w:tc>
      </w:tr>
      <w:tr>
        <w:tc>
          <w:tcPr>
            <w:tcW w:w="4968" w:type="dxa"/>
          </w:tcPr>
          <w:p>
            <w:pPr>
              <w:spacing w:after="0" w:line="240" w:lineRule="auto"/>
            </w:pPr>
            <w:r>
              <w:t>Rows</w:t>
            </w:r>
          </w:p>
        </w:tc>
        <w:tc>
          <w:tcPr>
            <w:tcW w:w="4968" w:type="dxa"/>
          </w:tcPr>
          <w:p>
            <w:pPr>
              <w:spacing w:after="0" w:line="240" w:lineRule="auto"/>
            </w:pPr>
            <w:r>
              <w:t>100</w:t>
            </w:r>
          </w:p>
        </w:tc>
      </w:tr>
      <w:tr>
        <w:tc>
          <w:tcPr>
            <w:tcW w:w="4968" w:type="dxa"/>
          </w:tcPr>
          <w:p>
            <w:pPr>
              <w:spacing w:after="0" w:line="240" w:lineRule="auto"/>
            </w:pPr>
            <w:r>
              <w:t>Columns</w:t>
            </w:r>
          </w:p>
        </w:tc>
        <w:tc>
          <w:tcPr>
            <w:tcW w:w="4968" w:type="dxa"/>
          </w:tcPr>
          <w:p>
            <w:pPr>
              <w:spacing w:after="0" w:line="240" w:lineRule="auto"/>
            </w:pPr>
            <w:r>
              <w:t>37</w:t>
            </w:r>
          </w:p>
        </w:tc>
      </w:tr>
      <w:tr>
        <w:tc>
          <w:tcPr>
            <w:tcW w:w="4968" w:type="dxa"/>
          </w:tcPr>
          <w:p>
            <w:pPr>
              <w:spacing w:after="0" w:line="240" w:lineRule="auto"/>
            </w:pPr>
            <w:r>
              <w:t>Missing cells</w:t>
            </w:r>
          </w:p>
        </w:tc>
        <w:tc>
          <w:tcPr>
            <w:tcW w:w="4968" w:type="dxa"/>
          </w:tcPr>
          <w:p>
            <w:pPr>
              <w:spacing w:after="0" w:line="240" w:lineRule="auto"/>
            </w:pPr>
            <w:r>
              <w:t>0</w:t>
            </w:r>
          </w:p>
        </w:tc>
      </w:tr>
      <w:tr>
        <w:tc>
          <w:tcPr>
            <w:tcW w:w="4968" w:type="dxa"/>
          </w:tcPr>
          <w:p>
            <w:pPr>
              <w:spacing w:after="0" w:line="240" w:lineRule="auto"/>
            </w:pPr>
            <w:r>
              <w:t>Exact duplicate rows</w:t>
            </w:r>
          </w:p>
        </w:tc>
        <w:tc>
          <w:tcPr>
            <w:tcW w:w="4968" w:type="dxa"/>
          </w:tcPr>
          <w:p>
            <w:pPr>
              <w:spacing w:after="0" w:line="240" w:lineRule="auto"/>
            </w:pPr>
            <w:r>
              <w:t>0</w:t>
            </w:r>
          </w:p>
        </w:tc>
      </w:tr>
    </w:tbl>
    <w:p>
      <w:r>
        <w:t>The supplied processed file has no missing cells and no exact duplicate rows. This does not prove that the original source data was complete; the Week 2 workflow already applied transformations. The file also includes scaled variables and metadata columns such as submitted_by and internship, which should generally be excluded from operational analysis.</w:t>
      </w:r>
    </w:p>
    <w:p>
      <w:pPr>
        <w:pStyle w:val="1"/>
      </w:pPr>
      <w:r>
        <w:t>5. Descriptive Statistics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2363"/>
        <w:gridCol w:w="1558"/>
        <w:gridCol w:w="1558"/>
        <w:gridCol w:w="1558"/>
        <w:gridCol w:w="1558"/>
        <w:gridCol w:w="1558"/>
      </w:tblGrid>
      <w:tr>
        <w:tc>
          <w:tcPr>
            <w:tcW w:w="1656" w:type="dxa"/>
          </w:tcPr>
          <w:p>
            <w:pPr>
              <w:spacing w:after="0" w:line="240" w:lineRule="auto"/>
            </w:pPr>
            <w:r>
              <w:t>Variable</w:t>
            </w:r>
          </w:p>
        </w:tc>
        <w:tc>
          <w:tcPr>
            <w:tcW w:w="1656" w:type="dxa"/>
          </w:tcPr>
          <w:p>
            <w:pPr>
              <w:spacing w:after="0" w:line="240" w:lineRule="auto"/>
            </w:pPr>
            <w:r>
              <w:t>Mean</w:t>
            </w:r>
          </w:p>
        </w:tc>
        <w:tc>
          <w:tcPr>
            <w:tcW w:w="1656" w:type="dxa"/>
          </w:tcPr>
          <w:p>
            <w:pPr>
              <w:spacing w:after="0" w:line="240" w:lineRule="auto"/>
            </w:pPr>
            <w:r>
              <w:t>Median</w:t>
            </w:r>
          </w:p>
        </w:tc>
        <w:tc>
          <w:tcPr>
            <w:tcW w:w="1656" w:type="dxa"/>
          </w:tcPr>
          <w:p>
            <w:pPr>
              <w:spacing w:after="0" w:line="240" w:lineRule="auto"/>
            </w:pPr>
            <w:r>
              <w:t>Std. dev.</w:t>
            </w:r>
          </w:p>
        </w:tc>
        <w:tc>
          <w:tcPr>
            <w:tcW w:w="1656" w:type="dxa"/>
          </w:tcPr>
          <w:p>
            <w:pPr>
              <w:spacing w:after="0" w:line="240" w:lineRule="auto"/>
            </w:pPr>
            <w:r>
              <w:t>Minimum</w:t>
            </w:r>
          </w:p>
        </w:tc>
        <w:tc>
          <w:tcPr>
            <w:tcW w:w="1656" w:type="dxa"/>
          </w:tcPr>
          <w:p>
            <w:pPr>
              <w:spacing w:after="0" w:line="240" w:lineRule="auto"/>
            </w:pPr>
            <w:r>
              <w:t>Maximum</w:t>
            </w:r>
          </w:p>
        </w:tc>
      </w:tr>
      <w:tr>
        <w:tc>
          <w:tcPr>
            <w:tcW w:w="1656" w:type="dxa"/>
          </w:tcPr>
          <w:p>
            <w:pPr>
              <w:spacing w:after="0" w:line="240" w:lineRule="auto"/>
            </w:pPr>
            <w:r>
              <w:t>shipping_times</w:t>
            </w:r>
          </w:p>
        </w:tc>
        <w:tc>
          <w:tcPr>
            <w:tcW w:w="1656" w:type="dxa"/>
          </w:tcPr>
          <w:p>
            <w:pPr>
              <w:spacing w:after="0" w:line="240" w:lineRule="auto"/>
            </w:pPr>
            <w:r>
              <w:t>5.75</w:t>
            </w:r>
          </w:p>
        </w:tc>
        <w:tc>
          <w:tcPr>
            <w:tcW w:w="1656" w:type="dxa"/>
          </w:tcPr>
          <w:p>
            <w:pPr>
              <w:spacing w:after="0" w:line="240" w:lineRule="auto"/>
            </w:pPr>
            <w:r>
              <w:t>6.00</w:t>
            </w:r>
          </w:p>
        </w:tc>
        <w:tc>
          <w:tcPr>
            <w:tcW w:w="1656" w:type="dxa"/>
          </w:tcPr>
          <w:p>
            <w:pPr>
              <w:spacing w:after="0" w:line="240" w:lineRule="auto"/>
            </w:pPr>
            <w:r>
              <w:t>2.72</w:t>
            </w:r>
          </w:p>
        </w:tc>
        <w:tc>
          <w:tcPr>
            <w:tcW w:w="1656" w:type="dxa"/>
          </w:tcPr>
          <w:p>
            <w:pPr>
              <w:spacing w:after="0" w:line="240" w:lineRule="auto"/>
            </w:pPr>
            <w:r>
              <w:t>1.00</w:t>
            </w:r>
          </w:p>
        </w:tc>
        <w:tc>
          <w:tcPr>
            <w:tcW w:w="1656" w:type="dxa"/>
          </w:tcPr>
          <w:p>
            <w:pPr>
              <w:spacing w:after="0" w:line="240" w:lineRule="auto"/>
            </w:pPr>
            <w:r>
              <w:t>10.00</w:t>
            </w:r>
          </w:p>
        </w:tc>
      </w:tr>
      <w:tr>
        <w:tc>
          <w:tcPr>
            <w:tcW w:w="1656" w:type="dxa"/>
          </w:tcPr>
          <w:p>
            <w:pPr>
              <w:spacing w:after="0" w:line="240" w:lineRule="auto"/>
            </w:pPr>
            <w:r>
              <w:t>shipping_costs</w:t>
            </w:r>
          </w:p>
        </w:tc>
        <w:tc>
          <w:tcPr>
            <w:tcW w:w="1656" w:type="dxa"/>
          </w:tcPr>
          <w:p>
            <w:pPr>
              <w:spacing w:after="0" w:line="240" w:lineRule="auto"/>
            </w:pPr>
            <w:r>
              <w:t>5.55</w:t>
            </w:r>
          </w:p>
        </w:tc>
        <w:tc>
          <w:tcPr>
            <w:tcW w:w="1656" w:type="dxa"/>
          </w:tcPr>
          <w:p>
            <w:pPr>
              <w:spacing w:after="0" w:line="240" w:lineRule="auto"/>
            </w:pPr>
            <w:r>
              <w:t>5.32</w:t>
            </w:r>
          </w:p>
        </w:tc>
        <w:tc>
          <w:tcPr>
            <w:tcW w:w="1656" w:type="dxa"/>
          </w:tcPr>
          <w:p>
            <w:pPr>
              <w:spacing w:after="0" w:line="240" w:lineRule="auto"/>
            </w:pPr>
            <w:r>
              <w:t>2.65</w:t>
            </w:r>
          </w:p>
        </w:tc>
        <w:tc>
          <w:tcPr>
            <w:tcW w:w="1656" w:type="dxa"/>
          </w:tcPr>
          <w:p>
            <w:pPr>
              <w:spacing w:after="0" w:line="240" w:lineRule="auto"/>
            </w:pPr>
            <w:r>
              <w:t>1.01</w:t>
            </w:r>
          </w:p>
        </w:tc>
        <w:tc>
          <w:tcPr>
            <w:tcW w:w="1656" w:type="dxa"/>
          </w:tcPr>
          <w:p>
            <w:pPr>
              <w:spacing w:after="0" w:line="240" w:lineRule="auto"/>
            </w:pPr>
            <w:r>
              <w:t>9.93</w:t>
            </w:r>
          </w:p>
        </w:tc>
      </w:tr>
      <w:tr>
        <w:tc>
          <w:tcPr>
            <w:tcW w:w="1656" w:type="dxa"/>
          </w:tcPr>
          <w:p>
            <w:pPr>
              <w:spacing w:after="0" w:line="240" w:lineRule="auto"/>
            </w:pPr>
            <w:r>
              <w:t>costs</w:t>
            </w:r>
          </w:p>
        </w:tc>
        <w:tc>
          <w:tcPr>
            <w:tcW w:w="1656" w:type="dxa"/>
          </w:tcPr>
          <w:p>
            <w:pPr>
              <w:spacing w:after="0" w:line="240" w:lineRule="auto"/>
            </w:pPr>
            <w:r>
              <w:t>529.25</w:t>
            </w:r>
          </w:p>
        </w:tc>
        <w:tc>
          <w:tcPr>
            <w:tcW w:w="1656" w:type="dxa"/>
          </w:tcPr>
          <w:p>
            <w:pPr>
              <w:spacing w:after="0" w:line="240" w:lineRule="auto"/>
            </w:pPr>
            <w:r>
              <w:t>520.43</w:t>
            </w:r>
          </w:p>
        </w:tc>
        <w:tc>
          <w:tcPr>
            <w:tcW w:w="1656" w:type="dxa"/>
          </w:tcPr>
          <w:p>
            <w:pPr>
              <w:spacing w:after="0" w:line="240" w:lineRule="auto"/>
            </w:pPr>
            <w:r>
              <w:t>258.30</w:t>
            </w:r>
          </w:p>
        </w:tc>
        <w:tc>
          <w:tcPr>
            <w:tcW w:w="1656" w:type="dxa"/>
          </w:tcPr>
          <w:p>
            <w:pPr>
              <w:spacing w:after="0" w:line="240" w:lineRule="auto"/>
            </w:pPr>
            <w:r>
              <w:t>103.92</w:t>
            </w:r>
          </w:p>
        </w:tc>
        <w:tc>
          <w:tcPr>
            <w:tcW w:w="1656" w:type="dxa"/>
          </w:tcPr>
          <w:p>
            <w:pPr>
              <w:spacing w:after="0" w:line="240" w:lineRule="auto"/>
            </w:pPr>
            <w:r>
              <w:t>997.41</w:t>
            </w:r>
          </w:p>
        </w:tc>
      </w:tr>
      <w:tr>
        <w:tc>
          <w:tcPr>
            <w:tcW w:w="1656" w:type="dxa"/>
          </w:tcPr>
          <w:p>
            <w:pPr>
              <w:spacing w:after="0" w:line="240" w:lineRule="auto"/>
            </w:pPr>
            <w:r>
              <w:t>lead_times</w:t>
            </w:r>
          </w:p>
        </w:tc>
        <w:tc>
          <w:tcPr>
            <w:tcW w:w="1656" w:type="dxa"/>
          </w:tcPr>
          <w:p>
            <w:pPr>
              <w:spacing w:after="0" w:line="240" w:lineRule="auto"/>
            </w:pPr>
            <w:r>
              <w:t>15.96</w:t>
            </w:r>
          </w:p>
        </w:tc>
        <w:tc>
          <w:tcPr>
            <w:tcW w:w="1656" w:type="dxa"/>
          </w:tcPr>
          <w:p>
            <w:pPr>
              <w:spacing w:after="0" w:line="240" w:lineRule="auto"/>
            </w:pPr>
            <w:r>
              <w:t>17.00</w:t>
            </w:r>
          </w:p>
        </w:tc>
        <w:tc>
          <w:tcPr>
            <w:tcW w:w="1656" w:type="dxa"/>
          </w:tcPr>
          <w:p>
            <w:pPr>
              <w:spacing w:after="0" w:line="240" w:lineRule="auto"/>
            </w:pPr>
            <w:r>
              <w:t>8.79</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lead_time</w:t>
            </w:r>
          </w:p>
        </w:tc>
        <w:tc>
          <w:tcPr>
            <w:tcW w:w="1656" w:type="dxa"/>
          </w:tcPr>
          <w:p>
            <w:pPr>
              <w:spacing w:after="0" w:line="240" w:lineRule="auto"/>
            </w:pPr>
            <w:r>
              <w:t>17.08</w:t>
            </w:r>
          </w:p>
        </w:tc>
        <w:tc>
          <w:tcPr>
            <w:tcW w:w="1656" w:type="dxa"/>
          </w:tcPr>
          <w:p>
            <w:pPr>
              <w:spacing w:after="0" w:line="240" w:lineRule="auto"/>
            </w:pPr>
            <w:r>
              <w:t>18.00</w:t>
            </w:r>
          </w:p>
        </w:tc>
        <w:tc>
          <w:tcPr>
            <w:tcW w:w="1656" w:type="dxa"/>
          </w:tcPr>
          <w:p>
            <w:pPr>
              <w:spacing w:after="0" w:line="240" w:lineRule="auto"/>
            </w:pPr>
            <w:r>
              <w:t>8.85</w:t>
            </w:r>
          </w:p>
        </w:tc>
        <w:tc>
          <w:tcPr>
            <w:tcW w:w="1656" w:type="dxa"/>
          </w:tcPr>
          <w:p>
            <w:pPr>
              <w:spacing w:after="0" w:line="240" w:lineRule="auto"/>
            </w:pPr>
            <w:r>
              <w:t>1.00</w:t>
            </w:r>
          </w:p>
        </w:tc>
        <w:tc>
          <w:tcPr>
            <w:tcW w:w="1656" w:type="dxa"/>
          </w:tcPr>
          <w:p>
            <w:pPr>
              <w:spacing w:after="0" w:line="240" w:lineRule="auto"/>
            </w:pPr>
            <w:r>
              <w:t>30.00</w:t>
            </w:r>
          </w:p>
        </w:tc>
      </w:tr>
      <w:tr>
        <w:tc>
          <w:tcPr>
            <w:tcW w:w="1656" w:type="dxa"/>
          </w:tcPr>
          <w:p>
            <w:pPr>
              <w:spacing w:after="0" w:line="240" w:lineRule="auto"/>
            </w:pPr>
            <w:r>
              <w:t>number_of_products_sold</w:t>
            </w:r>
          </w:p>
        </w:tc>
        <w:tc>
          <w:tcPr>
            <w:tcW w:w="1656" w:type="dxa"/>
          </w:tcPr>
          <w:p>
            <w:pPr>
              <w:spacing w:after="0" w:line="240" w:lineRule="auto"/>
            </w:pPr>
            <w:r>
              <w:t>460.99</w:t>
            </w:r>
          </w:p>
        </w:tc>
        <w:tc>
          <w:tcPr>
            <w:tcW w:w="1656" w:type="dxa"/>
          </w:tcPr>
          <w:p>
            <w:pPr>
              <w:spacing w:after="0" w:line="240" w:lineRule="auto"/>
            </w:pPr>
            <w:r>
              <w:t>392.50</w:t>
            </w:r>
          </w:p>
        </w:tc>
        <w:tc>
          <w:tcPr>
            <w:tcW w:w="1656" w:type="dxa"/>
          </w:tcPr>
          <w:p>
            <w:pPr>
              <w:spacing w:after="0" w:line="240" w:lineRule="auto"/>
            </w:pPr>
            <w:r>
              <w:t>303.78</w:t>
            </w:r>
          </w:p>
        </w:tc>
        <w:tc>
          <w:tcPr>
            <w:tcW w:w="1656" w:type="dxa"/>
          </w:tcPr>
          <w:p>
            <w:pPr>
              <w:spacing w:after="0" w:line="240" w:lineRule="auto"/>
            </w:pPr>
            <w:r>
              <w:t>8.00</w:t>
            </w:r>
          </w:p>
        </w:tc>
        <w:tc>
          <w:tcPr>
            <w:tcW w:w="1656" w:type="dxa"/>
          </w:tcPr>
          <w:p>
            <w:pPr>
              <w:spacing w:after="0" w:line="240" w:lineRule="auto"/>
            </w:pPr>
            <w:r>
              <w:t>996.00</w:t>
            </w:r>
          </w:p>
        </w:tc>
      </w:tr>
      <w:tr>
        <w:tc>
          <w:tcPr>
            <w:tcW w:w="1656" w:type="dxa"/>
          </w:tcPr>
          <w:p>
            <w:pPr>
              <w:spacing w:after="0" w:line="240" w:lineRule="auto"/>
            </w:pPr>
            <w:r>
              <w:t>order_quantities</w:t>
            </w:r>
          </w:p>
        </w:tc>
        <w:tc>
          <w:tcPr>
            <w:tcW w:w="1656" w:type="dxa"/>
          </w:tcPr>
          <w:p>
            <w:pPr>
              <w:spacing w:after="0" w:line="240" w:lineRule="auto"/>
            </w:pPr>
            <w:r>
              <w:t>49.22</w:t>
            </w:r>
          </w:p>
        </w:tc>
        <w:tc>
          <w:tcPr>
            <w:tcW w:w="1656" w:type="dxa"/>
          </w:tcPr>
          <w:p>
            <w:pPr>
              <w:spacing w:after="0" w:line="240" w:lineRule="auto"/>
            </w:pPr>
            <w:r>
              <w:t>52.00</w:t>
            </w:r>
          </w:p>
        </w:tc>
        <w:tc>
          <w:tcPr>
            <w:tcW w:w="1656" w:type="dxa"/>
          </w:tcPr>
          <w:p>
            <w:pPr>
              <w:spacing w:after="0" w:line="240" w:lineRule="auto"/>
            </w:pPr>
            <w:r>
              <w:t>26.78</w:t>
            </w:r>
          </w:p>
        </w:tc>
        <w:tc>
          <w:tcPr>
            <w:tcW w:w="1656" w:type="dxa"/>
          </w:tcPr>
          <w:p>
            <w:pPr>
              <w:spacing w:after="0" w:line="240" w:lineRule="auto"/>
            </w:pPr>
            <w:r>
              <w:t>1.00</w:t>
            </w:r>
          </w:p>
        </w:tc>
        <w:tc>
          <w:tcPr>
            <w:tcW w:w="1656" w:type="dxa"/>
          </w:tcPr>
          <w:p>
            <w:pPr>
              <w:spacing w:after="0" w:line="240" w:lineRule="auto"/>
            </w:pPr>
            <w:r>
              <w:t>96.00</w:t>
            </w:r>
          </w:p>
        </w:tc>
      </w:tr>
      <w:tr>
        <w:tc>
          <w:tcPr>
            <w:tcW w:w="1656" w:type="dxa"/>
          </w:tcPr>
          <w:p>
            <w:pPr>
              <w:spacing w:after="0" w:line="240" w:lineRule="auto"/>
            </w:pPr>
            <w:r>
              <w:t>production_volumes</w:t>
            </w:r>
          </w:p>
        </w:tc>
        <w:tc>
          <w:tcPr>
            <w:tcW w:w="1656" w:type="dxa"/>
          </w:tcPr>
          <w:p>
            <w:pPr>
              <w:spacing w:after="0" w:line="240" w:lineRule="auto"/>
            </w:pPr>
            <w:r>
              <w:t>567.84</w:t>
            </w:r>
          </w:p>
        </w:tc>
        <w:tc>
          <w:tcPr>
            <w:tcW w:w="1656" w:type="dxa"/>
          </w:tcPr>
          <w:p>
            <w:pPr>
              <w:spacing w:after="0" w:line="240" w:lineRule="auto"/>
            </w:pPr>
            <w:r>
              <w:t>568.50</w:t>
            </w:r>
          </w:p>
        </w:tc>
        <w:tc>
          <w:tcPr>
            <w:tcW w:w="1656" w:type="dxa"/>
          </w:tcPr>
          <w:p>
            <w:pPr>
              <w:spacing w:after="0" w:line="240" w:lineRule="auto"/>
            </w:pPr>
            <w:r>
              <w:t>263.05</w:t>
            </w:r>
          </w:p>
        </w:tc>
        <w:tc>
          <w:tcPr>
            <w:tcW w:w="1656" w:type="dxa"/>
          </w:tcPr>
          <w:p>
            <w:pPr>
              <w:spacing w:after="0" w:line="240" w:lineRule="auto"/>
            </w:pPr>
            <w:r>
              <w:t>104.00</w:t>
            </w:r>
          </w:p>
        </w:tc>
        <w:tc>
          <w:tcPr>
            <w:tcW w:w="1656" w:type="dxa"/>
          </w:tcPr>
          <w:p>
            <w:pPr>
              <w:spacing w:after="0" w:line="240" w:lineRule="auto"/>
            </w:pPr>
            <w:r>
              <w:t>985.00</w:t>
            </w:r>
          </w:p>
        </w:tc>
      </w:tr>
      <w:tr>
        <w:tc>
          <w:tcPr>
            <w:tcW w:w="1656" w:type="dxa"/>
          </w:tcPr>
          <w:p>
            <w:pPr>
              <w:spacing w:after="0" w:line="240" w:lineRule="auto"/>
            </w:pPr>
            <w:r>
              <w:t>stock_levels</w:t>
            </w:r>
          </w:p>
        </w:tc>
        <w:tc>
          <w:tcPr>
            <w:tcW w:w="1656" w:type="dxa"/>
          </w:tcPr>
          <w:p>
            <w:pPr>
              <w:spacing w:after="0" w:line="240" w:lineRule="auto"/>
            </w:pPr>
            <w:r>
              <w:t>47.77</w:t>
            </w:r>
          </w:p>
        </w:tc>
        <w:tc>
          <w:tcPr>
            <w:tcW w:w="1656" w:type="dxa"/>
          </w:tcPr>
          <w:p>
            <w:pPr>
              <w:spacing w:after="0" w:line="240" w:lineRule="auto"/>
            </w:pPr>
            <w:r>
              <w:t>47.50</w:t>
            </w:r>
          </w:p>
        </w:tc>
        <w:tc>
          <w:tcPr>
            <w:tcW w:w="1656" w:type="dxa"/>
          </w:tcPr>
          <w:p>
            <w:pPr>
              <w:spacing w:after="0" w:line="240" w:lineRule="auto"/>
            </w:pPr>
            <w:r>
              <w:t>31.37</w:t>
            </w:r>
          </w:p>
        </w:tc>
        <w:tc>
          <w:tcPr>
            <w:tcW w:w="1656" w:type="dxa"/>
          </w:tcPr>
          <w:p>
            <w:pPr>
              <w:spacing w:after="0" w:line="240" w:lineRule="auto"/>
            </w:pPr>
            <w:r>
              <w:t>0.00</w:t>
            </w:r>
          </w:p>
        </w:tc>
        <w:tc>
          <w:tcPr>
            <w:tcW w:w="1656" w:type="dxa"/>
          </w:tcPr>
          <w:p>
            <w:pPr>
              <w:spacing w:after="0" w:line="240" w:lineRule="auto"/>
            </w:pPr>
            <w:r>
              <w:t>100.00</w:t>
            </w:r>
          </w:p>
        </w:tc>
      </w:tr>
      <w:tr>
        <w:tc>
          <w:tcPr>
            <w:tcW w:w="1656" w:type="dxa"/>
          </w:tcPr>
          <w:p>
            <w:pPr>
              <w:spacing w:after="0" w:line="240" w:lineRule="auto"/>
            </w:pPr>
            <w:r>
              <w:t>defect_rates</w:t>
            </w:r>
          </w:p>
        </w:tc>
        <w:tc>
          <w:tcPr>
            <w:tcW w:w="1656" w:type="dxa"/>
          </w:tcPr>
          <w:p>
            <w:pPr>
              <w:spacing w:after="0" w:line="240" w:lineRule="auto"/>
            </w:pPr>
            <w:r>
              <w:t>2.28</w:t>
            </w:r>
          </w:p>
        </w:tc>
        <w:tc>
          <w:tcPr>
            <w:tcW w:w="1656" w:type="dxa"/>
          </w:tcPr>
          <w:p>
            <w:pPr>
              <w:spacing w:after="0" w:line="240" w:lineRule="auto"/>
            </w:pPr>
            <w:r>
              <w:t>2.14</w:t>
            </w:r>
          </w:p>
        </w:tc>
        <w:tc>
          <w:tcPr>
            <w:tcW w:w="1656" w:type="dxa"/>
          </w:tcPr>
          <w:p>
            <w:pPr>
              <w:spacing w:after="0" w:line="240" w:lineRule="auto"/>
            </w:pPr>
            <w:r>
              <w:t>1.46</w:t>
            </w:r>
          </w:p>
        </w:tc>
        <w:tc>
          <w:tcPr>
            <w:tcW w:w="1656" w:type="dxa"/>
          </w:tcPr>
          <w:p>
            <w:pPr>
              <w:spacing w:after="0" w:line="240" w:lineRule="auto"/>
            </w:pPr>
            <w:r>
              <w:t>0.02</w:t>
            </w:r>
          </w:p>
        </w:tc>
        <w:tc>
          <w:tcPr>
            <w:tcW w:w="1656" w:type="dxa"/>
          </w:tcPr>
          <w:p>
            <w:pPr>
              <w:spacing w:after="0" w:line="240" w:lineRule="auto"/>
            </w:pPr>
            <w:r>
              <w:t>4.94</w:t>
            </w:r>
          </w:p>
        </w:tc>
      </w:tr>
      <w:tr>
        <w:tc>
          <w:tcPr>
            <w:tcW w:w="1656" w:type="dxa"/>
          </w:tcPr>
          <w:p>
            <w:pPr>
              <w:spacing w:after="0" w:line="240" w:lineRule="auto"/>
            </w:pPr>
            <w:r>
              <w:t>manufacturing_costs</w:t>
            </w:r>
          </w:p>
        </w:tc>
        <w:tc>
          <w:tcPr>
            <w:tcW w:w="1656" w:type="dxa"/>
          </w:tcPr>
          <w:p>
            <w:pPr>
              <w:spacing w:after="0" w:line="240" w:lineRule="auto"/>
            </w:pPr>
            <w:r>
              <w:t>47.27</w:t>
            </w:r>
          </w:p>
        </w:tc>
        <w:tc>
          <w:tcPr>
            <w:tcW w:w="1656" w:type="dxa"/>
          </w:tcPr>
          <w:p>
            <w:pPr>
              <w:spacing w:after="0" w:line="240" w:lineRule="auto"/>
            </w:pPr>
            <w:r>
              <w:t>45.91</w:t>
            </w:r>
          </w:p>
        </w:tc>
        <w:tc>
          <w:tcPr>
            <w:tcW w:w="1656" w:type="dxa"/>
          </w:tcPr>
          <w:p>
            <w:pPr>
              <w:spacing w:after="0" w:line="240" w:lineRule="auto"/>
            </w:pPr>
            <w:r>
              <w:t>28.98</w:t>
            </w:r>
          </w:p>
        </w:tc>
        <w:tc>
          <w:tcPr>
            <w:tcW w:w="1656" w:type="dxa"/>
          </w:tcPr>
          <w:p>
            <w:pPr>
              <w:spacing w:after="0" w:line="240" w:lineRule="auto"/>
            </w:pPr>
            <w:r>
              <w:t>1.09</w:t>
            </w:r>
          </w:p>
        </w:tc>
        <w:tc>
          <w:tcPr>
            <w:tcW w:w="1656" w:type="dxa"/>
          </w:tcPr>
          <w:p>
            <w:pPr>
              <w:spacing w:after="0" w:line="240" w:lineRule="auto"/>
            </w:pPr>
            <w:r>
              <w:t>99.47</w:t>
            </w:r>
          </w:p>
        </w:tc>
      </w:tr>
      <w:tr>
        <w:tc>
          <w:tcPr>
            <w:tcW w:w="1656" w:type="dxa"/>
          </w:tcPr>
          <w:p>
            <w:pPr>
              <w:spacing w:after="0" w:line="240" w:lineRule="auto"/>
            </w:pPr>
            <w:r>
              <w:t>manufacturing_lead_time</w:t>
            </w:r>
          </w:p>
        </w:tc>
        <w:tc>
          <w:tcPr>
            <w:tcW w:w="1656" w:type="dxa"/>
          </w:tcPr>
          <w:p>
            <w:pPr>
              <w:spacing w:after="0" w:line="240" w:lineRule="auto"/>
            </w:pPr>
            <w:r>
              <w:t>14.77</w:t>
            </w:r>
          </w:p>
        </w:tc>
        <w:tc>
          <w:tcPr>
            <w:tcW w:w="1656" w:type="dxa"/>
          </w:tcPr>
          <w:p>
            <w:pPr>
              <w:spacing w:after="0" w:line="240" w:lineRule="auto"/>
            </w:pPr>
            <w:r>
              <w:t>14.00</w:t>
            </w:r>
          </w:p>
        </w:tc>
        <w:tc>
          <w:tcPr>
            <w:tcW w:w="1656" w:type="dxa"/>
          </w:tcPr>
          <w:p>
            <w:pPr>
              <w:spacing w:after="0" w:line="240" w:lineRule="auto"/>
            </w:pPr>
            <w:r>
              <w:t>8.91</w:t>
            </w:r>
          </w:p>
        </w:tc>
        <w:tc>
          <w:tcPr>
            <w:tcW w:w="1656" w:type="dxa"/>
          </w:tcPr>
          <w:p>
            <w:pPr>
              <w:spacing w:after="0" w:line="240" w:lineRule="auto"/>
            </w:pPr>
            <w:r>
              <w:t>1.00</w:t>
            </w:r>
          </w:p>
        </w:tc>
        <w:tc>
          <w:tcPr>
            <w:tcW w:w="1656" w:type="dxa"/>
          </w:tcPr>
          <w:p>
            <w:pPr>
              <w:spacing w:after="0" w:line="240" w:lineRule="auto"/>
            </w:pPr>
            <w:r>
              <w:t>30.00</w:t>
            </w:r>
          </w:p>
        </w:tc>
      </w:tr>
    </w:tbl>
    <w:p>
      <w:r>
        <w:t>The mean represents the arithmetic average, while the median is the middle observation and is less affected by extreme values. Standard deviation describes spread. Comparing the mean with the median can help reveal skewness, and the minimum/maximum values help identify ranges that merit business validation.</w:t>
      </w:r>
    </w:p>
    <w:p>
      <w:pPr>
        <w:pStyle w:val="1"/>
      </w:pPr>
      <w:r>
        <w:t>6. Visualizations and Interpretation</w:t>
      </w:r>
    </w:p>
    <w:p>
      <w:pPr>
        <w:pStyle w:val="2"/>
      </w:pPr>
      <w:r>
        <w:t>Figure 1. Shipping-time distribution</w:t>
      </w:r>
    </w:p>
    <w:p>
      <w:pPr>
        <w:jc w:val="center"/>
      </w:pPr>
      <w:r>
        <w:drawing>
          <wp:inline distT="0" distB="0" distL="114298" distR="114298">
            <wp:extent cx="5669280" cy="35433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669280" cy="3543300"/>
                    </a:xfrm>
                    <a:prstGeom prst="rect"/>
                    <a:noFill/>
                    <a:ln w="12700" cmpd="sng" cap="flat">
                      <a:noFill/>
                      <a:prstDash val="solid"/>
                      <a:miter/>
                    </a:ln>
                  </pic:spPr>
                </pic:pic>
              </a:graphicData>
            </a:graphic>
          </wp:inline>
        </w:drawing>
      </w:r>
    </w:p>
    <w:p>
      <w:r>
        <w:t>A histogram shows whether delivery durations cluster around a typical range or have a long tail. Confirm the unit and meaning of shipping_times in the dataset documentation before treating it as actual delivery duration.</w:t>
      </w:r>
    </w:p>
    <w:p>
      <w:pPr>
        <w:pStyle w:val="2"/>
      </w:pPr>
      <w:r>
        <w:t>Figure 2. Average shipping cost by transportation mode</w:t>
      </w:r>
    </w:p>
    <w:p>
      <w:pPr>
        <w:jc w:val="center"/>
      </w:pPr>
      <w:r>
        <w:drawing>
          <wp:inline distT="0" distB="0" distL="114298" distR="114298">
            <wp:extent cx="5669280" cy="35433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669280" cy="3543300"/>
                    </a:xfrm>
                    <a:prstGeom prst="rect"/>
                    <a:noFill/>
                    <a:ln w="12700" cmpd="sng" cap="flat">
                      <a:noFill/>
                      <a:prstDash val="solid"/>
                      <a:miter/>
                    </a:ln>
                  </pic:spPr>
                </pic:pic>
              </a:graphicData>
            </a:graphic>
          </wp:inline>
        </w:drawing>
      </w:r>
    </w:p>
    <w:p>
      <w:r>
        <w:t>This bar chart compares mean shipping costs across modes. It can identify modes worth investigating, but cost comparisons should account for shipment size, distance, service level, and currency/unit definitions.</w:t>
      </w:r>
    </w:p>
    <w:p>
      <w:pPr>
        <w:pStyle w:val="2"/>
      </w:pPr>
      <w:r>
        <w:t>Figure 3. Average shipping time by carrier</w:t>
      </w:r>
    </w:p>
    <w:p>
      <w:pPr>
        <w:jc w:val="center"/>
      </w:pPr>
      <w:r>
        <w:drawing>
          <wp:inline distT="0" distB="0" distL="114298" distR="114298">
            <wp:extent cx="5669280" cy="35433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669280" cy="3543300"/>
                    </a:xfrm>
                    <a:prstGeom prst="rect"/>
                    <a:noFill/>
                    <a:ln w="12700" cmpd="sng" cap="flat">
                      <a:noFill/>
                      <a:prstDash val="solid"/>
                      <a:miter/>
                    </a:ln>
                  </pic:spPr>
                </pic:pic>
              </a:graphicData>
            </a:graphic>
          </wp:inline>
        </w:drawing>
      </w:r>
    </w:p>
    <w:p>
      <w:r>
        <w:t>Comparing average shipping times by carrier can highlight differences in the observed sample. It does not prove a carrier is better or worse without controlling for route, mode, distance, and shipment mix.</w:t>
      </w:r>
    </w:p>
    <w:p>
      <w:pPr>
        <w:pStyle w:val="2"/>
      </w:pPr>
      <w:r>
        <w:t>Figure 4. Shipping cost versus shipping time</w:t>
      </w:r>
    </w:p>
    <w:p>
      <w:pPr>
        <w:jc w:val="center"/>
      </w:pPr>
      <w:r>
        <w:drawing>
          <wp:inline distT="0" distB="0" distL="114298" distR="114298">
            <wp:extent cx="5669280" cy="35433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669280" cy="3543300"/>
                    </a:xfrm>
                    <a:prstGeom prst="rect"/>
                    <a:noFill/>
                    <a:ln w="12700" cmpd="sng" cap="flat">
                      <a:noFill/>
                      <a:prstDash val="solid"/>
                      <a:miter/>
                    </a:ln>
                  </pic:spPr>
                </pic:pic>
              </a:graphicData>
            </a:graphic>
          </wp:inline>
        </w:drawing>
      </w:r>
    </w:p>
    <w:p>
      <w:r>
        <w:t>The scatter plot checks whether higher shipping costs are associated with longer or shorter shipping times. A visible trend may suggest an association, while a weak pattern suggests other factors may matter more.</w:t>
      </w:r>
    </w:p>
    <w:p>
      <w:pPr>
        <w:pStyle w:val="2"/>
      </w:pPr>
      <w:r>
        <w:t>Figure 5. Total products sold by product type</w:t>
      </w:r>
    </w:p>
    <w:p>
      <w:pPr>
        <w:jc w:val="center"/>
      </w:pPr>
      <w:r>
        <w:drawing>
          <wp:inline distT="0" distB="0" distL="114298" distR="114298">
            <wp:extent cx="5669280" cy="35433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669280" cy="3543300"/>
                    </a:xfrm>
                    <a:prstGeom prst="rect"/>
                    <a:noFill/>
                    <a:ln w="12700" cmpd="sng" cap="flat">
                      <a:noFill/>
                      <a:prstDash val="solid"/>
                      <a:miter/>
                    </a:ln>
                  </pic:spPr>
                </pic:pic>
              </a:graphicData>
            </a:graphic>
          </wp:inline>
        </w:drawing>
      </w:r>
    </w:p>
    <w:p>
      <w:r>
        <w:t>A bar chart compares shipment-related demand volume by product type. It can support inventory and capacity planning, though sales volume is not the same as number of shipments.</w:t>
      </w:r>
    </w:p>
    <w:p>
      <w:pPr>
        <w:pStyle w:val="2"/>
      </w:pPr>
      <w:r>
        <w:t>Figure 6. Correlation matrix</w:t>
      </w:r>
    </w:p>
    <w:p>
      <w:pPr>
        <w:jc w:val="center"/>
      </w:pPr>
      <w:r>
        <w:drawing>
          <wp:inline distT="0" distB="0" distL="114298" distR="114298">
            <wp:extent cx="5669280" cy="440944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669280" cy="4409440"/>
                    </a:xfrm>
                    <a:prstGeom prst="rect"/>
                    <a:noFill/>
                    <a:ln w="12700" cmpd="sng" cap="flat">
                      <a:noFill/>
                      <a:prstDash val="solid"/>
                      <a:miter/>
                    </a:ln>
                  </pic:spPr>
                </pic:pic>
              </a:graphicData>
            </a:graphic>
          </wp:inline>
        </w:drawing>
      </w:r>
    </w:p>
    <w:p>
      <w:r>
        <w:t>The heatmap summarizes linear relationships between selected numeric variables. Correlation is not causation, and small samples or duplicated/related fields can affect interpretation.</w:t>
      </w:r>
    </w:p>
    <w:p>
      <w:pPr>
        <w:pStyle w:val="1"/>
      </w:pPr>
      <w:r>
        <w:t>7. Selected Numerical Findings</w:t>
      </w:r>
    </w:p>
    <w:p>
      <w:r>
        <w:t>Pearson correlation between shipping_times and shipping_costs: 0.045.</w:t>
      </w:r>
    </w:p>
    <w:p>
      <w:r>
        <w:t>Pearson correlation between lead_times and shipping_times: -0.045.</w:t>
      </w:r>
    </w:p>
    <w:p>
      <w:r>
        <w:t>Highest average shipping cost by transportation mode in this sample:</w:t>
      </w:r>
    </w:p>
    <w:p>
      <w:pPr>
        <w:pStyle w:val="27"/>
      </w:pPr>
      <w:r>
        <w:t>Air: 6.02 dataset units on average</w:t>
      </w:r>
    </w:p>
    <w:p>
      <w:pPr>
        <w:pStyle w:val="27"/>
      </w:pPr>
      <w:r>
        <w:t>Road: 5.54 dataset units on average</w:t>
      </w:r>
    </w:p>
    <w:p>
      <w:pPr>
        <w:pStyle w:val="27"/>
      </w:pPr>
      <w:r>
        <w:t>Rail: 5.47 dataset units on average</w:t>
      </w:r>
    </w:p>
    <w:p>
      <w:r>
        <w:t>Highest average shipping time by carrier in this sample:</w:t>
      </w:r>
    </w:p>
    <w:p>
      <w:pPr>
        <w:pStyle w:val="27"/>
      </w:pPr>
      <w:r>
        <w:t>Carrier A: 6.14 dataset units on average</w:t>
      </w:r>
    </w:p>
    <w:p>
      <w:pPr>
        <w:pStyle w:val="27"/>
      </w:pPr>
      <w:r>
        <w:t>Carrier C: 6.03 dataset units on average</w:t>
      </w:r>
    </w:p>
    <w:p>
      <w:pPr>
        <w:pStyle w:val="27"/>
      </w:pPr>
      <w:r>
        <w:t>Carrier B: 5.30 dataset units on average</w:t>
      </w:r>
    </w:p>
    <w:p>
      <w:r>
        <w:t>Product types with the largest total number of products sold:</w:t>
      </w:r>
    </w:p>
    <w:p>
      <w:pPr>
        <w:pStyle w:val="27"/>
      </w:pPr>
      <w:r>
        <w:t>Skincare: 20,731 units</w:t>
      </w:r>
    </w:p>
    <w:p>
      <w:pPr>
        <w:pStyle w:val="27"/>
      </w:pPr>
      <w:r>
        <w:t>Haircare: 13,611 units</w:t>
      </w:r>
    </w:p>
    <w:p>
      <w:pPr>
        <w:pStyle w:val="27"/>
      </w:pPr>
      <w:r>
        <w:t>Cosmetics: 11,757 units</w:t>
      </w:r>
    </w:p>
    <w:p>
      <w:r>
        <w:t>These are descriptive sample comparisons. A high average cost or shipping time does not by itself identify poor performance: shipment distance, weight, service speed, destination, product mix, and number of records may differ by group.</w:t>
      </w:r>
    </w:p>
    <w:p>
      <w:pPr>
        <w:pStyle w:val="1"/>
      </w:pPr>
      <w:r>
        <w:t>8. Logistics Insights and Recommendations</w:t>
      </w:r>
    </w:p>
    <w:p>
      <w:pPr>
        <w:pStyle w:val="30"/>
      </w:pPr>
      <w:r>
        <w:rPr>
          <w:b/>
        </w:rPr>
        <w:t xml:space="preserve">Monitor shipping-time variation. </w:t>
      </w:r>
      <w:r>
        <w:t>Use a weekly dashboard showing median and 90th-percentile shipping time by carrier and route. The median describes typical performance; the 90th percentile helps expose delays affecting the slowest shipments.</w:t>
      </w:r>
    </w:p>
    <w:p>
      <w:pPr>
        <w:pStyle w:val="30"/>
      </w:pPr>
      <w:r>
        <w:rPr>
          <w:b/>
        </w:rPr>
        <w:t xml:space="preserve">Investigate cost differences by mode. </w:t>
      </w:r>
      <w:r>
        <w:t>Compare average and median shipping cost by transportation mode after segmenting shipments by route, quantity, and service level. Avoid switching modes based on raw averages alone.</w:t>
      </w:r>
    </w:p>
    <w:p>
      <w:pPr>
        <w:pStyle w:val="30"/>
      </w:pPr>
      <w:r>
        <w:rPr>
          <w:b/>
        </w:rPr>
        <w:t xml:space="preserve">Review carrier performance fairly. </w:t>
      </w:r>
      <w:r>
        <w:t>Track on-time delivery rate, average delay, cost per shipment, and complaint/damage rate for each carrier. Compare similar routes and shipment types to avoid unfair conclusions.</w:t>
      </w:r>
    </w:p>
    <w:p>
      <w:pPr>
        <w:pStyle w:val="30"/>
      </w:pPr>
      <w:r>
        <w:rPr>
          <w:b/>
        </w:rPr>
        <w:t xml:space="preserve">Improve data definitions. </w:t>
      </w:r>
      <w:r>
        <w:t>Document units and definitions for shipping_times, shipping_costs, costs, lead_times, and lead_time. Similar names may represent different stages or measures and should not be merged without validation.</w:t>
      </w:r>
    </w:p>
    <w:p>
      <w:pPr>
        <w:pStyle w:val="30"/>
      </w:pPr>
      <w:r>
        <w:rPr>
          <w:b/>
        </w:rPr>
        <w:t xml:space="preserve">Expand the dataset. </w:t>
      </w:r>
      <w:r>
        <w:t>Use a larger shipment-level dataset with order date, promised delivery date, actual delivery date, origin, destination, distance, weight, shipment ID, and service type. This would support more reliable trend and bottleneck analysis.</w:t>
      </w:r>
    </w:p>
    <w:p>
      <w:pPr>
        <w:pStyle w:val="30"/>
      </w:pPr>
      <w:r>
        <w:rPr>
          <w:b/>
        </w:rPr>
        <w:t xml:space="preserve">Investigate outliers before changing them. </w:t>
      </w:r>
      <w:r>
        <w:t>Extreme shipping times and costs may reflect disruptions rather than errors. Flag and investigate unusual records instead of automatically deleting or capping them.</w:t>
      </w:r>
    </w:p>
    <w:p>
      <w:pPr>
        <w:pStyle w:val="1"/>
      </w:pPr>
      <w:r>
        <w:t>9. Python Tools and Visualization Choices</w:t>
      </w:r>
    </w:p>
    <w:p>
      <w:r>
        <w:t>pandas was used to load the CSV, calculate descriptive statistics, and aggregate metrics by category. NumPy supports numerical operations and correlation calculations. Matplotlib was used to create the figures. A histogram was selected for the distribution of shipping times; bar charts compare category averages and totals; a scatter plot investigates the relationship between two numeric variables; and a correlation heatmap summarizes linear associations across several measures.</w:t>
      </w:r>
    </w:p>
    <w:p>
      <w:pPr>
        <w:pStyle w:val="1"/>
      </w:pPr>
      <w:r>
        <w:t>10. Code Excerpt</w:t>
      </w:r>
    </w:p>
    <w:p>
      <w:r>
        <w:rPr>
          <w:rFonts w:ascii="Consolas" w:hAnsi="Consolas"/>
          <w:sz w:val="16"/>
        </w:rPr>
        <w:t>import pandas as pd</w:t>
        <w:br/>
        <w:t>import matplotlib.pyplot as plt</w:t>
        <w:br/>
        <w:br/>
        <w:t>df = pd.read_csv("supply_chain_clean.csv")</w:t>
        <w:br/>
        <w:br/>
        <w:t>print(df.shape)</w:t>
        <w:br/>
        <w:t>print(df.isna().sum().sum())</w:t>
        <w:br/>
        <w:t>print(df.select_dtypes(include="number").describe().T)</w:t>
        <w:br/>
        <w:br/>
        <w:t># Average shipping cost by transportation mode</w:t>
        <w:br/>
        <w:t>df.groupby("transportation_modes")["shipping_costs"].mean().sort_values().plot(</w:t>
        <w:br/>
        <w:t xml:space="preserve">    kind="bar", edgecolor="black"</w:t>
        <w:br/>
        <w:t>)</w:t>
        <w:br/>
        <w:t>plt.title("Average Shipping Cost by Transportation Mode")</w:t>
        <w:br/>
        <w:t>plt.xlabel("Transportation mode")</w:t>
        <w:br/>
        <w:t>plt.ylabel("Average shipping cost")</w:t>
        <w:br/>
        <w:t>plt.tight_layout()</w:t>
        <w:br/>
        <w:t>plt.show()</w:t>
        <w:br/>
        <w:br/>
        <w:t># Relationship between shipping cost and shipping time</w:t>
        <w:br/>
        <w:t>print(df["shipping_costs"].corr(df["shipping_times"]))</w:t>
        <w:br/>
        <w:t>plt.scatter(df["shipping_costs"], df["shipping_times"])</w:t>
        <w:br/>
        <w:t>plt.xlabel("Shipping cost")</w:t>
        <w:br/>
        <w:t>plt.ylabel("Shipping time")</w:t>
        <w:br/>
        <w:t>plt.tight_layout()</w:t>
        <w:br/>
        <w:t>plt.show()</w:t>
        <w:br/>
      </w:r>
    </w:p>
    <w:p>
      <w:pPr>
        <w:pStyle w:val="1"/>
      </w:pPr>
      <w:r>
        <w:t>11. Limitations</w:t>
      </w:r>
    </w:p>
    <w:p>
      <w:pPr>
        <w:pStyle w:val="27"/>
      </w:pPr>
      <w:r>
        <w:t>The dataset has only 100 records and may not represent real operational scale.</w:t>
      </w:r>
    </w:p>
    <w:p>
      <w:pPr>
        <w:pStyle w:val="27"/>
      </w:pPr>
      <w:r>
        <w:t>The file is a processed Week 2 output and includes engineered and scaled columns.</w:t>
      </w:r>
    </w:p>
    <w:p>
      <w:pPr>
        <w:pStyle w:val="27"/>
      </w:pPr>
      <w:r>
        <w:t>Currency, measurement units, and some field definitions are not documented in the file.</w:t>
      </w:r>
    </w:p>
    <w:p>
      <w:pPr>
        <w:pStyle w:val="27"/>
      </w:pPr>
      <w:r>
        <w:t>Correlation describes association, not causation.</w:t>
      </w:r>
    </w:p>
    <w:p>
      <w:pPr>
        <w:pStyle w:val="27"/>
      </w:pPr>
      <w:r>
        <w:t>Group averages can be misleading when routes, distances, shipment quantities, and service levels differ.</w:t>
      </w:r>
    </w:p>
    <w:p>
      <w:pPr>
        <w:pStyle w:val="27"/>
      </w:pPr>
      <w:r>
        <w:t>No time/date field is clearly available for a genuine time-series trend analysis.</w:t>
      </w:r>
    </w:p>
    <w:p>
      <w:pPr>
        <w:pStyle w:val="1"/>
      </w:pPr>
      <w:r>
        <w:t>12. Conclusion</w:t>
      </w:r>
    </w:p>
    <w:p>
      <w:r>
        <w:t>This task demonstrates how Python can be used to explore supply-chain data and communicate logistics performance through visualizations. Descriptive statistics summarize typical values and variation, group charts compare carriers and transportation modes, and correlation analysis checks relationships between cost, time, and other operational variables. The most useful next step is to validate field definitions and enrich the data with shipment-level details so that recommendations can be tested with fair comparisons. The analysis should be treated as an exploratory study rather than proof of causal relationships.</w:t>
      </w:r>
    </w:p>
    <w:p>
      <w:pPr>
        <w:pStyle w:val="1"/>
      </w:pPr>
      <w:r>
        <w:t>References</w:t>
      </w:r>
    </w:p>
    <w:p>
      <w:r>
        <w:t>Dataset reference recorded in the Week 2 project: Supply Chain Analysis dataset, Kaggle — https://www.kaggle.com/datasets/harshsingh2209/supply-chain-analysis</w:t>
      </w:r>
    </w:p>
    <w:p>
      <w:r>
        <w:t>Python libraries: pandas (https://pandas.pydata.org/), NumPy (https://numpy.org/), Matplotlib (https://matplotlib.org/).</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8</Pages>
  <Words>1369</Words>
  <Characters>8824</Characters>
  <Lines>237</Lines>
  <Paragraphs>161</Paragraphs>
  <CharactersWithSpaces>10042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2026-10-21T15:32:14Z</dcterms:modified>
</cp:coreProperties>
</file>