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SERVICE AGREEMENT</w:t>
      </w:r>
    </w:p>
    <w:p>
      <w:pPr>
        <w:pStyle w:val="Heading2"/>
      </w:pPr>
      <w:r>
        <w:t>Cloud Infrastructure Management Services</w:t>
      </w:r>
    </w:p>
    <w:p>
      <w:r>
        <w:t>Agreement Reference: MSA-2024-INFRA-007 | Effective Date: 2024-04-01</w:t>
      </w:r>
    </w:p>
    <w:p>
      <w:r>
        <w:t>Between: Acme Corporation ('Client') and CloudPro Solutions Ltd ('Supplier')</w:t>
      </w:r>
    </w:p>
    <w:p>
      <w:pPr>
        <w:pStyle w:val="Heading2"/>
      </w:pPr>
      <w:r>
        <w:t>1. Definitions</w:t>
      </w:r>
    </w:p>
    <w:p>
      <w:r>
        <w:t>1.1 'Services' means the cloud infrastructure management services described in Schedule 1 (Statement of Work). 'SLA' means the Service Level Agreement set out in Schedule 2. 'Confidential Information' means all non-public information disclosed by either party.</w:t>
      </w:r>
    </w:p>
    <w:p>
      <w:pPr>
        <w:pStyle w:val="Heading2"/>
      </w:pPr>
      <w:r>
        <w:t>2. Service Delivery Obligations</w:t>
      </w:r>
    </w:p>
    <w:p>
      <w:r>
        <w:t>CL-001: The Supplier shall deliver the Services described in Schedule 1 with reasonable skill and care, in accordance with industry best practices, and in compliance with all applicable laws and regulations throughout the Term.</w:t>
      </w:r>
    </w:p>
    <w:p>
      <w:r>
        <w:t>CL-002: The Supplier shall maintain system availability of no less than 99.5% measured on a calendar month basis, calculated as: (Total Minutes - Unplanned Downtime Minutes) / Total Minutes × 100. Planned maintenance windows approved in advance shall be excluded from availability calculations.</w:t>
      </w:r>
    </w:p>
    <w:p>
      <w:r>
        <w:t>CL-003: The Supplier shall implement and maintain a documented incident management process. Priority-1 incidents shall receive initial response within 30 minutes. Priority-2 incidents shall receive initial response within 4 hours.</w:t>
      </w:r>
    </w:p>
    <w:p>
      <w:pPr>
        <w:pStyle w:val="Heading2"/>
      </w:pPr>
      <w:r>
        <w:t>3. Security Obligations</w:t>
      </w:r>
    </w:p>
    <w:p>
      <w:r>
        <w:t>CL-004: The Supplier shall encrypt all Client data at rest using AES-256 and in transit using TLS 1.2 or higher. The Supplier shall manage encryption keys using an HSM or equivalent key management service approved by the Client.</w:t>
      </w:r>
    </w:p>
    <w:p>
      <w:r>
        <w:t>CL-005: The Supplier shall maintain ISO 27001 certification for the duration of this Agreement and shall provide the Client with a copy of its current certificate within 30 days of each renewal. Loss of certification shall constitute a material breach.</w:t>
      </w:r>
    </w:p>
    <w:p>
      <w:r>
        <w:t>CL-006: The Supplier shall conduct annual penetration testing by a third-party provider and share the executive summary report with the Client within 30 days of test completion. Critical vulnerabilities shall be remediated within 30 days of discovery.</w:t>
      </w:r>
    </w:p>
    <w:p>
      <w:pPr>
        <w:pStyle w:val="Heading2"/>
      </w:pPr>
      <w:r>
        <w:t>4. Data Protection and Residency</w:t>
      </w:r>
    </w:p>
    <w:p>
      <w:r>
        <w:t>CL-007: The Supplier shall process all Client personal data exclusively within the European Economic Area. The Supplier shall not transfer personal data to any third country without the prior written consent of the Client and the execution of appropriate transfer mechanisms under GDPR Article 46.</w:t>
      </w:r>
    </w:p>
    <w:p>
      <w:r>
        <w:t>CL-008: The Supplier shall act as a Data Processor in accordance with the Data Processing Agreement attached as Schedule 4. The Supplier shall process personal data only on documented instructions from the Client and shall not use Client data for any purpose beyond delivery of the Services.</w:t>
      </w:r>
    </w:p>
    <w:p>
      <w:pPr>
        <w:pStyle w:val="Heading2"/>
      </w:pPr>
      <w:r>
        <w:t>5. Performance Standards</w:t>
      </w:r>
    </w:p>
    <w:p>
      <w:r>
        <w:t>CL-009: The Supplier shall ensure that application response times for Client-facing services do not exceed 250 milliseconds at the 95th percentile under normal operating load, as measured by the monitoring tool specified in Schedule 2.</w:t>
      </w:r>
    </w:p>
    <w:p>
      <w:r>
        <w:t>CL-010: The Supplier shall implement auto-scaling capabilities for all production workloads. Auto-scaling shall trigger within 120 seconds of sustained resource utilisation exceeding the agreed thresholds specified in Schedule 2.</w:t>
      </w:r>
    </w:p>
    <w:p>
      <w:pPr>
        <w:pStyle w:val="Heading2"/>
      </w:pPr>
      <w:r>
        <w:t>6. Support Services</w:t>
      </w:r>
    </w:p>
    <w:p>
      <w:r>
        <w:t>CL-011: The Supplier shall provide 24x7x365 support via telephone, email, and the Client portal. A dedicated Technical Account Manager shall be assigned to the Client account and shall be available during UK business hours (08:00–18:00 GMT Monday to Friday excluding public holidays).</w:t>
      </w:r>
    </w:p>
    <w:p>
      <w:r>
        <w:t>CL-012: The Supplier shall provide monthly service performance reports within 5 business days of each month end. Reports shall include availability metrics, incident summary, capacity utilisation, and security event summary.</w:t>
      </w:r>
    </w:p>
    <w:p>
      <w:pPr>
        <w:pStyle w:val="Heading2"/>
      </w:pPr>
      <w:r>
        <w:t>7. Disaster Recovery</w:t>
      </w:r>
    </w:p>
    <w:p>
      <w:r>
        <w:t>CL-013: The Supplier shall maintain a documented Disaster Recovery Plan reviewed and tested on a semi-annual basis. Test results shall be provided to the Client within 10 business days of each test. The Supplier shall achieve RTO of 4 hours and RPO of 1 hour for Tier-1 systems.</w:t>
      </w:r>
    </w:p>
    <w:p>
      <w:pPr>
        <w:pStyle w:val="Heading2"/>
      </w:pPr>
      <w:r>
        <w:t>8. Liquidated Damages</w:t>
      </w:r>
    </w:p>
    <w:p>
      <w:r>
        <w:t>CL-014: Where monthly availability falls below 99.5%, the Supplier shall apply service credits at the rate of 1.5% of monthly contract value for each 0.1% below the threshold, up to a maximum of 15% of monthly contract value. Service credits shall be applied to the following month's invoice automatically.</w:t>
      </w:r>
    </w:p>
    <w:p>
      <w:r>
        <w:t>CL-015: In the event of a data breach caused by the Supplier's failure to maintain required security controls, the Supplier shall indemnify the Client for all reasonable and documented costs of breach notification, regulatory reporting, and remediation, up to a cap of £500,000 per incident.</w:t>
      </w:r>
    </w:p>
    <w:p>
      <w:pPr>
        <w:pStyle w:val="Heading2"/>
      </w:pPr>
      <w:r>
        <w:t>9. Intellectual Property</w:t>
      </w:r>
    </w:p>
    <w:p>
      <w:r>
        <w:t>CL-016: All work product, deliverables, and custom developments produced by the Supplier specifically for the Client under this Agreement shall vest in the Client upon payment of the applicable fees. The Supplier retains ownership of its pre-existing tools, frameworks, and methodologies.</w:t>
      </w:r>
    </w:p>
    <w:p>
      <w:pPr>
        <w:pStyle w:val="Heading2"/>
      </w:pPr>
      <w:r>
        <w:t>10. Term and Termination</w:t>
      </w:r>
    </w:p>
    <w:p>
      <w:r>
        <w:t>CL-017: This Agreement shall commence on the Effective Date and continue for an initial term of 24 months. Either party may terminate this Agreement by providing 90 days written notice prior to the expiry of the initial term or any extension period.</w:t>
      </w:r>
    </w:p>
    <w:p>
      <w:r>
        <w:t>CL-018: The Client may terminate this Agreement immediately upon written notice in the event of a material breach by the Supplier that remains uncured for 30 days following written notice of such breach, insolvency of the Supplier, or loss of required certifications.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