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FOR PROPOSAL (RFP)</w:t>
      </w:r>
    </w:p>
    <w:p>
      <w:pPr>
        <w:pStyle w:val="Heading2"/>
      </w:pPr>
      <w:r>
        <w:t>Cloud Infrastructure Management Services</w:t>
      </w:r>
    </w:p>
    <w:p>
      <w:r>
        <w:t>RFP Reference: RFP-2024-INFRA-007 | Issue Date: 2024-01-15 | Closing Date: 2024-03-01</w:t>
      </w:r>
    </w:p>
    <w:p>
      <w:pPr>
        <w:pStyle w:val="Heading2"/>
      </w:pPr>
      <w:r>
        <w:t>1. Introduction and Background</w:t>
      </w:r>
    </w:p>
    <w:p>
      <w:r>
        <w:t>Acme Corporation invites qualified vendors to submit proposals for the provision of Cloud Infrastructure Management Services. The selected vendor shall be responsible for the design, deployment, operation, and continuous improvement of Acme's cloud environment across AWS and Azure platforms.</w:t>
      </w:r>
    </w:p>
    <w:p>
      <w:pPr>
        <w:pStyle w:val="Heading2"/>
      </w:pPr>
      <w:r>
        <w:t>2. Scope of Work</w:t>
      </w:r>
    </w:p>
    <w:p>
      <w:r>
        <w:t>The vendor shall provide end-to-end cloud infrastructure management including provisioning, monitoring, incident response, capacity planning, and cost optimisation across all production and non-production environments.</w:t>
      </w:r>
    </w:p>
    <w:p>
      <w:pPr>
        <w:pStyle w:val="Heading2"/>
      </w:pPr>
      <w:r>
        <w:t>3. Technical Requirements</w:t>
      </w:r>
    </w:p>
    <w:p>
      <w:pPr>
        <w:pStyle w:val="Heading3"/>
      </w:pPr>
      <w:r>
        <w:t>3.1 Availability and Reliability</w:t>
      </w:r>
    </w:p>
    <w:p>
      <w:r>
        <w:t>REQ-001: The vendor shall guarantee a minimum system availability of 99.9% measured on a monthly basis, excluding approved maintenance windows not exceeding 4 hours per month.</w:t>
      </w:r>
    </w:p>
    <w:p>
      <w:r>
        <w:t>REQ-002: The vendor shall ensure a Recovery Time Objective (RTO) of no more than 2 hours and a Recovery Point Objective (RPO) of no more than 30 minutes for all Tier-1 production systems.</w:t>
      </w:r>
    </w:p>
    <w:p>
      <w:r>
        <w:t>REQ-003: The vendor shall maintain an active-active disaster recovery configuration across at least two geographically separate data centres.</w:t>
      </w:r>
    </w:p>
    <w:p>
      <w:pPr>
        <w:pStyle w:val="Heading3"/>
      </w:pPr>
      <w:r>
        <w:t>3.2 Security and Compliance</w:t>
      </w:r>
    </w:p>
    <w:p>
      <w:r>
        <w:t>REQ-004: All data at rest shall be encrypted using AES-256 encryption. All data in transit shall use TLS 1.3 or higher. Encryption keys shall be managed using a Hardware Security Module (HSM).</w:t>
      </w:r>
    </w:p>
    <w:p>
      <w:r>
        <w:t>REQ-005: The vendor shall maintain ISO 27001 certification and SOC 2 Type II compliance throughout the contract duration. Certificates shall be provided annually within 30 days of renewal.</w:t>
      </w:r>
    </w:p>
    <w:p>
      <w:r>
        <w:t>REQ-006: The vendor shall conduct quarterly penetration testing by an independent CREST-certified third party and provide remediation reports within 15 business days of test completion.</w:t>
      </w:r>
    </w:p>
    <w:p>
      <w:pPr>
        <w:pStyle w:val="Heading3"/>
      </w:pPr>
      <w:r>
        <w:t>3.3 Performance</w:t>
      </w:r>
    </w:p>
    <w:p>
      <w:r>
        <w:t>REQ-007: Application response time for all customer-facing services shall not exceed 200 milliseconds at the 95th percentile under normal load conditions.</w:t>
      </w:r>
    </w:p>
    <w:p>
      <w:r>
        <w:t>REQ-008: The vendor shall support auto-scaling that triggers within 90 seconds of a sustained CPU utilisation exceeding 70% for any production workload.</w:t>
      </w:r>
    </w:p>
    <w:p>
      <w:pPr>
        <w:pStyle w:val="Heading3"/>
      </w:pPr>
      <w:r>
        <w:t>3.4 Support and Service Levels</w:t>
      </w:r>
    </w:p>
    <w:p>
      <w:r>
        <w:t>REQ-009: The vendor shall provide 24x7x365 Level-1 and Level-2 support with a first response time of 15 minutes for Priority-1 incidents and 2 hours for Priority-2 incidents.</w:t>
      </w:r>
    </w:p>
    <w:p>
      <w:r>
        <w:t>REQ-010: The vendor shall assign a dedicated Technical Account Manager (TAM) who shall be available during business hours and reachable within 4 hours for critical escalations.</w:t>
      </w:r>
    </w:p>
    <w:p>
      <w:pPr>
        <w:pStyle w:val="Heading3"/>
      </w:pPr>
      <w:r>
        <w:t>3.5 Data Governance</w:t>
      </w:r>
    </w:p>
    <w:p>
      <w:r>
        <w:t>REQ-011: All customer data shall remain within the European Economic Area (EEA) at all times. Cross-border data transfers are strictly prohibited without prior written approval from Acme's Data Protection Officer.</w:t>
      </w:r>
    </w:p>
    <w:p>
      <w:r>
        <w:t>REQ-012: The vendor shall provide monthly data residency reports confirming compliance with data localisation requirements within 5 business days of each month end.</w:t>
      </w:r>
    </w:p>
    <w:p>
      <w:pPr>
        <w:pStyle w:val="Heading2"/>
      </w:pPr>
      <w:r>
        <w:t>4. Commercial Requirements</w:t>
      </w:r>
    </w:p>
    <w:p>
      <w:r>
        <w:t>REQ-013: The vendor shall submit a fixed-price proposal for the initial 24-month term with optional extension periods of 12 months each, up to a maximum of 3 extensions.</w:t>
      </w:r>
    </w:p>
    <w:p>
      <w:r>
        <w:t>REQ-014: Pricing shall be inclusive of all licences, tooling, staff, and third-party services required to deliver the full scope of work as described in Section 2.</w:t>
      </w:r>
    </w:p>
    <w:p>
      <w:pPr>
        <w:pStyle w:val="Heading2"/>
      </w:pPr>
      <w:r>
        <w:t>5. Evaluation Criteria</w:t>
      </w:r>
    </w:p>
    <w:p>
      <w:r>
        <w:t>Proposals will be evaluated on: Technical capability (40%), Security posture (25%), Commercial competitiveness (20%), Reference experience (15%). Only proposals scoring above 70% overall will be considered for contract award.</w:t>
      </w:r>
    </w:p>
    <w:p>
      <w:pPr>
        <w:pStyle w:val="Heading2"/>
      </w:pPr>
      <w:r>
        <w:t>6. Submission Instructions</w:t>
      </w:r>
    </w:p>
    <w:p>
      <w:r>
        <w:t>Proposals must be submitted electronically to procurement@acme.com by 17:00 CET on the closing date. Late submissions will not be accepted. Vendors must include a signed declaration of non-collusion with their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