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&amp; MITIGATION REGISTER (RMC)</w:t>
      </w:r>
    </w:p>
    <w:p>
      <w:pPr>
        <w:pStyle w:val="Heading2"/>
      </w:pPr>
      <w:r>
        <w:t>Cloud Infrastructure Management Services — RFP-2024-INFRA-007</w:t>
      </w:r>
    </w:p>
    <w:p>
      <w:r>
        <w:t>Document Version: 1.3 | Last Updated: 2024-01-20 | Owner: Risk Management Office</w:t>
      </w:r>
    </w:p>
    <w:p>
      <w:pPr>
        <w:pStyle w:val="Heading2"/>
      </w:pPr>
      <w:r>
        <w:t>1. Purpose</w:t>
      </w:r>
    </w:p>
    <w:p>
      <w:r>
        <w:t>This register identifies material risks associated with the engagement for Cloud Infrastructure Management Services. Each risk is assessed for likelihood and impact, and mitigations with corresponding Liquidated Damages clauses are defined.</w:t>
      </w:r>
    </w:p>
    <w:p>
      <w:pPr>
        <w:pStyle w:val="Heading2"/>
      </w:pPr>
      <w:r>
        <w:t>2. Risk and Mitigation Register</w:t>
      </w:r>
    </w:p>
    <w:p>
      <w:pPr>
        <w:pStyle w:val="Heading3"/>
      </w:pPr>
      <w:r>
        <w:t>RISK-001: Availability Breach</w:t>
      </w:r>
    </w:p>
    <w:p>
      <w:r>
        <w:t>Description: The supplier fails to meet the contractual 99.9% monthly availability SLA for Tier-1 production systems, resulting in unplanned service outages impacting business operations and customer-facing applications.</w:t>
      </w:r>
    </w:p>
    <w:p>
      <w:r>
        <w:t>Likelihood: High | Impact: Critical | Risk Score: 16/25</w:t>
      </w:r>
    </w:p>
    <w:p>
      <w:r>
        <w:t>Mitigation MIT-001: Implement real-time automated monitoring with alerting thresholds set at 99.95% to provide early warning before SLA breach. Deploy redundant infrastructure across availability zones. Establish a runbook-driven incident response process with escalation within 10 minutes of detection.</w:t>
      </w:r>
    </w:p>
    <w:p>
      <w:r>
        <w:t>Liquidated Damages LD-001: In the event of availability falling below 99.9% in any calendar month, the supplier shall pay a penalty equivalent to 2% of the monthly contract value for each 0.1% below the SLA threshold, up to a maximum of 20% of monthly contract value.</w:t>
      </w:r>
    </w:p>
    <w:p>
      <w:pPr>
        <w:pStyle w:val="Heading3"/>
      </w:pPr>
      <w:r>
        <w:t>RISK-002: Data Security Breach</w:t>
      </w:r>
    </w:p>
    <w:p>
      <w:r>
        <w:t>Description: Unauthorised access to, exfiltration of, or destruction of Acme customer data stored or processed within the managed cloud environment due to insufficient security controls or misconfiguration.</w:t>
      </w:r>
    </w:p>
    <w:p>
      <w:r>
        <w:t>Likelihood: Medium | Impact: Critical | Risk Score: 15/25</w:t>
      </w:r>
    </w:p>
    <w:p>
      <w:r>
        <w:t>Mitigation MIT-002: Enforce mandatory AES-256 encryption at rest and TLS 1.3 in transit for all data. Implement zero-trust network architecture with identity-based access controls. Conduct quarterly CREST-certified penetration testing and remediate all Critical and High findings within 15 and 30 business days respectively. Deploy SIEM with 24x7 SOC monitoring.</w:t>
      </w:r>
    </w:p>
    <w:p>
      <w:r>
        <w:t>Liquidated Damages LD-002: In the event of a confirmed data breach attributable to the supplier's negligence or failure to maintain required security controls, the supplier shall pay a fixed penalty of £150,000 per incident plus reimbursement of all reasonable costs incurred by Acme in breach notification, regulatory reporting, and remediation.</w:t>
      </w:r>
    </w:p>
    <w:p>
      <w:pPr>
        <w:pStyle w:val="Heading3"/>
      </w:pPr>
      <w:r>
        <w:t>RISK-003: Recovery Failure</w:t>
      </w:r>
    </w:p>
    <w:p>
      <w:r>
        <w:t>Description: The supplier fails to recover Tier-1 systems within the contractual RTO of 2 hours following a qualifying disaster event, resulting in extended business disruption.</w:t>
      </w:r>
    </w:p>
    <w:p>
      <w:r>
        <w:t>Likelihood: Low | Impact: Critical | Risk Score: 10/25</w:t>
      </w:r>
    </w:p>
    <w:p>
      <w:r>
        <w:t>Mitigation MIT-003: Maintain active-active DR configuration across two geographically separated regions at all times. Conduct quarterly failover drills with full documentation of results. Maintain tested runbooks for all Tier-1 system recovery scenarios. RTO shall be validated in each quarterly drill.</w:t>
      </w:r>
    </w:p>
    <w:p>
      <w:r>
        <w:t>Liquidated Damages LD-003: For each hour or part thereof by which recovery of a Tier-1 system exceeds the contractual 2-hour RTO, the supplier shall pay a penalty of £25,000 per affected system, subject to a maximum of £200,000 per incident.</w:t>
      </w:r>
    </w:p>
    <w:p>
      <w:pPr>
        <w:pStyle w:val="Heading3"/>
      </w:pPr>
      <w:r>
        <w:t>RISK-004: Performance Degradation</w:t>
      </w:r>
    </w:p>
    <w:p>
      <w:r>
        <w:t>Description: Application response times consistently exceed the 200ms P95 threshold due to inadequate capacity planning or inefficient resource allocation, degrading user experience.</w:t>
      </w:r>
    </w:p>
    <w:p>
      <w:r>
        <w:t>Likelihood: Medium | Impact: High | Risk Score: 12/25</w:t>
      </w:r>
    </w:p>
    <w:p>
      <w:r>
        <w:t>Mitigation MIT-004: Implement proactive auto-scaling policies triggering at 70% CPU utilisation with a 90-second scale-out response. Conduct monthly performance reviews and capacity forecasting. Maintain a minimum 30% headroom on all production workloads at all times.</w:t>
      </w:r>
    </w:p>
    <w:p>
      <w:r>
        <w:t>Liquidated Damages LD-004: If the P95 response time exceeds 200ms for more than 5% of transactions in any calendar month as measured by the agreed synthetic monitoring tool, the supplier shall apply a service credit of 5% of the monthly contract value.</w:t>
      </w:r>
    </w:p>
    <w:p>
      <w:pPr>
        <w:pStyle w:val="Heading3"/>
      </w:pPr>
      <w:r>
        <w:t>RISK-005: Compliance Failure</w:t>
      </w:r>
    </w:p>
    <w:p>
      <w:r>
        <w:t>Description: The supplier loses ISO 27001 or SOC 2 Type II certification, or fails a regulatory audit, exposing Acme to regulatory penalties and reputational damage.</w:t>
      </w:r>
    </w:p>
    <w:p>
      <w:r>
        <w:t>Likelihood: Low | Impact: High | Risk Score: 8/25</w:t>
      </w:r>
    </w:p>
    <w:p>
      <w:r>
        <w:t>Mitigation MIT-005: Supplier shall maintain ISO 27001 and SOC 2 Type II certifications continuously. Provide Acme with copies of certificates within 30 days of renewal. Notify Acme within 48 hours of any regulatory investigation, audit finding, or certification suspension.</w:t>
      </w:r>
    </w:p>
    <w:p>
      <w:r>
        <w:t>Liquidated Damages: No separate LD — treated as material breach under Clause 18 of the contract, entitling Acme to immediate termination for cause.</w:t>
      </w:r>
    </w:p>
    <w:p>
      <w:pPr>
        <w:pStyle w:val="Heading3"/>
      </w:pPr>
      <w:r>
        <w:t>RISK-006: Data Residency Violation</w:t>
      </w:r>
    </w:p>
    <w:p>
      <w:r>
        <w:t>Description: Customer data is stored or processed outside the European Economic Area without authorisation, violating GDPR data residency obligations and exposing Acme to regulatory sanctions.</w:t>
      </w:r>
    </w:p>
    <w:p>
      <w:r>
        <w:t>Likelihood: Medium | Impact: Critical | Risk Score: 15/25</w:t>
      </w:r>
    </w:p>
    <w:p>
      <w:r>
        <w:t>Mitigation MIT-006: Configure all cloud regions and storage buckets with EEA-only location policies enforced via infrastructure-as-code. Monthly automated data residency scans with reports provided to Acme's DPO. Prohibit use of global CDN edge nodes for any data containing personal information.</w:t>
      </w:r>
    </w:p>
    <w:p>
      <w:r>
        <w:t>Liquidated Damages LD-006: Each confirmed instance of data residency violation shall attract a penalty of £75,000. Repeat violations within a 12-month period shall be treated as a material breach entitling Acme to terminate the contract without further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