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658C0" w14:textId="31CA1A43" w:rsidR="00115D71" w:rsidRDefault="004349D5">
      <w:r>
        <w:rPr>
          <w:rFonts w:hint="eastAsia"/>
        </w:rPr>
        <w:t>G26014nk M1西村和真</w:t>
      </w:r>
    </w:p>
    <w:p w14:paraId="5E7D16F3" w14:textId="557DBFBB" w:rsidR="00EA00C5" w:rsidRDefault="00EA00C5" w:rsidP="00F94B4F">
      <w:pPr>
        <w:rPr>
          <w:rFonts w:hint="eastAsia"/>
        </w:rPr>
      </w:pPr>
    </w:p>
    <w:p w14:paraId="3DAE9630" w14:textId="7B896DCB" w:rsidR="004349D5" w:rsidRDefault="00F94B4F">
      <w:r>
        <w:rPr>
          <w:rFonts w:hint="eastAsia"/>
        </w:rPr>
        <w:t>➀</w:t>
      </w:r>
    </w:p>
    <w:p w14:paraId="7E54D67E" w14:textId="77777777" w:rsidR="00E24B5B" w:rsidRDefault="00F94B4F" w:rsidP="00E24B5B">
      <w:r>
        <w:rPr>
          <w:rFonts w:hint="eastAsia"/>
        </w:rPr>
        <w:t xml:space="preserve">　</w:t>
      </w:r>
      <w:r w:rsidR="00E24B5B" w:rsidRPr="00E24B5B">
        <w:rPr>
          <w:b/>
          <w:bCs/>
        </w:rPr>
        <w:t>23andMe（米国）</w:t>
      </w:r>
      <w:r w:rsidR="00E24B5B" w:rsidRPr="00E24B5B">
        <w:t xml:space="preserve"> </w:t>
      </w:r>
    </w:p>
    <w:p w14:paraId="1741EB13" w14:textId="1F0DA40E" w:rsidR="00E24B5B" w:rsidRPr="00E24B5B" w:rsidRDefault="00E24B5B" w:rsidP="00E24B5B">
      <w:pPr>
        <w:ind w:leftChars="200" w:left="420"/>
      </w:pPr>
      <w:r w:rsidRPr="00E24B5B">
        <w:t>次世代シーケンサーとGWASを用いて1500万人分の巨大なゲノム事前マップ</w:t>
      </w:r>
      <w:r>
        <w:rPr>
          <w:rFonts w:hint="eastAsia"/>
        </w:rPr>
        <w:t>、つまりデータベース</w:t>
      </w:r>
      <w:r w:rsidRPr="00E24B5B">
        <w:t>を構築したものの遺伝子検査が1回きりで終了</w:t>
      </w:r>
      <w:r w:rsidR="000C504A">
        <w:rPr>
          <w:rFonts w:hint="eastAsia"/>
        </w:rPr>
        <w:t>する。</w:t>
      </w:r>
      <w:r w:rsidRPr="00E24B5B">
        <w:t>生活習慣等の変化に応じた1回きりの検査の後に変わっていく、日々の生活習慣や健康状態の継続的な</w:t>
      </w:r>
      <w:r w:rsidR="00D929CB">
        <w:rPr>
          <w:rFonts w:hint="eastAsia"/>
        </w:rPr>
        <w:t>更新</w:t>
      </w:r>
      <w:r w:rsidRPr="00E24B5B">
        <w:t>をビジネスモデルに組み込めなかったため2025年3月に</w:t>
      </w:r>
      <w:r>
        <w:rPr>
          <w:rFonts w:hint="eastAsia"/>
        </w:rPr>
        <w:t>破産</w:t>
      </w:r>
      <w:r w:rsidRPr="00E24B5B">
        <w:t xml:space="preserve">した 。 </w:t>
      </w:r>
    </w:p>
    <w:p w14:paraId="7A65C805" w14:textId="77777777" w:rsidR="00E24B5B" w:rsidRDefault="00E24B5B" w:rsidP="00C85C9C">
      <w:pPr>
        <w:ind w:leftChars="100" w:left="210"/>
      </w:pPr>
      <w:r w:rsidRPr="00E24B5B">
        <w:rPr>
          <w:b/>
          <w:bCs/>
        </w:rPr>
        <w:t>株式会社ミルテル（日本）</w:t>
      </w:r>
      <w:r w:rsidRPr="00E24B5B">
        <w:t xml:space="preserve"> </w:t>
      </w:r>
    </w:p>
    <w:p w14:paraId="56E3E9BB" w14:textId="47727E1F" w:rsidR="00E24B5B" w:rsidRPr="00E24B5B" w:rsidRDefault="00E24B5B" w:rsidP="00E24B5B">
      <w:pPr>
        <w:ind w:leftChars="200" w:left="420"/>
      </w:pPr>
      <w:r w:rsidRPr="00E24B5B">
        <w:t>テロメア長等の計測により細胞老化度</w:t>
      </w:r>
      <w:r>
        <w:rPr>
          <w:rFonts w:hint="eastAsia"/>
        </w:rPr>
        <w:t>や局所的リスク</w:t>
      </w:r>
      <w:r w:rsidRPr="00E24B5B">
        <w:t>を的確に可視化するセンサ技術を持っていたものの保険適用外という</w:t>
      </w:r>
      <w:r>
        <w:rPr>
          <w:rFonts w:hint="eastAsia"/>
        </w:rPr>
        <w:t>ネックがあった。</w:t>
      </w:r>
      <w:r w:rsidRPr="00E24B5B">
        <w:t>主力の遺伝子検査を保険適用に切り替えられず需要が落ち込んだことや、個人ゲノムの取り扱いに関する国のルール整備が遅れたため2025年12月に</w:t>
      </w:r>
      <w:r>
        <w:rPr>
          <w:rFonts w:hint="eastAsia"/>
        </w:rPr>
        <w:t>破産</w:t>
      </w:r>
      <w:r w:rsidRPr="00E24B5B">
        <w:t>した 。</w:t>
      </w:r>
    </w:p>
    <w:p w14:paraId="74ED5580" w14:textId="008A7CC2" w:rsidR="00F94B4F" w:rsidRDefault="00F94B4F" w:rsidP="00E24B5B"/>
    <w:p w14:paraId="70A91FB1" w14:textId="18D72584" w:rsidR="00E24B5B" w:rsidRDefault="00E24B5B" w:rsidP="00E24B5B">
      <w:r>
        <w:rPr>
          <w:rFonts w:hint="eastAsia"/>
        </w:rPr>
        <w:t>こうしてみると</w:t>
      </w:r>
      <w:r w:rsidR="000C504A">
        <w:rPr>
          <w:rFonts w:hint="eastAsia"/>
        </w:rPr>
        <w:t>破産による</w:t>
      </w:r>
      <w:r>
        <w:rPr>
          <w:rFonts w:hint="eastAsia"/>
        </w:rPr>
        <w:t>２次被害での提供された個人ゲノムデータの所有者が誰になるのかが課題になっている。共通している。</w:t>
      </w:r>
    </w:p>
    <w:p w14:paraId="748B23D7" w14:textId="77777777" w:rsidR="000C504A" w:rsidRDefault="000C504A" w:rsidP="00E24B5B"/>
    <w:p w14:paraId="05C95406" w14:textId="0AD21D9A" w:rsidR="000C504A" w:rsidRDefault="000C504A" w:rsidP="00E24B5B">
      <w:r>
        <w:rPr>
          <w:rFonts w:hint="eastAsia"/>
        </w:rPr>
        <w:t>➁</w:t>
      </w:r>
    </w:p>
    <w:p w14:paraId="062AE661" w14:textId="0C08ABC0" w:rsidR="000C504A" w:rsidRDefault="000C504A" w:rsidP="00C85C9C">
      <w:pPr>
        <w:ind w:leftChars="100" w:left="210"/>
      </w:pPr>
      <w:r>
        <w:rPr>
          <w:rFonts w:hint="eastAsia"/>
        </w:rPr>
        <w:t>利点</w:t>
      </w:r>
    </w:p>
    <w:p w14:paraId="5F52806A" w14:textId="7D547389" w:rsidR="000C504A" w:rsidRDefault="000C504A" w:rsidP="00C85C9C">
      <w:pPr>
        <w:ind w:leftChars="200" w:left="420"/>
        <w:rPr>
          <w:rFonts w:hint="eastAsia"/>
        </w:rPr>
      </w:pPr>
      <w:r w:rsidRPr="000C504A">
        <w:t>本研究の「教育後に油断状態の行動ログ（反応時間やマウスの動き）を動的に測定・評価するシステム」は 、定期的なセキュリティ診断や段階的な訓練プランとして展開できるため、ユーザーが繰り返し利用するサブスクリプション型の継続ビジネスとして安定した売上を維持しやすい。</w:t>
      </w:r>
    </w:p>
    <w:p w14:paraId="1243170D" w14:textId="47F20D8C" w:rsidR="000C504A" w:rsidRDefault="000C504A" w:rsidP="00C85C9C">
      <w:pPr>
        <w:ind w:leftChars="100" w:left="210"/>
      </w:pPr>
      <w:r>
        <w:rPr>
          <w:rFonts w:hint="eastAsia"/>
        </w:rPr>
        <w:t>リスク</w:t>
      </w:r>
    </w:p>
    <w:p w14:paraId="7ACEA898" w14:textId="3D1440FB" w:rsidR="000C504A" w:rsidRDefault="000C504A" w:rsidP="00C85C9C">
      <w:pPr>
        <w:ind w:leftChars="200" w:left="420" w:firstLineChars="100" w:firstLine="210"/>
      </w:pPr>
      <w:r w:rsidRPr="000C504A">
        <w:t>公教育のカリキュラムや企業の法定研修などの公的制度（保険適用のような有利な走行環境）に組み込まれない限り、民間の自由診療のような扱いになり、認知や売上が伸びずに経営破綻するリスクがある 。</w:t>
      </w:r>
    </w:p>
    <w:p w14:paraId="714DD00B" w14:textId="77777777" w:rsidR="00C85C9C" w:rsidRDefault="00C85C9C" w:rsidP="00C85C9C">
      <w:pPr>
        <w:ind w:leftChars="200" w:left="420" w:firstLineChars="100" w:firstLine="210"/>
        <w:rPr>
          <w:rFonts w:hint="eastAsia"/>
        </w:rPr>
      </w:pPr>
    </w:p>
    <w:p w14:paraId="23DC9FB7" w14:textId="2C940901" w:rsidR="000C504A" w:rsidRPr="00F94B4F" w:rsidRDefault="000C504A" w:rsidP="00C85C9C">
      <w:pPr>
        <w:ind w:leftChars="200" w:left="420" w:firstLineChars="100" w:firstLine="210"/>
        <w:rPr>
          <w:rFonts w:hint="eastAsia"/>
        </w:rPr>
      </w:pPr>
      <w:r w:rsidRPr="000C504A">
        <w:t>本システムはボタンの反応時間やアイトラッキング、画面操作のプロセスといった詳細な行動ログ（個人データ）を収集・分析する 。そのため、1Health.ioが顧客データを適切に管理・保護しなかったとして米連邦取引委員会（FTC）に提訴された事例と同様に 、不揮発性な個人データの取り扱いに関する管理不備が起きた場合、重大なプライバシー侵害や法的な提訴リスクに直面する脅威がある 。</w:t>
      </w:r>
    </w:p>
    <w:sectPr w:rsidR="000C504A" w:rsidRPr="00F94B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74BBB"/>
    <w:multiLevelType w:val="hybridMultilevel"/>
    <w:tmpl w:val="DE0AB8CA"/>
    <w:lvl w:ilvl="0" w:tplc="04090001">
      <w:start w:val="1"/>
      <w:numFmt w:val="bullet"/>
      <w:lvlText w:val=""/>
      <w:lvlJc w:val="left"/>
      <w:pPr>
        <w:ind w:left="1070" w:hanging="440"/>
      </w:pPr>
      <w:rPr>
        <w:rFonts w:ascii="Wingdings" w:hAnsi="Wingdings" w:hint="default"/>
      </w:rPr>
    </w:lvl>
    <w:lvl w:ilvl="1" w:tplc="0409000B" w:tentative="1">
      <w:start w:val="1"/>
      <w:numFmt w:val="bullet"/>
      <w:lvlText w:val=""/>
      <w:lvlJc w:val="left"/>
      <w:pPr>
        <w:ind w:left="1510" w:hanging="440"/>
      </w:pPr>
      <w:rPr>
        <w:rFonts w:ascii="Wingdings" w:hAnsi="Wingdings" w:hint="default"/>
      </w:rPr>
    </w:lvl>
    <w:lvl w:ilvl="2" w:tplc="0409000D" w:tentative="1">
      <w:start w:val="1"/>
      <w:numFmt w:val="bullet"/>
      <w:lvlText w:val=""/>
      <w:lvlJc w:val="left"/>
      <w:pPr>
        <w:ind w:left="1950" w:hanging="440"/>
      </w:pPr>
      <w:rPr>
        <w:rFonts w:ascii="Wingdings" w:hAnsi="Wingdings" w:hint="default"/>
      </w:rPr>
    </w:lvl>
    <w:lvl w:ilvl="3" w:tplc="04090001" w:tentative="1">
      <w:start w:val="1"/>
      <w:numFmt w:val="bullet"/>
      <w:lvlText w:val=""/>
      <w:lvlJc w:val="left"/>
      <w:pPr>
        <w:ind w:left="2390" w:hanging="440"/>
      </w:pPr>
      <w:rPr>
        <w:rFonts w:ascii="Wingdings" w:hAnsi="Wingdings" w:hint="default"/>
      </w:rPr>
    </w:lvl>
    <w:lvl w:ilvl="4" w:tplc="0409000B" w:tentative="1">
      <w:start w:val="1"/>
      <w:numFmt w:val="bullet"/>
      <w:lvlText w:val=""/>
      <w:lvlJc w:val="left"/>
      <w:pPr>
        <w:ind w:left="2830" w:hanging="440"/>
      </w:pPr>
      <w:rPr>
        <w:rFonts w:ascii="Wingdings" w:hAnsi="Wingdings" w:hint="default"/>
      </w:rPr>
    </w:lvl>
    <w:lvl w:ilvl="5" w:tplc="0409000D"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B" w:tentative="1">
      <w:start w:val="1"/>
      <w:numFmt w:val="bullet"/>
      <w:lvlText w:val=""/>
      <w:lvlJc w:val="left"/>
      <w:pPr>
        <w:ind w:left="4150" w:hanging="440"/>
      </w:pPr>
      <w:rPr>
        <w:rFonts w:ascii="Wingdings" w:hAnsi="Wingdings" w:hint="default"/>
      </w:rPr>
    </w:lvl>
    <w:lvl w:ilvl="8" w:tplc="0409000D" w:tentative="1">
      <w:start w:val="1"/>
      <w:numFmt w:val="bullet"/>
      <w:lvlText w:val=""/>
      <w:lvlJc w:val="left"/>
      <w:pPr>
        <w:ind w:left="4590" w:hanging="440"/>
      </w:pPr>
      <w:rPr>
        <w:rFonts w:ascii="Wingdings" w:hAnsi="Wingdings" w:hint="default"/>
      </w:rPr>
    </w:lvl>
  </w:abstractNum>
  <w:num w:numId="1" w16cid:durableId="183036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9D5"/>
    <w:rsid w:val="000C504A"/>
    <w:rsid w:val="00115D71"/>
    <w:rsid w:val="00282274"/>
    <w:rsid w:val="003E7B4C"/>
    <w:rsid w:val="004349D5"/>
    <w:rsid w:val="00654310"/>
    <w:rsid w:val="00C85C9C"/>
    <w:rsid w:val="00D643CA"/>
    <w:rsid w:val="00D929CB"/>
    <w:rsid w:val="00E24B5B"/>
    <w:rsid w:val="00EA00C5"/>
    <w:rsid w:val="00F94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F1A91D9"/>
  <w15:chartTrackingRefBased/>
  <w15:docId w15:val="{810B091C-9B7D-479B-9D8D-1245D8A90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349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349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349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349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349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349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349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349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349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349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349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349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349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349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349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349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349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349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349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349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49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349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49D5"/>
    <w:pPr>
      <w:spacing w:before="160" w:after="160"/>
      <w:jc w:val="center"/>
    </w:pPr>
    <w:rPr>
      <w:i/>
      <w:iCs/>
      <w:color w:val="404040" w:themeColor="text1" w:themeTint="BF"/>
    </w:rPr>
  </w:style>
  <w:style w:type="character" w:customStyle="1" w:styleId="a8">
    <w:name w:val="引用文 (文字)"/>
    <w:basedOn w:val="a0"/>
    <w:link w:val="a7"/>
    <w:uiPriority w:val="29"/>
    <w:rsid w:val="004349D5"/>
    <w:rPr>
      <w:i/>
      <w:iCs/>
      <w:color w:val="404040" w:themeColor="text1" w:themeTint="BF"/>
    </w:rPr>
  </w:style>
  <w:style w:type="paragraph" w:styleId="a9">
    <w:name w:val="List Paragraph"/>
    <w:basedOn w:val="a"/>
    <w:uiPriority w:val="34"/>
    <w:qFormat/>
    <w:rsid w:val="004349D5"/>
    <w:pPr>
      <w:ind w:left="720"/>
      <w:contextualSpacing/>
    </w:pPr>
  </w:style>
  <w:style w:type="character" w:styleId="21">
    <w:name w:val="Intense Emphasis"/>
    <w:basedOn w:val="a0"/>
    <w:uiPriority w:val="21"/>
    <w:qFormat/>
    <w:rsid w:val="004349D5"/>
    <w:rPr>
      <w:i/>
      <w:iCs/>
      <w:color w:val="0F4761" w:themeColor="accent1" w:themeShade="BF"/>
    </w:rPr>
  </w:style>
  <w:style w:type="paragraph" w:styleId="22">
    <w:name w:val="Intense Quote"/>
    <w:basedOn w:val="a"/>
    <w:next w:val="a"/>
    <w:link w:val="23"/>
    <w:uiPriority w:val="30"/>
    <w:qFormat/>
    <w:rsid w:val="00434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349D5"/>
    <w:rPr>
      <w:i/>
      <w:iCs/>
      <w:color w:val="0F4761" w:themeColor="accent1" w:themeShade="BF"/>
    </w:rPr>
  </w:style>
  <w:style w:type="character" w:styleId="24">
    <w:name w:val="Intense Reference"/>
    <w:basedOn w:val="a0"/>
    <w:uiPriority w:val="32"/>
    <w:qFormat/>
    <w:rsid w:val="004349D5"/>
    <w:rPr>
      <w:b/>
      <w:bCs/>
      <w:smallCaps/>
      <w:color w:val="0F4761" w:themeColor="accent1" w:themeShade="BF"/>
      <w:spacing w:val="5"/>
    </w:rPr>
  </w:style>
  <w:style w:type="paragraph" w:styleId="Web">
    <w:name w:val="Normal (Web)"/>
    <w:basedOn w:val="a"/>
    <w:uiPriority w:val="99"/>
    <w:semiHidden/>
    <w:unhideWhenUsed/>
    <w:rsid w:val="00E24B5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48867FF144BA6B4D9A228F09B3B5C533" ma:contentTypeVersion="4" ma:contentTypeDescription="新しいドキュメントを作成します。" ma:contentTypeScope="" ma:versionID="02ccc496cc45faddc468cdc005c1ee6c">
  <xsd:schema xmlns:xsd="http://www.w3.org/2001/XMLSchema" xmlns:xs="http://www.w3.org/2001/XMLSchema" xmlns:p="http://schemas.microsoft.com/office/2006/metadata/properties" xmlns:ns3="306ff5f9-df9f-4986-a8f3-f3eb9e32213f" targetNamespace="http://schemas.microsoft.com/office/2006/metadata/properties" ma:root="true" ma:fieldsID="2043a768da33ac579bf230fe1f630929" ns3:_="">
    <xsd:import namespace="306ff5f9-df9f-4986-a8f3-f3eb9e32213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6ff5f9-df9f-4986-a8f3-f3eb9e32213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7BBEDA-3C81-4FAC-83BE-E30E364EF0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6ff5f9-df9f-4986-a8f3-f3eb9e3221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9DE896-9169-4CAD-B968-1892733FAB0A}">
  <ds:schemaRefs>
    <ds:schemaRef ds:uri="http://schemas.microsoft.com/sharepoint/v3/contenttype/forms"/>
  </ds:schemaRefs>
</ds:datastoreItem>
</file>

<file path=customXml/itemProps3.xml><?xml version="1.0" encoding="utf-8"?>
<ds:datastoreItem xmlns:ds="http://schemas.openxmlformats.org/officeDocument/2006/customXml" ds:itemID="{72BDEDCA-90EA-4AB6-B501-AFC2CB5AC7F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123</Words>
  <Characters>704</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g26014nk</dc:creator>
  <cp:keywords/>
  <dc:description/>
  <cp:lastModifiedBy>g26014nk</cp:lastModifiedBy>
  <cp:revision>6</cp:revision>
  <dcterms:created xsi:type="dcterms:W3CDTF">2026-06-30T10:30:00Z</dcterms:created>
  <dcterms:modified xsi:type="dcterms:W3CDTF">2026-06-30T11:14:00Z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0x01010048867FF144BA6B4D9A228F09B3B5C533</vt:lpwstr>
  </property>
</Properties>
</file>