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27A5" w14:textId="1244E39B" w:rsidR="00616061" w:rsidRPr="00616061" w:rsidRDefault="00616061" w:rsidP="00616061">
      <w:r>
        <w:t xml:space="preserve">This is clean outline for </w:t>
      </w:r>
      <w:r w:rsidRPr="00616061">
        <w:rPr>
          <w:b/>
          <w:bCs/>
        </w:rPr>
        <w:t>Analysis Chapter</w:t>
      </w:r>
      <w:r w:rsidRPr="00616061">
        <w:t xml:space="preserve"> based on the exact data </w:t>
      </w:r>
      <w:r>
        <w:t>I am</w:t>
      </w:r>
      <w:r w:rsidRPr="00616061">
        <w:t xml:space="preserve"> collecting from LSEG (Investments + Exits).</w:t>
      </w:r>
      <w:r w:rsidRPr="00616061">
        <w:br/>
      </w:r>
      <w:r>
        <w:t xml:space="preserve">Please </w:t>
      </w:r>
      <w:r w:rsidRPr="00616061">
        <w:t xml:space="preserve">Use this as the structure of </w:t>
      </w:r>
      <w:r w:rsidRPr="00616061">
        <w:rPr>
          <w:b/>
          <w:bCs/>
        </w:rPr>
        <w:t xml:space="preserve">Chapter 4: Analysis </w:t>
      </w:r>
      <w:proofErr w:type="gramStart"/>
      <w:r>
        <w:rPr>
          <w:b/>
          <w:bCs/>
        </w:rPr>
        <w:t>( PS</w:t>
      </w:r>
      <w:proofErr w:type="gramEnd"/>
      <w:r>
        <w:rPr>
          <w:b/>
          <w:bCs/>
        </w:rPr>
        <w:t>: You can make changes which seems necessary)</w:t>
      </w:r>
    </w:p>
    <w:p w14:paraId="0B5C84A3" w14:textId="4BC673DA" w:rsidR="00616061" w:rsidRPr="00616061" w:rsidRDefault="00616061" w:rsidP="00616061">
      <w:r w:rsidRPr="00616061">
        <w:pict w14:anchorId="1AF6F65E">
          <v:rect id="_x0000_i1109" style="width:0;height:1.5pt" o:hralign="center" o:hrstd="t" o:hr="t" fillcolor="#a0a0a0" stroked="f"/>
        </w:pict>
      </w:r>
      <w:r w:rsidRPr="00616061">
        <w:rPr>
          <w:b/>
          <w:bCs/>
        </w:rPr>
        <w:t xml:space="preserve"> CHAPTER 4 — ANALYSIS (OUTLINE)</w:t>
      </w:r>
    </w:p>
    <w:p w14:paraId="77590F11" w14:textId="77777777" w:rsidR="00616061" w:rsidRPr="00616061" w:rsidRDefault="00616061" w:rsidP="00616061">
      <w:r w:rsidRPr="00616061">
        <w:pict w14:anchorId="0F564201">
          <v:rect id="_x0000_i1110" style="width:0;height:1.5pt" o:hralign="center" o:hrstd="t" o:hr="t" fillcolor="#a0a0a0" stroked="f"/>
        </w:pict>
      </w:r>
    </w:p>
    <w:p w14:paraId="2EA405AC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 Introduction to the Analysis</w:t>
      </w:r>
    </w:p>
    <w:p w14:paraId="657A731F" w14:textId="77777777" w:rsidR="00616061" w:rsidRPr="00616061" w:rsidRDefault="00616061" w:rsidP="00616061">
      <w:pPr>
        <w:numPr>
          <w:ilvl w:val="0"/>
          <w:numId w:val="1"/>
        </w:numPr>
      </w:pPr>
      <w:r w:rsidRPr="00616061">
        <w:t>Briefly describe the purpose of the analysis chapter</w:t>
      </w:r>
    </w:p>
    <w:p w14:paraId="259F4BB9" w14:textId="77777777" w:rsidR="00616061" w:rsidRPr="00616061" w:rsidRDefault="00616061" w:rsidP="00616061">
      <w:pPr>
        <w:numPr>
          <w:ilvl w:val="0"/>
          <w:numId w:val="1"/>
        </w:numPr>
      </w:pPr>
      <w:r w:rsidRPr="00616061">
        <w:t>Mention that analysis is based on:</w:t>
      </w:r>
    </w:p>
    <w:p w14:paraId="6B28BB6A" w14:textId="77777777" w:rsidR="00616061" w:rsidRPr="00616061" w:rsidRDefault="00616061" w:rsidP="00616061">
      <w:pPr>
        <w:numPr>
          <w:ilvl w:val="1"/>
          <w:numId w:val="1"/>
        </w:numPr>
      </w:pPr>
      <w:r w:rsidRPr="00616061">
        <w:t>PE investment dataset (LSEG Private Equity/VC module)</w:t>
      </w:r>
    </w:p>
    <w:p w14:paraId="14AACF17" w14:textId="77777777" w:rsidR="00616061" w:rsidRPr="00616061" w:rsidRDefault="00616061" w:rsidP="00616061">
      <w:pPr>
        <w:numPr>
          <w:ilvl w:val="1"/>
          <w:numId w:val="1"/>
        </w:numPr>
      </w:pPr>
      <w:r w:rsidRPr="00616061">
        <w:t>PE exit dataset (LSEG Private Equity Exits module)</w:t>
      </w:r>
    </w:p>
    <w:p w14:paraId="77D76950" w14:textId="4DC90E71" w:rsidR="00616061" w:rsidRPr="00616061" w:rsidRDefault="00616061" w:rsidP="00616061">
      <w:pPr>
        <w:numPr>
          <w:ilvl w:val="1"/>
          <w:numId w:val="1"/>
        </w:numPr>
      </w:pPr>
      <w:r w:rsidRPr="00616061">
        <w:t>Supplementary information from reports (</w:t>
      </w:r>
      <w:r>
        <w:t xml:space="preserve">which you use </w:t>
      </w:r>
      <w:r w:rsidRPr="00616061">
        <w:t>Bain, EY, PwC, IVCA</w:t>
      </w:r>
      <w:r>
        <w:t xml:space="preserve"> etc.</w:t>
      </w:r>
      <w:r w:rsidRPr="00616061">
        <w:t>)</w:t>
      </w:r>
    </w:p>
    <w:p w14:paraId="1DF0189A" w14:textId="353BE0C4" w:rsidR="00616061" w:rsidRPr="00616061" w:rsidRDefault="00616061" w:rsidP="00616061">
      <w:pPr>
        <w:numPr>
          <w:ilvl w:val="0"/>
          <w:numId w:val="1"/>
        </w:numPr>
      </w:pPr>
      <w:r w:rsidRPr="00616061">
        <w:t>Restate research questions and show how each section answers one of them</w:t>
      </w:r>
    </w:p>
    <w:p w14:paraId="1EEC8D36" w14:textId="77777777" w:rsidR="00616061" w:rsidRPr="00616061" w:rsidRDefault="00616061" w:rsidP="00616061">
      <w:r w:rsidRPr="00616061">
        <w:pict w14:anchorId="7B2EC945">
          <v:rect id="_x0000_i1111" style="width:0;height:1.5pt" o:hralign="center" o:hrstd="t" o:hr="t" fillcolor="#a0a0a0" stroked="f"/>
        </w:pict>
      </w:r>
    </w:p>
    <w:p w14:paraId="73F20C1B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4.2 Descriptive Overview of the Dataset</w:t>
      </w:r>
    </w:p>
    <w:p w14:paraId="27C7708E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4.2.1 Investment Dataset Summary</w:t>
      </w:r>
    </w:p>
    <w:p w14:paraId="2935BE18" w14:textId="77777777" w:rsidR="00616061" w:rsidRPr="00616061" w:rsidRDefault="00616061" w:rsidP="00616061">
      <w:pPr>
        <w:numPr>
          <w:ilvl w:val="0"/>
          <w:numId w:val="2"/>
        </w:numPr>
      </w:pPr>
      <w:r w:rsidRPr="00616061">
        <w:t>Number of deals (total, yearly)</w:t>
      </w:r>
    </w:p>
    <w:p w14:paraId="0DCA75A4" w14:textId="77777777" w:rsidR="00616061" w:rsidRPr="00616061" w:rsidRDefault="00616061" w:rsidP="00616061">
      <w:pPr>
        <w:numPr>
          <w:ilvl w:val="0"/>
          <w:numId w:val="2"/>
        </w:numPr>
      </w:pPr>
      <w:r w:rsidRPr="00616061">
        <w:t>Time span covered (2005–2024)</w:t>
      </w:r>
    </w:p>
    <w:p w14:paraId="2B0FBCAB" w14:textId="77777777" w:rsidR="00616061" w:rsidRPr="00616061" w:rsidRDefault="00616061" w:rsidP="00616061">
      <w:pPr>
        <w:numPr>
          <w:ilvl w:val="0"/>
          <w:numId w:val="2"/>
        </w:numPr>
      </w:pPr>
      <w:r w:rsidRPr="00616061">
        <w:t>Sector distribution</w:t>
      </w:r>
    </w:p>
    <w:p w14:paraId="15C5A66B" w14:textId="77777777" w:rsidR="00616061" w:rsidRPr="00616061" w:rsidRDefault="00616061" w:rsidP="00616061">
      <w:pPr>
        <w:numPr>
          <w:ilvl w:val="0"/>
          <w:numId w:val="2"/>
        </w:numPr>
      </w:pPr>
      <w:r w:rsidRPr="00616061">
        <w:t>Stages of investment (Early, Growth, Late, Buyout)</w:t>
      </w:r>
    </w:p>
    <w:p w14:paraId="5A8E167C" w14:textId="77777777" w:rsidR="00616061" w:rsidRPr="00616061" w:rsidRDefault="00616061" w:rsidP="00616061">
      <w:pPr>
        <w:numPr>
          <w:ilvl w:val="0"/>
          <w:numId w:val="2"/>
        </w:numPr>
      </w:pPr>
      <w:r w:rsidRPr="00616061">
        <w:t>Investor activity (top PE firms)</w:t>
      </w:r>
    </w:p>
    <w:p w14:paraId="1801750E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4.2.2 Exit Dataset Summary</w:t>
      </w:r>
    </w:p>
    <w:p w14:paraId="0AF4640B" w14:textId="77777777" w:rsidR="00616061" w:rsidRPr="00616061" w:rsidRDefault="00616061" w:rsidP="00616061">
      <w:pPr>
        <w:numPr>
          <w:ilvl w:val="0"/>
          <w:numId w:val="3"/>
        </w:numPr>
      </w:pPr>
      <w:r w:rsidRPr="00616061">
        <w:t>Number of exits</w:t>
      </w:r>
    </w:p>
    <w:p w14:paraId="5CAEB82F" w14:textId="77777777" w:rsidR="00616061" w:rsidRPr="00616061" w:rsidRDefault="00616061" w:rsidP="00616061">
      <w:pPr>
        <w:numPr>
          <w:ilvl w:val="0"/>
          <w:numId w:val="3"/>
        </w:numPr>
      </w:pPr>
      <w:r w:rsidRPr="00616061">
        <w:t>Types of exits (IPO, M&amp;A, Secondary, Buyback)</w:t>
      </w:r>
    </w:p>
    <w:p w14:paraId="35DCDA23" w14:textId="77777777" w:rsidR="00616061" w:rsidRPr="00616061" w:rsidRDefault="00616061" w:rsidP="00616061">
      <w:pPr>
        <w:numPr>
          <w:ilvl w:val="0"/>
          <w:numId w:val="3"/>
        </w:numPr>
      </w:pPr>
      <w:r w:rsidRPr="00616061">
        <w:t>Sector distribution of exit companies</w:t>
      </w:r>
    </w:p>
    <w:p w14:paraId="74A93C3D" w14:textId="77777777" w:rsidR="00616061" w:rsidRPr="00616061" w:rsidRDefault="00616061" w:rsidP="00616061">
      <w:pPr>
        <w:numPr>
          <w:ilvl w:val="0"/>
          <w:numId w:val="3"/>
        </w:numPr>
      </w:pPr>
      <w:r w:rsidRPr="00616061">
        <w:t>Exit values (if available)</w:t>
      </w:r>
    </w:p>
    <w:p w14:paraId="1B78F3F6" w14:textId="77777777" w:rsidR="00616061" w:rsidRPr="00616061" w:rsidRDefault="00616061" w:rsidP="00616061">
      <w:r w:rsidRPr="00616061">
        <w:t>(Insert summary tables)</w:t>
      </w:r>
    </w:p>
    <w:p w14:paraId="0A33EB54" w14:textId="77777777" w:rsidR="00616061" w:rsidRPr="00616061" w:rsidRDefault="00616061" w:rsidP="00616061">
      <w:r w:rsidRPr="00616061">
        <w:lastRenderedPageBreak/>
        <w:pict w14:anchorId="4CEC6303">
          <v:rect id="_x0000_i1112" style="width:0;height:1.5pt" o:hralign="center" o:hrstd="t" o:hr="t" fillcolor="#a0a0a0" stroked="f"/>
        </w:pict>
      </w:r>
    </w:p>
    <w:p w14:paraId="04D7A985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4.3 Trend Analysis of Private Equity Investments (2005–2024)</w:t>
      </w:r>
    </w:p>
    <w:p w14:paraId="608F090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4.3.1 Annual Deal Volume Trend</w:t>
      </w:r>
    </w:p>
    <w:p w14:paraId="6A5AA789" w14:textId="57C80DE1" w:rsidR="00616061" w:rsidRPr="00616061" w:rsidRDefault="00616061" w:rsidP="00616061">
      <w:pPr>
        <w:numPr>
          <w:ilvl w:val="0"/>
          <w:numId w:val="4"/>
        </w:numPr>
      </w:pPr>
      <w:r w:rsidRPr="00616061">
        <w:t>Line chart</w:t>
      </w:r>
      <w:r>
        <w:t xml:space="preserve"> or whatever chart seems </w:t>
      </w:r>
      <w:proofErr w:type="gramStart"/>
      <w:r>
        <w:t xml:space="preserve">good </w:t>
      </w:r>
      <w:r w:rsidRPr="00616061">
        <w:t>:</w:t>
      </w:r>
      <w:proofErr w:type="gramEnd"/>
      <w:r w:rsidRPr="00616061">
        <w:t xml:space="preserve"> number of deals per year</w:t>
      </w:r>
    </w:p>
    <w:p w14:paraId="32DA29FB" w14:textId="77777777" w:rsidR="00616061" w:rsidRPr="00616061" w:rsidRDefault="00616061" w:rsidP="00616061">
      <w:pPr>
        <w:numPr>
          <w:ilvl w:val="0"/>
          <w:numId w:val="4"/>
        </w:numPr>
      </w:pPr>
      <w:r w:rsidRPr="00616061">
        <w:t>Identify growth phases, declines, post-reform patterns</w:t>
      </w:r>
    </w:p>
    <w:p w14:paraId="76895BA5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4.3.2 Annual Deal Value Trend</w:t>
      </w:r>
    </w:p>
    <w:p w14:paraId="0E8DC480" w14:textId="5D6B7FD1" w:rsidR="00616061" w:rsidRPr="00616061" w:rsidRDefault="00616061" w:rsidP="00616061">
      <w:pPr>
        <w:numPr>
          <w:ilvl w:val="0"/>
          <w:numId w:val="5"/>
        </w:numPr>
      </w:pPr>
      <w:r w:rsidRPr="00616061">
        <w:t>Line chart</w:t>
      </w:r>
      <w:r>
        <w:t xml:space="preserve"> or whatever seems </w:t>
      </w:r>
      <w:proofErr w:type="gramStart"/>
      <w:r>
        <w:t xml:space="preserve">necessary </w:t>
      </w:r>
      <w:r w:rsidRPr="00616061">
        <w:t>:</w:t>
      </w:r>
      <w:proofErr w:type="gramEnd"/>
      <w:r w:rsidRPr="00616061">
        <w:t xml:space="preserve"> total investment (USD) per year</w:t>
      </w:r>
    </w:p>
    <w:p w14:paraId="6FB82A34" w14:textId="77777777" w:rsidR="00616061" w:rsidRPr="00616061" w:rsidRDefault="00616061" w:rsidP="00616061">
      <w:pPr>
        <w:numPr>
          <w:ilvl w:val="0"/>
          <w:numId w:val="5"/>
        </w:numPr>
      </w:pPr>
      <w:r w:rsidRPr="00616061">
        <w:t>Comment on major spikes, downturns</w:t>
      </w:r>
    </w:p>
    <w:p w14:paraId="07380694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4.3.3 Interpretation</w:t>
      </w:r>
    </w:p>
    <w:p w14:paraId="0B610EA5" w14:textId="77777777" w:rsidR="00616061" w:rsidRPr="00616061" w:rsidRDefault="00616061" w:rsidP="00616061">
      <w:pPr>
        <w:numPr>
          <w:ilvl w:val="0"/>
          <w:numId w:val="6"/>
        </w:numPr>
      </w:pPr>
      <w:r w:rsidRPr="00616061">
        <w:t>Link trends to major events:</w:t>
      </w:r>
    </w:p>
    <w:p w14:paraId="257B903B" w14:textId="77777777" w:rsidR="00616061" w:rsidRPr="00616061" w:rsidRDefault="00616061" w:rsidP="00616061">
      <w:pPr>
        <w:numPr>
          <w:ilvl w:val="1"/>
          <w:numId w:val="6"/>
        </w:numPr>
      </w:pPr>
      <w:r w:rsidRPr="00616061">
        <w:t>Global Financial Crisis (2008)</w:t>
      </w:r>
    </w:p>
    <w:p w14:paraId="1058FB6E" w14:textId="77777777" w:rsidR="00616061" w:rsidRPr="00616061" w:rsidRDefault="00616061" w:rsidP="00616061">
      <w:pPr>
        <w:numPr>
          <w:ilvl w:val="1"/>
          <w:numId w:val="6"/>
        </w:numPr>
      </w:pPr>
      <w:r w:rsidRPr="00616061">
        <w:t>AIF Regulations (2012)</w:t>
      </w:r>
    </w:p>
    <w:p w14:paraId="40B27630" w14:textId="77777777" w:rsidR="00616061" w:rsidRPr="00616061" w:rsidRDefault="00616061" w:rsidP="00616061">
      <w:pPr>
        <w:numPr>
          <w:ilvl w:val="1"/>
          <w:numId w:val="6"/>
        </w:numPr>
      </w:pPr>
      <w:r w:rsidRPr="00616061">
        <w:t>IBC Insolvency Reform (2016)</w:t>
      </w:r>
    </w:p>
    <w:p w14:paraId="196CF75E" w14:textId="77777777" w:rsidR="00616061" w:rsidRPr="00616061" w:rsidRDefault="00616061" w:rsidP="00616061">
      <w:pPr>
        <w:numPr>
          <w:ilvl w:val="1"/>
          <w:numId w:val="6"/>
        </w:numPr>
      </w:pPr>
      <w:r w:rsidRPr="00616061">
        <w:t>COVID-19</w:t>
      </w:r>
    </w:p>
    <w:p w14:paraId="045A8228" w14:textId="77777777" w:rsidR="00616061" w:rsidRPr="00616061" w:rsidRDefault="00616061" w:rsidP="00616061">
      <w:pPr>
        <w:numPr>
          <w:ilvl w:val="1"/>
          <w:numId w:val="6"/>
        </w:numPr>
      </w:pPr>
      <w:r w:rsidRPr="00616061">
        <w:t>Startup boom (2016–2021)</w:t>
      </w:r>
    </w:p>
    <w:p w14:paraId="1F3FE411" w14:textId="77777777" w:rsidR="00616061" w:rsidRPr="00616061" w:rsidRDefault="00616061" w:rsidP="00616061">
      <w:r w:rsidRPr="00616061">
        <w:pict w14:anchorId="239F492D">
          <v:rect id="_x0000_i1113" style="width:0;height:1.5pt" o:hralign="center" o:hrstd="t" o:hr="t" fillcolor="#a0a0a0" stroked="f"/>
        </w:pict>
      </w:r>
    </w:p>
    <w:p w14:paraId="711D281B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4.4 Sectoral Allocation of Investments</w:t>
      </w:r>
    </w:p>
    <w:p w14:paraId="06987C0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4.4.1 Sector Share Over Time</w:t>
      </w:r>
    </w:p>
    <w:p w14:paraId="22DB3239" w14:textId="6BA9F896" w:rsidR="00616061" w:rsidRPr="00616061" w:rsidRDefault="00616061" w:rsidP="00616061">
      <w:pPr>
        <w:numPr>
          <w:ilvl w:val="0"/>
          <w:numId w:val="7"/>
        </w:numPr>
      </w:pPr>
      <w:r w:rsidRPr="00616061">
        <w:t>100% stacked area chart</w:t>
      </w:r>
      <w:r>
        <w:t xml:space="preserve"> or heatmaps again whatever you think is good</w:t>
      </w:r>
    </w:p>
    <w:p w14:paraId="4E227D16" w14:textId="77777777" w:rsidR="00616061" w:rsidRPr="00616061" w:rsidRDefault="00616061" w:rsidP="00616061">
      <w:pPr>
        <w:numPr>
          <w:ilvl w:val="0"/>
          <w:numId w:val="7"/>
        </w:numPr>
      </w:pPr>
      <w:r w:rsidRPr="00616061">
        <w:t>Tech vs Healthcare vs Consumer vs Financials vs Infra</w:t>
      </w:r>
    </w:p>
    <w:p w14:paraId="1C25A0AB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4.4.2 Sector Attractiveness</w:t>
      </w:r>
    </w:p>
    <w:p w14:paraId="6A917445" w14:textId="77777777" w:rsidR="00616061" w:rsidRPr="00616061" w:rsidRDefault="00616061" w:rsidP="00616061">
      <w:pPr>
        <w:numPr>
          <w:ilvl w:val="0"/>
          <w:numId w:val="8"/>
        </w:numPr>
      </w:pPr>
      <w:r w:rsidRPr="00616061">
        <w:t>Deal count &amp; value by sector</w:t>
      </w:r>
    </w:p>
    <w:p w14:paraId="69266516" w14:textId="77777777" w:rsidR="00616061" w:rsidRPr="00616061" w:rsidRDefault="00616061" w:rsidP="00616061">
      <w:pPr>
        <w:numPr>
          <w:ilvl w:val="0"/>
          <w:numId w:val="8"/>
        </w:numPr>
      </w:pPr>
      <w:r w:rsidRPr="00616061">
        <w:t>Which sectors grew fastest?</w:t>
      </w:r>
    </w:p>
    <w:p w14:paraId="0100FE06" w14:textId="77777777" w:rsidR="00616061" w:rsidRPr="00616061" w:rsidRDefault="00616061" w:rsidP="00616061">
      <w:pPr>
        <w:numPr>
          <w:ilvl w:val="0"/>
          <w:numId w:val="8"/>
        </w:numPr>
      </w:pPr>
      <w:r w:rsidRPr="00616061">
        <w:t>Which sectors declined?</w:t>
      </w:r>
    </w:p>
    <w:p w14:paraId="1E1DD76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4.4.3 Interpretation</w:t>
      </w:r>
    </w:p>
    <w:p w14:paraId="79DDCFED" w14:textId="77777777" w:rsidR="00616061" w:rsidRPr="00616061" w:rsidRDefault="00616061" w:rsidP="00616061">
      <w:pPr>
        <w:numPr>
          <w:ilvl w:val="0"/>
          <w:numId w:val="9"/>
        </w:numPr>
      </w:pPr>
      <w:r w:rsidRPr="00616061">
        <w:t>Explain why certain sectors attract more PE</w:t>
      </w:r>
    </w:p>
    <w:p w14:paraId="4D7EBB4F" w14:textId="77777777" w:rsidR="00616061" w:rsidRPr="00616061" w:rsidRDefault="00616061" w:rsidP="00616061">
      <w:pPr>
        <w:numPr>
          <w:ilvl w:val="0"/>
          <w:numId w:val="9"/>
        </w:numPr>
      </w:pPr>
      <w:r w:rsidRPr="00616061">
        <w:t>Compare with literature (e.g., tech dominance, healthcare resilience)</w:t>
      </w:r>
    </w:p>
    <w:p w14:paraId="11E49FD7" w14:textId="77777777" w:rsidR="00616061" w:rsidRPr="00616061" w:rsidRDefault="00616061" w:rsidP="00616061">
      <w:r w:rsidRPr="00616061">
        <w:pict w14:anchorId="30C70A15">
          <v:rect id="_x0000_i1114" style="width:0;height:1.5pt" o:hralign="center" o:hrstd="t" o:hr="t" fillcolor="#a0a0a0" stroked="f"/>
        </w:pict>
      </w:r>
    </w:p>
    <w:p w14:paraId="0AD4C24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lastRenderedPageBreak/>
        <w:t>4.5 Investment Stage Analysis</w:t>
      </w:r>
    </w:p>
    <w:p w14:paraId="1F2E59C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4.5.1 Distribution of Deal Stages</w:t>
      </w:r>
    </w:p>
    <w:p w14:paraId="50376A1B" w14:textId="77777777" w:rsidR="00616061" w:rsidRPr="00616061" w:rsidRDefault="00616061" w:rsidP="00616061">
      <w:pPr>
        <w:numPr>
          <w:ilvl w:val="0"/>
          <w:numId w:val="10"/>
        </w:numPr>
      </w:pPr>
      <w:r w:rsidRPr="00616061">
        <w:t>Early Stage</w:t>
      </w:r>
    </w:p>
    <w:p w14:paraId="78EE71D6" w14:textId="77777777" w:rsidR="00616061" w:rsidRPr="00616061" w:rsidRDefault="00616061" w:rsidP="00616061">
      <w:pPr>
        <w:numPr>
          <w:ilvl w:val="0"/>
          <w:numId w:val="10"/>
        </w:numPr>
      </w:pPr>
      <w:r w:rsidRPr="00616061">
        <w:t>Growth Stage</w:t>
      </w:r>
    </w:p>
    <w:p w14:paraId="6E920B63" w14:textId="77777777" w:rsidR="00616061" w:rsidRPr="00616061" w:rsidRDefault="00616061" w:rsidP="00616061">
      <w:pPr>
        <w:numPr>
          <w:ilvl w:val="0"/>
          <w:numId w:val="10"/>
        </w:numPr>
      </w:pPr>
      <w:r w:rsidRPr="00616061">
        <w:t>Buyout / Late Stage</w:t>
      </w:r>
    </w:p>
    <w:p w14:paraId="73CBBD7D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4.5.2 Trend in Control vs Minority Investments</w:t>
      </w:r>
    </w:p>
    <w:p w14:paraId="6A314D3C" w14:textId="77777777" w:rsidR="00616061" w:rsidRPr="00616061" w:rsidRDefault="00616061" w:rsidP="00616061">
      <w:pPr>
        <w:numPr>
          <w:ilvl w:val="0"/>
          <w:numId w:val="11"/>
        </w:numPr>
      </w:pPr>
      <w:r w:rsidRPr="00616061">
        <w:t>Major shift toward buyouts after 2016 (IBC)</w:t>
      </w:r>
    </w:p>
    <w:p w14:paraId="006CD523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4.5.3 Interpretation</w:t>
      </w:r>
    </w:p>
    <w:p w14:paraId="6A394720" w14:textId="77777777" w:rsidR="00616061" w:rsidRPr="00616061" w:rsidRDefault="00616061" w:rsidP="00616061">
      <w:pPr>
        <w:numPr>
          <w:ilvl w:val="0"/>
          <w:numId w:val="12"/>
        </w:numPr>
      </w:pPr>
      <w:r w:rsidRPr="00616061">
        <w:t>Market maturity</w:t>
      </w:r>
    </w:p>
    <w:p w14:paraId="326A854C" w14:textId="77777777" w:rsidR="00616061" w:rsidRPr="00616061" w:rsidRDefault="00616061" w:rsidP="00616061">
      <w:pPr>
        <w:numPr>
          <w:ilvl w:val="0"/>
          <w:numId w:val="12"/>
        </w:numPr>
      </w:pPr>
      <w:r w:rsidRPr="00616061">
        <w:t>Governance control</w:t>
      </w:r>
    </w:p>
    <w:p w14:paraId="3B887E6A" w14:textId="77777777" w:rsidR="00616061" w:rsidRPr="00616061" w:rsidRDefault="00616061" w:rsidP="00616061">
      <w:pPr>
        <w:numPr>
          <w:ilvl w:val="0"/>
          <w:numId w:val="12"/>
        </w:numPr>
      </w:pPr>
      <w:r w:rsidRPr="00616061">
        <w:t>Institutional strengthening</w:t>
      </w:r>
    </w:p>
    <w:p w14:paraId="7E667F1F" w14:textId="77777777" w:rsidR="00616061" w:rsidRPr="00616061" w:rsidRDefault="00616061" w:rsidP="00616061">
      <w:r w:rsidRPr="00616061">
        <w:pict w14:anchorId="5EDA8D16">
          <v:rect id="_x0000_i1115" style="width:0;height:1.5pt" o:hralign="center" o:hrstd="t" o:hr="t" fillcolor="#a0a0a0" stroked="f"/>
        </w:pict>
      </w:r>
    </w:p>
    <w:p w14:paraId="3D27C791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4.6 Analysis of Private Equity Exits</w:t>
      </w:r>
    </w:p>
    <w:p w14:paraId="3A1FD088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4.6.1 Annual Exit Activity (2005–2024)</w:t>
      </w:r>
    </w:p>
    <w:p w14:paraId="718FB67D" w14:textId="77777777" w:rsidR="00616061" w:rsidRPr="00616061" w:rsidRDefault="00616061" w:rsidP="00616061">
      <w:pPr>
        <w:numPr>
          <w:ilvl w:val="0"/>
          <w:numId w:val="13"/>
        </w:numPr>
      </w:pPr>
      <w:r w:rsidRPr="00616061">
        <w:t>Count of exits per year</w:t>
      </w:r>
    </w:p>
    <w:p w14:paraId="3158C562" w14:textId="77777777" w:rsidR="00616061" w:rsidRPr="00616061" w:rsidRDefault="00616061" w:rsidP="00616061">
      <w:pPr>
        <w:numPr>
          <w:ilvl w:val="0"/>
          <w:numId w:val="13"/>
        </w:numPr>
      </w:pPr>
      <w:r w:rsidRPr="00616061">
        <w:t>Total exit value per year (if available)</w:t>
      </w:r>
    </w:p>
    <w:p w14:paraId="359910B3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4.6.2 Exit Types Distribution</w:t>
      </w:r>
    </w:p>
    <w:p w14:paraId="4C228389" w14:textId="77777777" w:rsidR="00616061" w:rsidRPr="00616061" w:rsidRDefault="00616061" w:rsidP="00616061">
      <w:pPr>
        <w:numPr>
          <w:ilvl w:val="0"/>
          <w:numId w:val="14"/>
        </w:numPr>
      </w:pPr>
      <w:r w:rsidRPr="00616061">
        <w:t>IPO</w:t>
      </w:r>
    </w:p>
    <w:p w14:paraId="631CF6CF" w14:textId="77777777" w:rsidR="00616061" w:rsidRPr="00616061" w:rsidRDefault="00616061" w:rsidP="00616061">
      <w:pPr>
        <w:numPr>
          <w:ilvl w:val="0"/>
          <w:numId w:val="14"/>
        </w:numPr>
      </w:pPr>
      <w:r w:rsidRPr="00616061">
        <w:t>M&amp;A exit</w:t>
      </w:r>
    </w:p>
    <w:p w14:paraId="69354D72" w14:textId="77777777" w:rsidR="00616061" w:rsidRPr="00616061" w:rsidRDefault="00616061" w:rsidP="00616061">
      <w:pPr>
        <w:numPr>
          <w:ilvl w:val="0"/>
          <w:numId w:val="14"/>
        </w:numPr>
      </w:pPr>
      <w:r w:rsidRPr="00616061">
        <w:t>Secondary sale</w:t>
      </w:r>
    </w:p>
    <w:p w14:paraId="3CE8FDFC" w14:textId="77777777" w:rsidR="00616061" w:rsidRPr="00616061" w:rsidRDefault="00616061" w:rsidP="00616061">
      <w:pPr>
        <w:numPr>
          <w:ilvl w:val="0"/>
          <w:numId w:val="14"/>
        </w:numPr>
      </w:pPr>
      <w:r w:rsidRPr="00616061">
        <w:t>Buyback</w:t>
      </w:r>
    </w:p>
    <w:p w14:paraId="516471C8" w14:textId="77777777" w:rsidR="00616061" w:rsidRPr="00616061" w:rsidRDefault="00616061" w:rsidP="00616061">
      <w:r w:rsidRPr="00616061">
        <w:t>(Bar chart)</w:t>
      </w:r>
    </w:p>
    <w:p w14:paraId="156DD934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4.6.3 Sector-Wise Exit Patterns</w:t>
      </w:r>
    </w:p>
    <w:p w14:paraId="323267AC" w14:textId="77777777" w:rsidR="00616061" w:rsidRPr="00616061" w:rsidRDefault="00616061" w:rsidP="00616061">
      <w:pPr>
        <w:numPr>
          <w:ilvl w:val="0"/>
          <w:numId w:val="15"/>
        </w:numPr>
      </w:pPr>
      <w:r w:rsidRPr="00616061">
        <w:t>Which sectors produce the most exits?</w:t>
      </w:r>
    </w:p>
    <w:p w14:paraId="52C00BC6" w14:textId="77777777" w:rsidR="00616061" w:rsidRPr="00616061" w:rsidRDefault="00616061" w:rsidP="00616061">
      <w:pPr>
        <w:numPr>
          <w:ilvl w:val="0"/>
          <w:numId w:val="15"/>
        </w:numPr>
      </w:pPr>
      <w:r w:rsidRPr="00616061">
        <w:t>Which sectors offer the highest liquidity?</w:t>
      </w:r>
    </w:p>
    <w:p w14:paraId="2C90800D" w14:textId="77777777" w:rsidR="00616061" w:rsidRPr="00616061" w:rsidRDefault="00616061" w:rsidP="00616061">
      <w:r w:rsidRPr="00616061">
        <w:pict w14:anchorId="01636D72">
          <v:rect id="_x0000_i1116" style="width:0;height:1.5pt" o:hralign="center" o:hrstd="t" o:hr="t" fillcolor="#a0a0a0" stroked="f"/>
        </w:pict>
      </w:r>
    </w:p>
    <w:p w14:paraId="3E8D3363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4.7 Exit Performance Analysis</w:t>
      </w:r>
    </w:p>
    <w:p w14:paraId="49F92D70" w14:textId="77777777" w:rsidR="00616061" w:rsidRPr="00616061" w:rsidRDefault="00616061" w:rsidP="00616061">
      <w:r w:rsidRPr="00616061">
        <w:rPr>
          <w:i/>
          <w:iCs/>
        </w:rPr>
        <w:t>(If your exit dataset includes exit values OR you later merge with investment dataset)</w:t>
      </w:r>
    </w:p>
    <w:p w14:paraId="7750FEAC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lastRenderedPageBreak/>
        <w:t>4.7.1 Holding Period (Years)</w:t>
      </w:r>
    </w:p>
    <w:p w14:paraId="7946F648" w14:textId="77777777" w:rsidR="00616061" w:rsidRPr="00616061" w:rsidRDefault="00616061" w:rsidP="00616061">
      <w:pPr>
        <w:numPr>
          <w:ilvl w:val="0"/>
          <w:numId w:val="16"/>
        </w:numPr>
      </w:pPr>
      <w:r w:rsidRPr="00616061">
        <w:t>Calculate: Exit Year – Investment Year</w:t>
      </w:r>
    </w:p>
    <w:p w14:paraId="32631447" w14:textId="77777777" w:rsidR="00616061" w:rsidRPr="00616061" w:rsidRDefault="00616061" w:rsidP="00616061">
      <w:pPr>
        <w:numPr>
          <w:ilvl w:val="0"/>
          <w:numId w:val="16"/>
        </w:numPr>
      </w:pPr>
      <w:r w:rsidRPr="00616061">
        <w:t>Boxplot or summary statistics</w:t>
      </w:r>
    </w:p>
    <w:p w14:paraId="1E0DC5D5" w14:textId="77777777" w:rsidR="00616061" w:rsidRPr="00616061" w:rsidRDefault="00616061" w:rsidP="00616061">
      <w:pPr>
        <w:numPr>
          <w:ilvl w:val="0"/>
          <w:numId w:val="16"/>
        </w:numPr>
      </w:pPr>
      <w:r w:rsidRPr="00616061">
        <w:t>Compare by exit type</w:t>
      </w:r>
    </w:p>
    <w:p w14:paraId="116B2E49" w14:textId="77777777" w:rsidR="00616061" w:rsidRPr="00616061" w:rsidRDefault="00616061" w:rsidP="00616061">
      <w:pPr>
        <w:numPr>
          <w:ilvl w:val="0"/>
          <w:numId w:val="16"/>
        </w:numPr>
      </w:pPr>
      <w:r w:rsidRPr="00616061">
        <w:t>Compare by sector</w:t>
      </w:r>
    </w:p>
    <w:p w14:paraId="57DB58F2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4.7.2 Exit Value Analysis</w:t>
      </w:r>
    </w:p>
    <w:p w14:paraId="14F01F1F" w14:textId="77777777" w:rsidR="00616061" w:rsidRPr="00616061" w:rsidRDefault="00616061" w:rsidP="00616061">
      <w:pPr>
        <w:numPr>
          <w:ilvl w:val="0"/>
          <w:numId w:val="17"/>
        </w:numPr>
      </w:pPr>
      <w:r w:rsidRPr="00616061">
        <w:t>Median exit value</w:t>
      </w:r>
    </w:p>
    <w:p w14:paraId="5AE6AE9E" w14:textId="77777777" w:rsidR="00616061" w:rsidRPr="00616061" w:rsidRDefault="00616061" w:rsidP="00616061">
      <w:pPr>
        <w:numPr>
          <w:ilvl w:val="0"/>
          <w:numId w:val="17"/>
        </w:numPr>
      </w:pPr>
      <w:r w:rsidRPr="00616061">
        <w:t>Sector exit values</w:t>
      </w:r>
    </w:p>
    <w:p w14:paraId="5EC5D2BE" w14:textId="77777777" w:rsidR="00616061" w:rsidRPr="00616061" w:rsidRDefault="00616061" w:rsidP="00616061">
      <w:pPr>
        <w:numPr>
          <w:ilvl w:val="0"/>
          <w:numId w:val="17"/>
        </w:numPr>
      </w:pPr>
      <w:r w:rsidRPr="00616061">
        <w:t>Exit value trend</w:t>
      </w:r>
    </w:p>
    <w:p w14:paraId="663299B7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4.7.3 Exit Multiple (if available)</w:t>
      </w:r>
    </w:p>
    <w:p w14:paraId="3E3FE164" w14:textId="77777777" w:rsidR="00616061" w:rsidRPr="00616061" w:rsidRDefault="00616061" w:rsidP="00616061">
      <w:pPr>
        <w:numPr>
          <w:ilvl w:val="0"/>
          <w:numId w:val="18"/>
        </w:numPr>
      </w:pPr>
      <w:r w:rsidRPr="00616061">
        <w:t>MOIC = Exit Value ÷ Entry Value</w:t>
      </w:r>
    </w:p>
    <w:p w14:paraId="33B67FFD" w14:textId="77777777" w:rsidR="00616061" w:rsidRPr="00616061" w:rsidRDefault="00616061" w:rsidP="00616061">
      <w:pPr>
        <w:numPr>
          <w:ilvl w:val="0"/>
          <w:numId w:val="18"/>
        </w:numPr>
      </w:pPr>
      <w:r w:rsidRPr="00616061">
        <w:t>By sector</w:t>
      </w:r>
    </w:p>
    <w:p w14:paraId="7B58CB66" w14:textId="77777777" w:rsidR="00616061" w:rsidRPr="00616061" w:rsidRDefault="00616061" w:rsidP="00616061">
      <w:pPr>
        <w:numPr>
          <w:ilvl w:val="0"/>
          <w:numId w:val="18"/>
        </w:numPr>
      </w:pPr>
      <w:r w:rsidRPr="00616061">
        <w:t>By exit type</w:t>
      </w:r>
    </w:p>
    <w:p w14:paraId="187FF4A1" w14:textId="77777777" w:rsidR="00616061" w:rsidRPr="00616061" w:rsidRDefault="00616061" w:rsidP="00616061">
      <w:r w:rsidRPr="00616061">
        <w:pict w14:anchorId="5E6A69D5">
          <v:rect id="_x0000_i1117" style="width:0;height:1.5pt" o:hralign="center" o:hrstd="t" o:hr="t" fillcolor="#a0a0a0" stroked="f"/>
        </w:pict>
      </w:r>
    </w:p>
    <w:p w14:paraId="7FD87F9A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4.8 Comparative Analysis with Emerging Markets</w:t>
      </w:r>
    </w:p>
    <w:p w14:paraId="2FA44336" w14:textId="77777777" w:rsidR="00616061" w:rsidRPr="00616061" w:rsidRDefault="00616061" w:rsidP="00616061">
      <w:r w:rsidRPr="00616061">
        <w:rPr>
          <w:i/>
          <w:iCs/>
        </w:rPr>
        <w:t>(Using Bain/EY/PwC reports)</w:t>
      </w:r>
    </w:p>
    <w:p w14:paraId="4BB349A8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4.8.1 PE inflows: India vs China, Indonesia, Vietnam, Brazil</w:t>
      </w:r>
    </w:p>
    <w:p w14:paraId="381D801B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4.8.2 Buyout share comparison</w:t>
      </w:r>
    </w:p>
    <w:p w14:paraId="5EC86FFC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4.8.3 Exit environment comparison</w:t>
      </w:r>
    </w:p>
    <w:p w14:paraId="4A7D1121" w14:textId="77777777" w:rsidR="00616061" w:rsidRPr="00616061" w:rsidRDefault="00616061" w:rsidP="00616061">
      <w:pPr>
        <w:numPr>
          <w:ilvl w:val="0"/>
          <w:numId w:val="19"/>
        </w:numPr>
      </w:pPr>
      <w:r w:rsidRPr="00616061">
        <w:t>Depth of IPO market</w:t>
      </w:r>
    </w:p>
    <w:p w14:paraId="3B06FF1F" w14:textId="77777777" w:rsidR="00616061" w:rsidRPr="00616061" w:rsidRDefault="00616061" w:rsidP="00616061">
      <w:pPr>
        <w:numPr>
          <w:ilvl w:val="0"/>
          <w:numId w:val="19"/>
        </w:numPr>
      </w:pPr>
      <w:r w:rsidRPr="00616061">
        <w:t>M&amp;A activity</w:t>
      </w:r>
    </w:p>
    <w:p w14:paraId="167623D4" w14:textId="77777777" w:rsidR="00616061" w:rsidRPr="00616061" w:rsidRDefault="00616061" w:rsidP="00616061">
      <w:pPr>
        <w:numPr>
          <w:ilvl w:val="0"/>
          <w:numId w:val="19"/>
        </w:numPr>
      </w:pPr>
      <w:r w:rsidRPr="00616061">
        <w:t>Secondary exits</w:t>
      </w:r>
    </w:p>
    <w:p w14:paraId="4D492E24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4.8.4 Interpretation</w:t>
      </w:r>
    </w:p>
    <w:p w14:paraId="0B7C08C7" w14:textId="77777777" w:rsidR="00616061" w:rsidRPr="00616061" w:rsidRDefault="00616061" w:rsidP="00616061">
      <w:pPr>
        <w:numPr>
          <w:ilvl w:val="0"/>
          <w:numId w:val="20"/>
        </w:numPr>
      </w:pPr>
      <w:r w:rsidRPr="00616061">
        <w:t>Where India performs better</w:t>
      </w:r>
    </w:p>
    <w:p w14:paraId="30696AC6" w14:textId="77777777" w:rsidR="00616061" w:rsidRPr="00616061" w:rsidRDefault="00616061" w:rsidP="00616061">
      <w:pPr>
        <w:numPr>
          <w:ilvl w:val="0"/>
          <w:numId w:val="20"/>
        </w:numPr>
      </w:pPr>
      <w:r w:rsidRPr="00616061">
        <w:t>Where India lags</w:t>
      </w:r>
    </w:p>
    <w:p w14:paraId="5731F569" w14:textId="77777777" w:rsidR="00616061" w:rsidRPr="00616061" w:rsidRDefault="00616061" w:rsidP="00616061">
      <w:pPr>
        <w:numPr>
          <w:ilvl w:val="0"/>
          <w:numId w:val="20"/>
        </w:numPr>
      </w:pPr>
      <w:r w:rsidRPr="00616061">
        <w:t>Opportunities for future growth</w:t>
      </w:r>
    </w:p>
    <w:p w14:paraId="32A0A1ED" w14:textId="77777777" w:rsidR="00616061" w:rsidRPr="00616061" w:rsidRDefault="00616061" w:rsidP="00616061">
      <w:r w:rsidRPr="00616061">
        <w:pict w14:anchorId="336AEBCB">
          <v:rect id="_x0000_i1118" style="width:0;height:1.5pt" o:hralign="center" o:hrstd="t" o:hr="t" fillcolor="#a0a0a0" stroked="f"/>
        </w:pict>
      </w:r>
    </w:p>
    <w:p w14:paraId="5770C056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4.9 Case Studies of Major PE Deals</w:t>
      </w:r>
    </w:p>
    <w:p w14:paraId="1B8F88C6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lastRenderedPageBreak/>
        <w:t>4.9.1 Case Study 1: Flipkart (Walmart acquisition)</w:t>
      </w:r>
    </w:p>
    <w:p w14:paraId="6C7ECC20" w14:textId="77777777" w:rsidR="00616061" w:rsidRPr="00616061" w:rsidRDefault="00616061" w:rsidP="00616061">
      <w:pPr>
        <w:numPr>
          <w:ilvl w:val="0"/>
          <w:numId w:val="21"/>
        </w:numPr>
      </w:pPr>
      <w:r w:rsidRPr="00616061">
        <w:t>Investment timeline</w:t>
      </w:r>
    </w:p>
    <w:p w14:paraId="5769CA4E" w14:textId="77777777" w:rsidR="00616061" w:rsidRPr="00616061" w:rsidRDefault="00616061" w:rsidP="00616061">
      <w:pPr>
        <w:numPr>
          <w:ilvl w:val="0"/>
          <w:numId w:val="21"/>
        </w:numPr>
      </w:pPr>
      <w:r w:rsidRPr="00616061">
        <w:t>Value creation strategy</w:t>
      </w:r>
    </w:p>
    <w:p w14:paraId="1082F4B8" w14:textId="77777777" w:rsidR="00616061" w:rsidRPr="00616061" w:rsidRDefault="00616061" w:rsidP="00616061">
      <w:pPr>
        <w:numPr>
          <w:ilvl w:val="0"/>
          <w:numId w:val="21"/>
        </w:numPr>
      </w:pPr>
      <w:r w:rsidRPr="00616061">
        <w:t>Exit outcome</w:t>
      </w:r>
    </w:p>
    <w:p w14:paraId="0AF2FD48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 xml:space="preserve">4.9.2 Case Study 2: </w:t>
      </w:r>
      <w:proofErr w:type="spellStart"/>
      <w:r w:rsidRPr="00616061">
        <w:rPr>
          <w:b/>
          <w:bCs/>
        </w:rPr>
        <w:t>Byju’s</w:t>
      </w:r>
      <w:proofErr w:type="spellEnd"/>
      <w:r w:rsidRPr="00616061">
        <w:rPr>
          <w:b/>
          <w:bCs/>
        </w:rPr>
        <w:t xml:space="preserve"> (growth rounds &amp; valuation collapse)</w:t>
      </w:r>
    </w:p>
    <w:p w14:paraId="26EB5CBE" w14:textId="77777777" w:rsidR="00616061" w:rsidRPr="00616061" w:rsidRDefault="00616061" w:rsidP="00616061">
      <w:pPr>
        <w:numPr>
          <w:ilvl w:val="0"/>
          <w:numId w:val="22"/>
        </w:numPr>
      </w:pPr>
      <w:r w:rsidRPr="00616061">
        <w:t>Investment boom</w:t>
      </w:r>
    </w:p>
    <w:p w14:paraId="2E51B799" w14:textId="77777777" w:rsidR="00616061" w:rsidRPr="00616061" w:rsidRDefault="00616061" w:rsidP="00616061">
      <w:pPr>
        <w:numPr>
          <w:ilvl w:val="0"/>
          <w:numId w:val="22"/>
        </w:numPr>
      </w:pPr>
      <w:r w:rsidRPr="00616061">
        <w:t>Liquidity challenges</w:t>
      </w:r>
    </w:p>
    <w:p w14:paraId="0FFD2281" w14:textId="77777777" w:rsidR="00616061" w:rsidRPr="00616061" w:rsidRDefault="00616061" w:rsidP="00616061">
      <w:pPr>
        <w:numPr>
          <w:ilvl w:val="0"/>
          <w:numId w:val="22"/>
        </w:numPr>
      </w:pPr>
      <w:r w:rsidRPr="00616061">
        <w:t>Governance lessons</w:t>
      </w:r>
    </w:p>
    <w:p w14:paraId="7D2171FF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4.9.3 Case Study 3: Healthcare chain (Manipal, Fortis, etc.)</w:t>
      </w:r>
    </w:p>
    <w:p w14:paraId="071F3A41" w14:textId="77777777" w:rsidR="00616061" w:rsidRPr="00616061" w:rsidRDefault="00616061" w:rsidP="00616061">
      <w:pPr>
        <w:numPr>
          <w:ilvl w:val="0"/>
          <w:numId w:val="23"/>
        </w:numPr>
      </w:pPr>
      <w:r w:rsidRPr="00616061">
        <w:t>Operational improvements</w:t>
      </w:r>
    </w:p>
    <w:p w14:paraId="540A7168" w14:textId="77777777" w:rsidR="00616061" w:rsidRPr="00616061" w:rsidRDefault="00616061" w:rsidP="00616061">
      <w:pPr>
        <w:numPr>
          <w:ilvl w:val="0"/>
          <w:numId w:val="23"/>
        </w:numPr>
      </w:pPr>
      <w:r w:rsidRPr="00616061">
        <w:t>Consolidation strategy</w:t>
      </w:r>
    </w:p>
    <w:p w14:paraId="2FAD798D" w14:textId="77777777" w:rsidR="00616061" w:rsidRPr="00616061" w:rsidRDefault="00616061" w:rsidP="00616061">
      <w:pPr>
        <w:numPr>
          <w:ilvl w:val="0"/>
          <w:numId w:val="23"/>
        </w:numPr>
      </w:pPr>
      <w:r w:rsidRPr="00616061">
        <w:t>Successful exits</w:t>
      </w:r>
    </w:p>
    <w:p w14:paraId="2D1CD6BD" w14:textId="77777777" w:rsidR="00616061" w:rsidRPr="00616061" w:rsidRDefault="00616061" w:rsidP="00616061">
      <w:r w:rsidRPr="00616061">
        <w:pict w14:anchorId="27E4A0C4">
          <v:rect id="_x0000_i1119" style="width:0;height:1.5pt" o:hralign="center" o:hrstd="t" o:hr="t" fillcolor="#a0a0a0" stroked="f"/>
        </w:pict>
      </w:r>
    </w:p>
    <w:p w14:paraId="4666D332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4.10 Synthesis and Interpretation (Link to Theory)</w:t>
      </w:r>
    </w:p>
    <w:p w14:paraId="71C10A64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4.10.1 Agency Theory</w:t>
      </w:r>
    </w:p>
    <w:p w14:paraId="15B88761" w14:textId="77777777" w:rsidR="00616061" w:rsidRPr="00616061" w:rsidRDefault="00616061" w:rsidP="00616061">
      <w:pPr>
        <w:numPr>
          <w:ilvl w:val="0"/>
          <w:numId w:val="24"/>
        </w:numPr>
      </w:pPr>
      <w:r w:rsidRPr="00616061">
        <w:t>Control deals exit faster</w:t>
      </w:r>
    </w:p>
    <w:p w14:paraId="632E6130" w14:textId="77777777" w:rsidR="00616061" w:rsidRPr="00616061" w:rsidRDefault="00616061" w:rsidP="00616061">
      <w:pPr>
        <w:numPr>
          <w:ilvl w:val="0"/>
          <w:numId w:val="24"/>
        </w:numPr>
      </w:pPr>
      <w:r w:rsidRPr="00616061">
        <w:t>Governance improvements reduce information asymmetry</w:t>
      </w:r>
    </w:p>
    <w:p w14:paraId="05535D2F" w14:textId="77777777" w:rsidR="00616061" w:rsidRPr="00616061" w:rsidRDefault="00616061" w:rsidP="00616061">
      <w:pPr>
        <w:numPr>
          <w:ilvl w:val="0"/>
          <w:numId w:val="24"/>
        </w:numPr>
      </w:pPr>
      <w:r w:rsidRPr="00616061">
        <w:t>PE improves managerial monitoring</w:t>
      </w:r>
    </w:p>
    <w:p w14:paraId="6A2A9961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4.10.2 Institutional Theory</w:t>
      </w:r>
    </w:p>
    <w:p w14:paraId="7F4B1F1D" w14:textId="77777777" w:rsidR="00616061" w:rsidRPr="00616061" w:rsidRDefault="00616061" w:rsidP="00616061">
      <w:pPr>
        <w:numPr>
          <w:ilvl w:val="0"/>
          <w:numId w:val="25"/>
        </w:numPr>
      </w:pPr>
      <w:r w:rsidRPr="00616061">
        <w:t>Reforms (AIF 2012, IBC 2016) improved exit certainty</w:t>
      </w:r>
    </w:p>
    <w:p w14:paraId="7FF5858E" w14:textId="77777777" w:rsidR="00616061" w:rsidRPr="00616061" w:rsidRDefault="00616061" w:rsidP="00616061">
      <w:pPr>
        <w:numPr>
          <w:ilvl w:val="0"/>
          <w:numId w:val="25"/>
        </w:numPr>
      </w:pPr>
      <w:r w:rsidRPr="00616061">
        <w:t>Strengthened investor confidence</w:t>
      </w:r>
    </w:p>
    <w:p w14:paraId="091199B1" w14:textId="77777777" w:rsidR="00616061" w:rsidRPr="00616061" w:rsidRDefault="00616061" w:rsidP="00616061">
      <w:pPr>
        <w:numPr>
          <w:ilvl w:val="0"/>
          <w:numId w:val="25"/>
        </w:numPr>
      </w:pPr>
      <w:r w:rsidRPr="00616061">
        <w:t>Better enforceability of contracts</w:t>
      </w:r>
    </w:p>
    <w:p w14:paraId="0341CD95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4.10.3 Value Creation Patterns</w:t>
      </w:r>
    </w:p>
    <w:p w14:paraId="0E787C0A" w14:textId="77777777" w:rsidR="00616061" w:rsidRPr="00616061" w:rsidRDefault="00616061" w:rsidP="00616061">
      <w:pPr>
        <w:numPr>
          <w:ilvl w:val="0"/>
          <w:numId w:val="26"/>
        </w:numPr>
      </w:pPr>
      <w:r w:rsidRPr="00616061">
        <w:t>Operational improvements</w:t>
      </w:r>
    </w:p>
    <w:p w14:paraId="3F3B33DF" w14:textId="77777777" w:rsidR="00616061" w:rsidRPr="00616061" w:rsidRDefault="00616061" w:rsidP="00616061">
      <w:pPr>
        <w:numPr>
          <w:ilvl w:val="0"/>
          <w:numId w:val="26"/>
        </w:numPr>
      </w:pPr>
      <w:r w:rsidRPr="00616061">
        <w:t>Tech-enabled scale</w:t>
      </w:r>
    </w:p>
    <w:p w14:paraId="5D41D13E" w14:textId="77777777" w:rsidR="00616061" w:rsidRPr="00616061" w:rsidRDefault="00616061" w:rsidP="00616061">
      <w:pPr>
        <w:numPr>
          <w:ilvl w:val="0"/>
          <w:numId w:val="26"/>
        </w:numPr>
      </w:pPr>
      <w:r w:rsidRPr="00616061">
        <w:t>Sector-specific strategies</w:t>
      </w:r>
    </w:p>
    <w:p w14:paraId="4105328E" w14:textId="77777777" w:rsidR="00616061" w:rsidRPr="00616061" w:rsidRDefault="00616061" w:rsidP="00616061">
      <w:r w:rsidRPr="00616061">
        <w:pict w14:anchorId="08F846C3">
          <v:rect id="_x0000_i1120" style="width:0;height:1.5pt" o:hralign="center" o:hrstd="t" o:hr="t" fillcolor="#a0a0a0" stroked="f"/>
        </w:pict>
      </w:r>
    </w:p>
    <w:p w14:paraId="7F715529" w14:textId="77777777" w:rsidR="00616061" w:rsidRPr="00616061" w:rsidRDefault="00616061" w:rsidP="00616061">
      <w:pPr>
        <w:rPr>
          <w:b/>
          <w:bCs/>
        </w:rPr>
      </w:pPr>
      <w:r w:rsidRPr="00616061">
        <w:rPr>
          <w:b/>
          <w:bCs/>
        </w:rPr>
        <w:t>4.11 Summary of Key Findings</w:t>
      </w:r>
    </w:p>
    <w:p w14:paraId="39DD1575" w14:textId="77777777" w:rsidR="00616061" w:rsidRPr="00616061" w:rsidRDefault="00616061" w:rsidP="00616061">
      <w:r w:rsidRPr="00616061">
        <w:lastRenderedPageBreak/>
        <w:t>A clean summary answering each research question:</w:t>
      </w:r>
    </w:p>
    <w:p w14:paraId="718D043D" w14:textId="77777777" w:rsidR="00616061" w:rsidRPr="00616061" w:rsidRDefault="00616061" w:rsidP="00616061">
      <w:pPr>
        <w:numPr>
          <w:ilvl w:val="0"/>
          <w:numId w:val="27"/>
        </w:numPr>
      </w:pPr>
      <w:r w:rsidRPr="00616061">
        <w:rPr>
          <w:b/>
          <w:bCs/>
        </w:rPr>
        <w:t>How India’s PE market evolved (2005–2024)</w:t>
      </w:r>
    </w:p>
    <w:p w14:paraId="49E89717" w14:textId="77777777" w:rsidR="00616061" w:rsidRPr="00616061" w:rsidRDefault="00616061" w:rsidP="00616061">
      <w:pPr>
        <w:numPr>
          <w:ilvl w:val="0"/>
          <w:numId w:val="27"/>
        </w:numPr>
      </w:pPr>
      <w:r w:rsidRPr="00616061">
        <w:rPr>
          <w:b/>
          <w:bCs/>
        </w:rPr>
        <w:t>What drives sector allocation</w:t>
      </w:r>
    </w:p>
    <w:p w14:paraId="7AF91BCD" w14:textId="77777777" w:rsidR="00616061" w:rsidRPr="00616061" w:rsidRDefault="00616061" w:rsidP="00616061">
      <w:pPr>
        <w:numPr>
          <w:ilvl w:val="0"/>
          <w:numId w:val="27"/>
        </w:numPr>
      </w:pPr>
      <w:r w:rsidRPr="00616061">
        <w:rPr>
          <w:b/>
          <w:bCs/>
        </w:rPr>
        <w:t>What stages and deal types dominate</w:t>
      </w:r>
    </w:p>
    <w:p w14:paraId="41AC8E7E" w14:textId="77777777" w:rsidR="00616061" w:rsidRPr="00616061" w:rsidRDefault="00616061" w:rsidP="00616061">
      <w:pPr>
        <w:numPr>
          <w:ilvl w:val="0"/>
          <w:numId w:val="27"/>
        </w:numPr>
      </w:pPr>
      <w:r w:rsidRPr="00616061">
        <w:rPr>
          <w:b/>
          <w:bCs/>
        </w:rPr>
        <w:t>How exits have performed</w:t>
      </w:r>
    </w:p>
    <w:p w14:paraId="2AAF5DAE" w14:textId="5DC5953A" w:rsidR="00231598" w:rsidRDefault="00616061" w:rsidP="00616061">
      <w:pPr>
        <w:numPr>
          <w:ilvl w:val="0"/>
          <w:numId w:val="27"/>
        </w:numPr>
      </w:pPr>
      <w:r w:rsidRPr="00616061">
        <w:rPr>
          <w:b/>
          <w:bCs/>
        </w:rPr>
        <w:t>How India compares to emerging markets</w:t>
      </w:r>
    </w:p>
    <w:sectPr w:rsidR="00231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5B1"/>
    <w:multiLevelType w:val="multilevel"/>
    <w:tmpl w:val="349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311"/>
    <w:multiLevelType w:val="multilevel"/>
    <w:tmpl w:val="E60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0AFE"/>
    <w:multiLevelType w:val="multilevel"/>
    <w:tmpl w:val="CF1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6770"/>
    <w:multiLevelType w:val="multilevel"/>
    <w:tmpl w:val="205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75C4C"/>
    <w:multiLevelType w:val="multilevel"/>
    <w:tmpl w:val="199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A46F6"/>
    <w:multiLevelType w:val="multilevel"/>
    <w:tmpl w:val="13E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03DF"/>
    <w:multiLevelType w:val="multilevel"/>
    <w:tmpl w:val="797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B01A8"/>
    <w:multiLevelType w:val="multilevel"/>
    <w:tmpl w:val="7D4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17D54"/>
    <w:multiLevelType w:val="multilevel"/>
    <w:tmpl w:val="CBA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D7728"/>
    <w:multiLevelType w:val="multilevel"/>
    <w:tmpl w:val="378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E6C39"/>
    <w:multiLevelType w:val="multilevel"/>
    <w:tmpl w:val="20E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B3D31"/>
    <w:multiLevelType w:val="multilevel"/>
    <w:tmpl w:val="760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A5724"/>
    <w:multiLevelType w:val="multilevel"/>
    <w:tmpl w:val="ADB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5643B"/>
    <w:multiLevelType w:val="multilevel"/>
    <w:tmpl w:val="C9D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B0035"/>
    <w:multiLevelType w:val="multilevel"/>
    <w:tmpl w:val="408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81ADD"/>
    <w:multiLevelType w:val="multilevel"/>
    <w:tmpl w:val="7D68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B7D91"/>
    <w:multiLevelType w:val="multilevel"/>
    <w:tmpl w:val="E6D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965B5"/>
    <w:multiLevelType w:val="multilevel"/>
    <w:tmpl w:val="41E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70B62"/>
    <w:multiLevelType w:val="multilevel"/>
    <w:tmpl w:val="E05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30083"/>
    <w:multiLevelType w:val="multilevel"/>
    <w:tmpl w:val="AC7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65179"/>
    <w:multiLevelType w:val="multilevel"/>
    <w:tmpl w:val="ACC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A62CA"/>
    <w:multiLevelType w:val="multilevel"/>
    <w:tmpl w:val="405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A0ECB"/>
    <w:multiLevelType w:val="multilevel"/>
    <w:tmpl w:val="61D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25A09"/>
    <w:multiLevelType w:val="multilevel"/>
    <w:tmpl w:val="94D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C7FFB"/>
    <w:multiLevelType w:val="multilevel"/>
    <w:tmpl w:val="10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900A5"/>
    <w:multiLevelType w:val="multilevel"/>
    <w:tmpl w:val="B0C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355BF"/>
    <w:multiLevelType w:val="multilevel"/>
    <w:tmpl w:val="894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83C04"/>
    <w:multiLevelType w:val="multilevel"/>
    <w:tmpl w:val="6EC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79460">
    <w:abstractNumId w:val="21"/>
  </w:num>
  <w:num w:numId="2" w16cid:durableId="1368683082">
    <w:abstractNumId w:val="16"/>
  </w:num>
  <w:num w:numId="3" w16cid:durableId="1002509705">
    <w:abstractNumId w:val="19"/>
  </w:num>
  <w:num w:numId="4" w16cid:durableId="1499350548">
    <w:abstractNumId w:val="23"/>
  </w:num>
  <w:num w:numId="5" w16cid:durableId="1289779970">
    <w:abstractNumId w:val="8"/>
  </w:num>
  <w:num w:numId="6" w16cid:durableId="217471098">
    <w:abstractNumId w:val="11"/>
  </w:num>
  <w:num w:numId="7" w16cid:durableId="189220930">
    <w:abstractNumId w:val="1"/>
  </w:num>
  <w:num w:numId="8" w16cid:durableId="72170957">
    <w:abstractNumId w:val="18"/>
  </w:num>
  <w:num w:numId="9" w16cid:durableId="355547700">
    <w:abstractNumId w:val="5"/>
  </w:num>
  <w:num w:numId="10" w16cid:durableId="919487652">
    <w:abstractNumId w:val="7"/>
  </w:num>
  <w:num w:numId="11" w16cid:durableId="242840143">
    <w:abstractNumId w:val="26"/>
  </w:num>
  <w:num w:numId="12" w16cid:durableId="1608999663">
    <w:abstractNumId w:val="4"/>
  </w:num>
  <w:num w:numId="13" w16cid:durableId="1779175242">
    <w:abstractNumId w:val="9"/>
  </w:num>
  <w:num w:numId="14" w16cid:durableId="1615285961">
    <w:abstractNumId w:val="17"/>
  </w:num>
  <w:num w:numId="15" w16cid:durableId="202904970">
    <w:abstractNumId w:val="12"/>
  </w:num>
  <w:num w:numId="16" w16cid:durableId="1802187833">
    <w:abstractNumId w:val="0"/>
  </w:num>
  <w:num w:numId="17" w16cid:durableId="931864076">
    <w:abstractNumId w:val="10"/>
  </w:num>
  <w:num w:numId="18" w16cid:durableId="1473908858">
    <w:abstractNumId w:val="24"/>
  </w:num>
  <w:num w:numId="19" w16cid:durableId="1944221964">
    <w:abstractNumId w:val="13"/>
  </w:num>
  <w:num w:numId="20" w16cid:durableId="527256840">
    <w:abstractNumId w:val="6"/>
  </w:num>
  <w:num w:numId="21" w16cid:durableId="1539463520">
    <w:abstractNumId w:val="27"/>
  </w:num>
  <w:num w:numId="22" w16cid:durableId="466748731">
    <w:abstractNumId w:val="25"/>
  </w:num>
  <w:num w:numId="23" w16cid:durableId="328406597">
    <w:abstractNumId w:val="22"/>
  </w:num>
  <w:num w:numId="24" w16cid:durableId="1143158367">
    <w:abstractNumId w:val="2"/>
  </w:num>
  <w:num w:numId="25" w16cid:durableId="1064643034">
    <w:abstractNumId w:val="3"/>
  </w:num>
  <w:num w:numId="26" w16cid:durableId="1813789801">
    <w:abstractNumId w:val="14"/>
  </w:num>
  <w:num w:numId="27" w16cid:durableId="592871">
    <w:abstractNumId w:val="15"/>
  </w:num>
  <w:num w:numId="28" w16cid:durableId="1241602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61"/>
    <w:rsid w:val="00051602"/>
    <w:rsid w:val="00231598"/>
    <w:rsid w:val="002D4AC6"/>
    <w:rsid w:val="00324084"/>
    <w:rsid w:val="00504CF7"/>
    <w:rsid w:val="00616061"/>
    <w:rsid w:val="00777643"/>
    <w:rsid w:val="00C1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7FA0"/>
  <w15:chartTrackingRefBased/>
  <w15:docId w15:val="{6F6AF902-856E-439B-9323-6FBBAD97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Ajeem Ansari</dc:creator>
  <cp:keywords/>
  <dc:description/>
  <cp:lastModifiedBy>Ajeem Ansari</cp:lastModifiedBy>
  <cp:revision>2</cp:revision>
  <dcterms:created xsi:type="dcterms:W3CDTF">2025-12-09T17:43:00Z</dcterms:created>
  <dcterms:modified xsi:type="dcterms:W3CDTF">2025-12-09T17:43:00Z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28101528-14d6-4895-bf62-423503ea41d1</vt:lpwstr>
  </property>
</Properties>
</file>