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DD0D" w14:textId="77777777" w:rsidR="00CE751B" w:rsidRPr="00CE751B" w:rsidRDefault="00CE751B" w:rsidP="00CE751B">
      <w:pPr>
        <w:rPr>
          <w:b/>
          <w:bCs/>
        </w:rPr>
      </w:pPr>
      <w:r w:rsidRPr="00CE751B">
        <w:rPr>
          <w:b/>
          <w:bCs/>
        </w:rPr>
        <w:t>1. Big picture: India as a maturing capital destination</w:t>
      </w:r>
    </w:p>
    <w:p w14:paraId="6F6C3F72" w14:textId="77777777" w:rsidR="00CE751B" w:rsidRPr="00CE751B" w:rsidRDefault="00CE751B" w:rsidP="00CE751B">
      <w:r w:rsidRPr="00CE751B">
        <w:t xml:space="preserve">Across the files, you can see </w:t>
      </w:r>
      <w:r w:rsidRPr="00CE751B">
        <w:rPr>
          <w:b/>
          <w:bCs/>
        </w:rPr>
        <w:t>three parallel arcs</w:t>
      </w:r>
      <w:r w:rsidRPr="00CE751B">
        <w:t>:</w:t>
      </w:r>
    </w:p>
    <w:p w14:paraId="26CADED8" w14:textId="77777777" w:rsidR="00CE751B" w:rsidRPr="00CE751B" w:rsidRDefault="00CE751B" w:rsidP="00CE751B">
      <w:pPr>
        <w:numPr>
          <w:ilvl w:val="0"/>
          <w:numId w:val="1"/>
        </w:numPr>
      </w:pPr>
      <w:r w:rsidRPr="00CE751B">
        <w:rPr>
          <w:b/>
          <w:bCs/>
        </w:rPr>
        <w:t>FDI has become huge and steady</w:t>
      </w:r>
      <w:r w:rsidRPr="00CE751B">
        <w:t xml:space="preserve"> – cumulative FDI equity inflows crossed about </w:t>
      </w:r>
      <w:r w:rsidRPr="00CE751B">
        <w:rPr>
          <w:b/>
          <w:bCs/>
        </w:rPr>
        <w:t>US$730–750 billion by March–June 2025</w:t>
      </w:r>
      <w:r w:rsidRPr="00CE751B">
        <w:t xml:space="preserve">, with total FDI (equity + reinvested earnings + other capital) above </w:t>
      </w:r>
      <w:r w:rsidRPr="00CE751B">
        <w:rPr>
          <w:b/>
          <w:bCs/>
        </w:rPr>
        <w:t>US$1 trillion</w:t>
      </w:r>
      <w:r w:rsidRPr="00CE751B">
        <w:t>.</w:t>
      </w:r>
    </w:p>
    <w:p w14:paraId="4FD3C3A2" w14:textId="77777777" w:rsidR="00CE751B" w:rsidRPr="00CE751B" w:rsidRDefault="00CE751B" w:rsidP="00CE751B">
      <w:pPr>
        <w:numPr>
          <w:ilvl w:val="0"/>
          <w:numId w:val="1"/>
        </w:numPr>
      </w:pPr>
      <w:r w:rsidRPr="00CE751B">
        <w:rPr>
          <w:b/>
          <w:bCs/>
        </w:rPr>
        <w:t>PE/VC has moved from “hot money” to a core financing channel</w:t>
      </w:r>
      <w:r w:rsidRPr="00CE751B">
        <w:t xml:space="preserve"> – total PE-VC deal value rose strongly through the 2010s, peaked around 2021 at ~US$70 billion, dipped in 2022–23 and then </w:t>
      </w:r>
      <w:r w:rsidRPr="00CE751B">
        <w:rPr>
          <w:b/>
          <w:bCs/>
        </w:rPr>
        <w:t>rebounded to ~US$43 billion in 2024</w:t>
      </w:r>
      <w:r w:rsidRPr="00CE751B">
        <w:t>.</w:t>
      </w:r>
    </w:p>
    <w:p w14:paraId="0A04FC6A" w14:textId="77777777" w:rsidR="00CE751B" w:rsidRPr="00CE751B" w:rsidRDefault="00CE751B" w:rsidP="00CE751B">
      <w:pPr>
        <w:numPr>
          <w:ilvl w:val="0"/>
          <w:numId w:val="1"/>
        </w:numPr>
      </w:pPr>
      <w:r w:rsidRPr="00CE751B">
        <w:t xml:space="preserve">Within that, </w:t>
      </w:r>
      <w:r w:rsidRPr="00CE751B">
        <w:rPr>
          <w:b/>
          <w:bCs/>
        </w:rPr>
        <w:t>Fintech and tech-enabled sectors are the experimentation lab</w:t>
      </w:r>
      <w:r w:rsidRPr="00CE751B">
        <w:t xml:space="preserve"> – they attracted high valuations, lots of early-stage deals, and strong exits, but also evidence of </w:t>
      </w:r>
      <w:r w:rsidRPr="00CE751B">
        <w:rPr>
          <w:b/>
          <w:bCs/>
        </w:rPr>
        <w:t>over-optimism at entry</w:t>
      </w:r>
      <w:r w:rsidRPr="00CE751B">
        <w:t>.</w:t>
      </w:r>
    </w:p>
    <w:p w14:paraId="7C542AD2" w14:textId="77777777" w:rsidR="00CE751B" w:rsidRPr="00CE751B" w:rsidRDefault="00CE751B" w:rsidP="00CE751B">
      <w:r w:rsidRPr="00CE751B">
        <w:t xml:space="preserve">So qualitatively: India has moved from being an “emerging opportunity” to a </w:t>
      </w:r>
      <w:r w:rsidRPr="00CE751B">
        <w:rPr>
          <w:b/>
          <w:bCs/>
        </w:rPr>
        <w:t>core, scaled market</w:t>
      </w:r>
      <w:r w:rsidRPr="00CE751B">
        <w:t xml:space="preserve"> for global capital, but investors are now behaving more selectively and return-conscious.</w:t>
      </w:r>
    </w:p>
    <w:p w14:paraId="2C7316D5" w14:textId="77777777" w:rsidR="00CE751B" w:rsidRPr="00CE751B" w:rsidRDefault="00CE751B" w:rsidP="00CE751B">
      <w:pPr>
        <w:rPr>
          <w:b/>
          <w:bCs/>
        </w:rPr>
      </w:pPr>
      <w:r w:rsidRPr="00CE751B">
        <w:rPr>
          <w:b/>
          <w:bCs/>
        </w:rPr>
        <w:t>2. FDI: slow start, then scale and diversification</w:t>
      </w:r>
    </w:p>
    <w:p w14:paraId="563FBD73" w14:textId="77777777" w:rsidR="00CE751B" w:rsidRPr="00CE751B" w:rsidRDefault="00CE751B" w:rsidP="00CE751B">
      <w:r w:rsidRPr="00CE751B">
        <w:t>The FDI fact sheets show:</w:t>
      </w:r>
    </w:p>
    <w:p w14:paraId="6653B6F9" w14:textId="77777777" w:rsidR="00CE751B" w:rsidRPr="00CE751B" w:rsidRDefault="00CE751B" w:rsidP="00CE751B">
      <w:pPr>
        <w:rPr>
          <w:b/>
          <w:bCs/>
        </w:rPr>
      </w:pPr>
      <w:r w:rsidRPr="00CE751B">
        <w:rPr>
          <w:b/>
          <w:bCs/>
        </w:rPr>
        <w:t>Level and growth</w:t>
      </w:r>
    </w:p>
    <w:p w14:paraId="349F5243" w14:textId="77777777" w:rsidR="00CE751B" w:rsidRPr="00CE751B" w:rsidRDefault="00CE751B" w:rsidP="00CE751B">
      <w:pPr>
        <w:pStyle w:val="ListParagraph"/>
        <w:numPr>
          <w:ilvl w:val="0"/>
          <w:numId w:val="2"/>
        </w:numPr>
      </w:pPr>
      <w:r w:rsidRPr="00CE751B">
        <w:t xml:space="preserve">Cumulative FDI inflows (all components) reached </w:t>
      </w:r>
      <w:r w:rsidRPr="00CE751B">
        <w:rPr>
          <w:b/>
          <w:bCs/>
        </w:rPr>
        <w:t>US$1,072bn by March 2025</w:t>
      </w:r>
      <w:r w:rsidRPr="00CE751B">
        <w:t xml:space="preserve"> and </w:t>
      </w:r>
      <w:r w:rsidRPr="00CE751B">
        <w:rPr>
          <w:b/>
          <w:bCs/>
        </w:rPr>
        <w:t>US$1,097bn by June 2025</w:t>
      </w:r>
      <w:r w:rsidRPr="00CE751B">
        <w:t xml:space="preserve">. Equity alone reached </w:t>
      </w:r>
      <w:r w:rsidRPr="00CE751B">
        <w:rPr>
          <w:b/>
          <w:bCs/>
        </w:rPr>
        <w:t>US$728–748bn</w:t>
      </w:r>
      <w:r w:rsidRPr="00CE751B">
        <w:t>.</w:t>
      </w:r>
    </w:p>
    <w:p w14:paraId="5F23AC14" w14:textId="77777777" w:rsidR="00CE751B" w:rsidRPr="00CE751B" w:rsidRDefault="00CE751B" w:rsidP="00CE751B">
      <w:pPr>
        <w:pStyle w:val="ListParagraph"/>
        <w:numPr>
          <w:ilvl w:val="0"/>
          <w:numId w:val="2"/>
        </w:numPr>
      </w:pPr>
      <w:r w:rsidRPr="00CE751B">
        <w:t xml:space="preserve">Compared with 2017, when cumulative FDI was about </w:t>
      </w:r>
      <w:r w:rsidRPr="00CE751B">
        <w:rPr>
          <w:b/>
          <w:bCs/>
        </w:rPr>
        <w:t>US$518bn</w:t>
      </w:r>
      <w:r w:rsidRPr="00CE751B">
        <w:t xml:space="preserve"> and equity ~US$357bn, the stock has </w:t>
      </w:r>
      <w:r w:rsidRPr="00CE751B">
        <w:rPr>
          <w:b/>
          <w:bCs/>
        </w:rPr>
        <w:t>more than doubled in eight years</w:t>
      </w:r>
      <w:r w:rsidRPr="00CE751B">
        <w:t>.</w:t>
      </w:r>
    </w:p>
    <w:p w14:paraId="768D7000" w14:textId="77777777" w:rsidR="00CE751B" w:rsidRPr="00CE751B" w:rsidRDefault="00CE751B" w:rsidP="00CE751B">
      <w:r w:rsidRPr="00CE751B">
        <w:t>8595cfa25ba00329ff1dde1ac5230aa8</w:t>
      </w:r>
    </w:p>
    <w:p w14:paraId="2B0EB00E" w14:textId="77777777" w:rsidR="00CE751B" w:rsidRPr="00CE751B" w:rsidRDefault="00CE751B" w:rsidP="00CE751B">
      <w:pPr>
        <w:numPr>
          <w:ilvl w:val="0"/>
          <w:numId w:val="2"/>
        </w:numPr>
      </w:pPr>
      <w:r w:rsidRPr="00CE751B">
        <w:rPr>
          <w:b/>
          <w:bCs/>
        </w:rPr>
        <w:t>Country concentration</w:t>
      </w:r>
      <w:r w:rsidRPr="00CE751B">
        <w:t xml:space="preserve"> (from earlier years): Mauritius and Singapore dominate historically, with Japan, the US, the UK, and the Netherlands as other big sources.</w:t>
      </w:r>
    </w:p>
    <w:p w14:paraId="6D84CCE5" w14:textId="77777777" w:rsidR="00CE751B" w:rsidRPr="00CE751B" w:rsidRDefault="00CE751B" w:rsidP="00CE751B">
      <w:pPr>
        <w:numPr>
          <w:ilvl w:val="0"/>
          <w:numId w:val="2"/>
        </w:numPr>
      </w:pPr>
      <w:r w:rsidRPr="00CE751B">
        <w:rPr>
          <w:b/>
          <w:bCs/>
        </w:rPr>
        <w:t>Sector pattern</w:t>
      </w:r>
    </w:p>
    <w:p w14:paraId="1AB555CB" w14:textId="77777777" w:rsidR="00CE751B" w:rsidRPr="00CE751B" w:rsidRDefault="00CE751B" w:rsidP="00CE751B">
      <w:pPr>
        <w:pStyle w:val="ListParagraph"/>
        <w:numPr>
          <w:ilvl w:val="0"/>
          <w:numId w:val="2"/>
        </w:numPr>
      </w:pPr>
      <w:r w:rsidRPr="00CE751B">
        <w:t>Services, computer software &amp; hardware, trading, telecom, and autos repeatedly appear among the top FDI-attracting sectors.</w:t>
      </w:r>
    </w:p>
    <w:p w14:paraId="39A9161A" w14:textId="77777777" w:rsidR="00CE751B" w:rsidRPr="00CE751B" w:rsidRDefault="00CE751B" w:rsidP="00CE751B">
      <w:pPr>
        <w:pStyle w:val="ListParagraph"/>
        <w:numPr>
          <w:ilvl w:val="0"/>
          <w:numId w:val="2"/>
        </w:numPr>
      </w:pPr>
      <w:r w:rsidRPr="00CE751B">
        <w:t>Over time, you see a shift from pure IT/ITES + services to more diversified inflows including infrastructure, construction, and non-conventional energy.</w:t>
      </w:r>
    </w:p>
    <w:p w14:paraId="26C1B69E" w14:textId="77777777" w:rsidR="00CE751B" w:rsidRPr="00CE751B" w:rsidRDefault="00CE751B" w:rsidP="00CE751B">
      <w:r w:rsidRPr="00CE751B">
        <w:t xml:space="preserve">Qualitative takeaway: </w:t>
      </w:r>
      <w:r w:rsidRPr="00CE751B">
        <w:rPr>
          <w:b/>
          <w:bCs/>
        </w:rPr>
        <w:t>FDI is large, sticky, and broad-based</w:t>
      </w:r>
      <w:r w:rsidRPr="00CE751B">
        <w:t>. It underpins the macro story and creates the base of assets that PE/VC then buys into, scales, and exits from.</w:t>
      </w:r>
    </w:p>
    <w:p w14:paraId="1CAD3FEC" w14:textId="77777777" w:rsidR="00CE751B" w:rsidRPr="00CE751B" w:rsidRDefault="00CE751B" w:rsidP="00CE751B">
      <w:pPr>
        <w:rPr>
          <w:b/>
          <w:bCs/>
        </w:rPr>
      </w:pPr>
      <w:r w:rsidRPr="00CE751B">
        <w:rPr>
          <w:b/>
          <w:bCs/>
        </w:rPr>
        <w:lastRenderedPageBreak/>
        <w:t>3. PE/VC over time: cycles, not a straight line</w:t>
      </w:r>
    </w:p>
    <w:p w14:paraId="3D7A13FB" w14:textId="77777777" w:rsidR="00CE751B" w:rsidRPr="00CE751B" w:rsidRDefault="00CE751B" w:rsidP="00CE751B">
      <w:pPr>
        <w:rPr>
          <w:b/>
          <w:bCs/>
        </w:rPr>
      </w:pPr>
      <w:r w:rsidRPr="00CE751B">
        <w:rPr>
          <w:b/>
          <w:bCs/>
        </w:rPr>
        <w:t>2012–2021: rapid scaling and 2021 spike</w:t>
      </w:r>
    </w:p>
    <w:p w14:paraId="0F5D5675" w14:textId="77777777" w:rsidR="00CE751B" w:rsidRPr="00CE751B" w:rsidRDefault="00CE751B" w:rsidP="00CE751B">
      <w:r w:rsidRPr="00CE751B">
        <w:t xml:space="preserve">The empirical paper on VC/PE dynamics shows deal value rising from about </w:t>
      </w:r>
      <w:r w:rsidRPr="00CE751B">
        <w:rPr>
          <w:b/>
          <w:bCs/>
        </w:rPr>
        <w:t>US$10–11bn (2012–2013) to nearly US$70bn by 2021</w:t>
      </w:r>
      <w:r w:rsidRPr="00CE751B">
        <w:t>, with deal counts also increasing strongly.</w:t>
      </w:r>
    </w:p>
    <w:p w14:paraId="0ACA8AEB" w14:textId="77777777" w:rsidR="00CE751B" w:rsidRPr="00CE751B" w:rsidRDefault="00CE751B" w:rsidP="00CE751B">
      <w:r w:rsidRPr="00CE751B">
        <w:t>jrfm-16-00475</w:t>
      </w:r>
    </w:p>
    <w:p w14:paraId="174006A1" w14:textId="77777777" w:rsidR="00CE751B" w:rsidRPr="00CE751B" w:rsidRDefault="00CE751B" w:rsidP="00CE751B">
      <w:r w:rsidRPr="00CE751B">
        <w:t>Key analytical findings:</w:t>
      </w:r>
    </w:p>
    <w:p w14:paraId="0E4B1D3E" w14:textId="77777777" w:rsidR="00CE751B" w:rsidRPr="00CE751B" w:rsidRDefault="00CE751B" w:rsidP="00CE751B">
      <w:pPr>
        <w:numPr>
          <w:ilvl w:val="0"/>
          <w:numId w:val="3"/>
        </w:numPr>
      </w:pPr>
      <w:r w:rsidRPr="00CE751B">
        <w:rPr>
          <w:b/>
          <w:bCs/>
        </w:rPr>
        <w:t>Holding period vs return</w:t>
      </w:r>
      <w:r w:rsidRPr="00CE751B">
        <w:t xml:space="preserve">: there is a </w:t>
      </w:r>
      <w:r w:rsidRPr="00CE751B">
        <w:rPr>
          <w:b/>
          <w:bCs/>
        </w:rPr>
        <w:t>negative relationship</w:t>
      </w:r>
      <w:r w:rsidRPr="00CE751B">
        <w:t xml:space="preserve"> – longer holding periods are associated with lower return multiples.</w:t>
      </w:r>
    </w:p>
    <w:p w14:paraId="72AD8353" w14:textId="77777777" w:rsidR="00CE751B" w:rsidRPr="00CE751B" w:rsidRDefault="00CE751B" w:rsidP="00CE751B">
      <w:pPr>
        <w:numPr>
          <w:ilvl w:val="0"/>
          <w:numId w:val="3"/>
        </w:numPr>
      </w:pPr>
      <w:r w:rsidRPr="00CE751B">
        <w:rPr>
          <w:b/>
          <w:bCs/>
        </w:rPr>
        <w:t>Domestic vs foreign funds</w:t>
      </w:r>
      <w:r w:rsidRPr="00CE751B">
        <w:t xml:space="preserve">: India-dedicated funds </w:t>
      </w:r>
      <w:r w:rsidRPr="00CE751B">
        <w:rPr>
          <w:b/>
          <w:bCs/>
        </w:rPr>
        <w:t>outperform foreign funds</w:t>
      </w:r>
      <w:r w:rsidRPr="00CE751B">
        <w:t xml:space="preserve"> on returns, even though their average holding periods are similar. This suggests </w:t>
      </w:r>
      <w:r w:rsidRPr="00CE751B">
        <w:rPr>
          <w:b/>
          <w:bCs/>
        </w:rPr>
        <w:t>information and local-network advantages</w:t>
      </w:r>
      <w:r w:rsidRPr="00CE751B">
        <w:t>.</w:t>
      </w:r>
    </w:p>
    <w:p w14:paraId="1A44474F" w14:textId="77777777" w:rsidR="00CE751B" w:rsidRPr="00CE751B" w:rsidRDefault="00CE751B" w:rsidP="00CE751B">
      <w:pPr>
        <w:numPr>
          <w:ilvl w:val="0"/>
          <w:numId w:val="3"/>
        </w:numPr>
      </w:pPr>
      <w:r w:rsidRPr="00CE751B">
        <w:rPr>
          <w:b/>
          <w:bCs/>
        </w:rPr>
        <w:t>Exit routes</w:t>
      </w:r>
      <w:r w:rsidRPr="00CE751B">
        <w:t xml:space="preserve">: while multiples differ by route, </w:t>
      </w:r>
      <w:r w:rsidRPr="00CE751B">
        <w:rPr>
          <w:b/>
          <w:bCs/>
        </w:rPr>
        <w:t>CAGR-type returns are not statistically different</w:t>
      </w:r>
      <w:r w:rsidRPr="00CE751B">
        <w:t xml:space="preserve"> across IPO, strategic sale, secondary sale, and buyback. In practice, </w:t>
      </w:r>
      <w:r w:rsidRPr="00CE751B">
        <w:rPr>
          <w:b/>
          <w:bCs/>
        </w:rPr>
        <w:t>no single exit route is a guaranteed “better” route</w:t>
      </w:r>
      <w:r w:rsidRPr="00CE751B">
        <w:t xml:space="preserve"> – investors exit when they’ve hit their return target.</w:t>
      </w:r>
    </w:p>
    <w:p w14:paraId="1ACDB683" w14:textId="77777777" w:rsidR="00CE751B" w:rsidRPr="00CE751B" w:rsidRDefault="00CE751B" w:rsidP="00CE751B">
      <w:r w:rsidRPr="00CE751B">
        <w:t xml:space="preserve">Qualitatively: India’s PE/VC industry looks </w:t>
      </w:r>
      <w:r w:rsidRPr="00CE751B">
        <w:rPr>
          <w:b/>
          <w:bCs/>
        </w:rPr>
        <w:t>increasingly professional and disciplined</w:t>
      </w:r>
      <w:r w:rsidRPr="00CE751B">
        <w:t>. Local funds know how to create value; foreign capital isn’t automatically smarter. And timing/value creation matters more than “which door you use” to exit.</w:t>
      </w:r>
    </w:p>
    <w:p w14:paraId="771D470B" w14:textId="77777777" w:rsidR="00CE751B" w:rsidRPr="00CE751B" w:rsidRDefault="00CE751B" w:rsidP="00CE751B">
      <w:pPr>
        <w:rPr>
          <w:b/>
          <w:bCs/>
        </w:rPr>
      </w:pPr>
      <w:r w:rsidRPr="00CE751B">
        <w:rPr>
          <w:b/>
          <w:bCs/>
        </w:rPr>
        <w:t>4. Sector deep-dive: Fintech as a microcosm</w:t>
      </w:r>
    </w:p>
    <w:p w14:paraId="393B6A15" w14:textId="77777777" w:rsidR="00CE751B" w:rsidRPr="00CE751B" w:rsidRDefault="00CE751B" w:rsidP="00CE751B">
      <w:r w:rsidRPr="00CE751B">
        <w:t>The fintech lifecycle paper zooms into 1998–Q1 2023:</w:t>
      </w:r>
    </w:p>
    <w:p w14:paraId="37616F7C" w14:textId="77777777" w:rsidR="00CE751B" w:rsidRPr="00CE751B" w:rsidRDefault="00CE751B" w:rsidP="00CE751B">
      <w:r w:rsidRPr="00CE751B">
        <w:t>Scale and stage</w:t>
      </w:r>
    </w:p>
    <w:p w14:paraId="2FFEC94E" w14:textId="77777777" w:rsidR="00CE751B" w:rsidRPr="00CE751B" w:rsidRDefault="00CE751B" w:rsidP="00CE751B">
      <w:pPr>
        <w:pStyle w:val="ListParagraph"/>
        <w:numPr>
          <w:ilvl w:val="0"/>
          <w:numId w:val="9"/>
        </w:numPr>
      </w:pPr>
      <w:r w:rsidRPr="00CE751B">
        <w:t>1,138 deals with total investments ~US$26.1bn.</w:t>
      </w:r>
    </w:p>
    <w:p w14:paraId="5C7D8655" w14:textId="77777777" w:rsidR="00CE751B" w:rsidRPr="00CE751B" w:rsidRDefault="00CE751B" w:rsidP="00CE751B">
      <w:pPr>
        <w:pStyle w:val="ListParagraph"/>
        <w:numPr>
          <w:ilvl w:val="0"/>
          <w:numId w:val="9"/>
        </w:numPr>
      </w:pPr>
      <w:r w:rsidRPr="00CE751B">
        <w:t>Median deal size US$4.23m, with a heavy skew – many small deals, a few very large ones.</w:t>
      </w:r>
    </w:p>
    <w:p w14:paraId="56975247" w14:textId="77777777" w:rsidR="00CE751B" w:rsidRPr="00CE751B" w:rsidRDefault="00CE751B" w:rsidP="00CE751B">
      <w:pPr>
        <w:pStyle w:val="ListParagraph"/>
        <w:numPr>
          <w:ilvl w:val="0"/>
          <w:numId w:val="9"/>
        </w:numPr>
      </w:pPr>
      <w:r w:rsidRPr="00CE751B">
        <w:t>Seed + Series A = ~57% of all deals, showing fintech was primarily an early-stage, experimentation-heavy space.</w:t>
      </w:r>
    </w:p>
    <w:p w14:paraId="5566378D" w14:textId="77777777" w:rsidR="00CE751B" w:rsidRPr="00CE751B" w:rsidRDefault="00CE751B" w:rsidP="00CE751B">
      <w:r w:rsidRPr="00CE751B">
        <w:t>Sectors inside fintech</w:t>
      </w:r>
    </w:p>
    <w:p w14:paraId="4D6E07E5" w14:textId="77777777" w:rsidR="00CE751B" w:rsidRPr="00CE751B" w:rsidRDefault="00CE751B" w:rsidP="00CE751B">
      <w:pPr>
        <w:pStyle w:val="ListParagraph"/>
        <w:numPr>
          <w:ilvl w:val="0"/>
          <w:numId w:val="11"/>
        </w:numPr>
      </w:pPr>
      <w:r w:rsidRPr="00CE751B">
        <w:t>Lending, payments, and personal finance are the main magnets for capital; business/personal utility apps and generic software/apps are the next layer.</w:t>
      </w:r>
    </w:p>
    <w:p w14:paraId="3B3B016A" w14:textId="77777777" w:rsidR="00CE751B" w:rsidRPr="00CE751B" w:rsidRDefault="00CE751B" w:rsidP="00CE751B">
      <w:pPr>
        <w:pStyle w:val="ListParagraph"/>
        <w:numPr>
          <w:ilvl w:val="0"/>
          <w:numId w:val="11"/>
        </w:numPr>
      </w:pPr>
      <w:r w:rsidRPr="00CE751B">
        <w:t>Blockchain/crypto, insurance, and health-fintech saw relatively low investment, partly due to regulatory risk and uncertainty.</w:t>
      </w:r>
    </w:p>
    <w:p w14:paraId="08A2DB96" w14:textId="77777777" w:rsidR="00CE751B" w:rsidRPr="00CE751B" w:rsidRDefault="00CE751B" w:rsidP="00CE751B">
      <w:r w:rsidRPr="00CE751B">
        <w:lastRenderedPageBreak/>
        <w:t>Valuations and exits</w:t>
      </w:r>
    </w:p>
    <w:p w14:paraId="6ACEB58C" w14:textId="77777777" w:rsidR="00CE751B" w:rsidRPr="00CE751B" w:rsidRDefault="00CE751B" w:rsidP="00CE751B">
      <w:pPr>
        <w:pStyle w:val="ListParagraph"/>
        <w:numPr>
          <w:ilvl w:val="0"/>
          <w:numId w:val="10"/>
        </w:numPr>
      </w:pPr>
      <w:r w:rsidRPr="00CE751B">
        <w:t>Entry valuation multiples (revenue, EBITDA, PAT) are very high, especially in lending, payments, software/apps, and personal finance. Example: median entry PAT multiple ~102x vs median exit PAT multiple ~47x.</w:t>
      </w:r>
    </w:p>
    <w:p w14:paraId="1717B492" w14:textId="77777777" w:rsidR="00CE751B" w:rsidRPr="00CE751B" w:rsidRDefault="00CE751B" w:rsidP="00CE751B">
      <w:pPr>
        <w:pStyle w:val="ListParagraph"/>
        <w:numPr>
          <w:ilvl w:val="0"/>
          <w:numId w:val="10"/>
        </w:numPr>
      </w:pPr>
      <w:r w:rsidRPr="00CE751B">
        <w:t>For the small subset of deals with full exit data, median cash multiple is 4.4x, with huge dispersion (average 27.9x, quartiles ~3.2x–31.8x).</w:t>
      </w:r>
    </w:p>
    <w:p w14:paraId="0377107F" w14:textId="77777777" w:rsidR="00CE751B" w:rsidRPr="00CE751B" w:rsidRDefault="00CE751B" w:rsidP="00CE751B">
      <w:pPr>
        <w:pStyle w:val="ListParagraph"/>
        <w:numPr>
          <w:ilvl w:val="0"/>
          <w:numId w:val="10"/>
        </w:numPr>
      </w:pPr>
      <w:r w:rsidRPr="00CE751B">
        <w:t>M&amp;A is the dominant exit route, not IPOs – strategic buyers absorbing fintech capabilities.</w:t>
      </w:r>
    </w:p>
    <w:p w14:paraId="3A377D87" w14:textId="77777777" w:rsidR="00CE751B" w:rsidRPr="00CE751B" w:rsidRDefault="00CE751B" w:rsidP="00CE751B">
      <w:r w:rsidRPr="00CE751B">
        <w:t>Qualitative interpretation:</w:t>
      </w:r>
    </w:p>
    <w:p w14:paraId="7DD7770F" w14:textId="77777777" w:rsidR="00CE751B" w:rsidRPr="00CE751B" w:rsidRDefault="00CE751B" w:rsidP="00CE751B">
      <w:pPr>
        <w:numPr>
          <w:ilvl w:val="0"/>
          <w:numId w:val="5"/>
        </w:numPr>
      </w:pPr>
      <w:r w:rsidRPr="00CE751B">
        <w:t xml:space="preserve">Investors </w:t>
      </w:r>
      <w:r w:rsidRPr="00CE751B">
        <w:rPr>
          <w:b/>
          <w:bCs/>
        </w:rPr>
        <w:t>paid up aggressively at entry</w:t>
      </w:r>
      <w:r w:rsidRPr="00CE751B">
        <w:t xml:space="preserve">, betting on growth, but </w:t>
      </w:r>
      <w:r w:rsidRPr="00CE751B">
        <w:rPr>
          <w:b/>
          <w:bCs/>
        </w:rPr>
        <w:t>captured lower multiples at exit</w:t>
      </w:r>
      <w:r w:rsidRPr="00CE751B">
        <w:t xml:space="preserve"> on average → evidence of </w:t>
      </w:r>
      <w:r w:rsidRPr="00CE751B">
        <w:rPr>
          <w:b/>
          <w:bCs/>
        </w:rPr>
        <w:t>over-optimism and/or later-stage pricing discipline</w:t>
      </w:r>
      <w:r w:rsidRPr="00CE751B">
        <w:t>.</w:t>
      </w:r>
    </w:p>
    <w:p w14:paraId="4DFF848B" w14:textId="77777777" w:rsidR="00CE751B" w:rsidRPr="00CE751B" w:rsidRDefault="00CE751B" w:rsidP="00CE751B">
      <w:pPr>
        <w:numPr>
          <w:ilvl w:val="0"/>
          <w:numId w:val="5"/>
        </w:numPr>
      </w:pPr>
      <w:r w:rsidRPr="00CE751B">
        <w:t xml:space="preserve">The </w:t>
      </w:r>
      <w:r w:rsidRPr="00CE751B">
        <w:rPr>
          <w:b/>
          <w:bCs/>
        </w:rPr>
        <w:t>best risk–reward</w:t>
      </w:r>
      <w:r w:rsidRPr="00CE751B">
        <w:t xml:space="preserve"> appears in </w:t>
      </w:r>
      <w:r w:rsidRPr="00CE751B">
        <w:rPr>
          <w:b/>
          <w:bCs/>
        </w:rPr>
        <w:t>software/apps, personal finance, and insurance</w:t>
      </w:r>
      <w:r w:rsidRPr="00CE751B">
        <w:t>, which combine high entry valuations with strong realized cash multiples.</w:t>
      </w:r>
    </w:p>
    <w:p w14:paraId="5E8C9958" w14:textId="77777777" w:rsidR="00CE751B" w:rsidRPr="00CE751B" w:rsidRDefault="00CE751B" w:rsidP="00CE751B">
      <w:pPr>
        <w:numPr>
          <w:ilvl w:val="0"/>
          <w:numId w:val="5"/>
        </w:numPr>
      </w:pPr>
      <w:r w:rsidRPr="00CE751B">
        <w:t xml:space="preserve">Fintech illustrates a broader India pattern: </w:t>
      </w:r>
      <w:r w:rsidRPr="00CE751B">
        <w:rPr>
          <w:b/>
          <w:bCs/>
        </w:rPr>
        <w:t>huge opportunity, but returns depend heavily on sector selection, entry price, and execution</w:t>
      </w:r>
      <w:r w:rsidRPr="00CE751B">
        <w:t>, not just being in the “hot” theme.</w:t>
      </w:r>
    </w:p>
    <w:p w14:paraId="0141DD86" w14:textId="77777777" w:rsidR="00CE751B" w:rsidRPr="00CE751B" w:rsidRDefault="00CE751B" w:rsidP="00CE751B">
      <w:pPr>
        <w:rPr>
          <w:b/>
          <w:bCs/>
        </w:rPr>
      </w:pPr>
      <w:r w:rsidRPr="00CE751B">
        <w:rPr>
          <w:b/>
          <w:bCs/>
        </w:rPr>
        <w:t>5. 2024–2025: rebound and re-balancing</w:t>
      </w:r>
    </w:p>
    <w:p w14:paraId="56DBFEF2" w14:textId="77777777" w:rsidR="00CE751B" w:rsidRPr="00CE751B" w:rsidRDefault="00CE751B" w:rsidP="00CE751B">
      <w:pPr>
        <w:rPr>
          <w:b/>
          <w:bCs/>
        </w:rPr>
      </w:pPr>
      <w:r w:rsidRPr="00CE751B">
        <w:rPr>
          <w:b/>
          <w:bCs/>
        </w:rPr>
        <w:t>2024 full year – Bain report</w:t>
      </w:r>
    </w:p>
    <w:p w14:paraId="50D07CA1" w14:textId="77777777" w:rsidR="00CE751B" w:rsidRPr="00CE751B" w:rsidRDefault="00CE751B" w:rsidP="00CE751B">
      <w:r w:rsidRPr="00CE751B">
        <w:rPr>
          <w:b/>
          <w:bCs/>
        </w:rPr>
        <w:t>Deal value</w:t>
      </w:r>
      <w:r w:rsidRPr="00CE751B">
        <w:t xml:space="preserve">: PE-VC investments </w:t>
      </w:r>
      <w:r w:rsidRPr="00CE751B">
        <w:rPr>
          <w:b/>
          <w:bCs/>
        </w:rPr>
        <w:t>recovered ~9% to about US$43bn</w:t>
      </w:r>
      <w:r w:rsidRPr="00CE751B">
        <w:t xml:space="preserve"> after two weak years. VC/growth funding jumped ~40% to ~US$14bn; PE proper held steady around </w:t>
      </w:r>
      <w:r w:rsidRPr="00CE751B">
        <w:rPr>
          <w:b/>
          <w:bCs/>
        </w:rPr>
        <w:t>US$29bn</w:t>
      </w:r>
      <w:r w:rsidRPr="00CE751B">
        <w:t>.</w:t>
      </w:r>
    </w:p>
    <w:p w14:paraId="694A1550" w14:textId="77777777" w:rsidR="00CE751B" w:rsidRPr="00CE751B" w:rsidRDefault="00CE751B" w:rsidP="00CE751B">
      <w:r w:rsidRPr="00CE751B">
        <w:rPr>
          <w:b/>
          <w:bCs/>
        </w:rPr>
        <w:t>Deal mix</w:t>
      </w:r>
      <w:r w:rsidRPr="00CE751B">
        <w:t>:</w:t>
      </w:r>
    </w:p>
    <w:p w14:paraId="5A207C52" w14:textId="77777777" w:rsidR="00CE751B" w:rsidRPr="00CE751B" w:rsidRDefault="00CE751B" w:rsidP="00CE751B">
      <w:pPr>
        <w:pStyle w:val="ListParagraph"/>
        <w:numPr>
          <w:ilvl w:val="0"/>
          <w:numId w:val="6"/>
        </w:numPr>
      </w:pPr>
      <w:r w:rsidRPr="00CE751B">
        <w:t>Buyouts now ≈51% of PE deal value, up from ~37% in 2022 – clear move toward control deals and large, platform-type plays.</w:t>
      </w:r>
    </w:p>
    <w:p w14:paraId="746BA3CB" w14:textId="77777777" w:rsidR="00CE751B" w:rsidRPr="00CE751B" w:rsidRDefault="00CE751B" w:rsidP="00CE751B">
      <w:pPr>
        <w:pStyle w:val="ListParagraph"/>
        <w:numPr>
          <w:ilvl w:val="0"/>
          <w:numId w:val="6"/>
        </w:numPr>
      </w:pPr>
      <w:r w:rsidRPr="00CE751B">
        <w:t>VC deal count explodes (880 → 1,270), with consumer tech funding ~doubling to ~US$6bn.</w:t>
      </w:r>
    </w:p>
    <w:p w14:paraId="6485C622" w14:textId="77777777" w:rsidR="00CE751B" w:rsidRPr="00CE751B" w:rsidRDefault="00CE751B" w:rsidP="00CE751B">
      <w:r w:rsidRPr="00CE751B">
        <w:t>Sectors leading:</w:t>
      </w:r>
    </w:p>
    <w:p w14:paraId="7B0EE535" w14:textId="77777777" w:rsidR="00CE751B" w:rsidRPr="00CE751B" w:rsidRDefault="00CE751B" w:rsidP="00CE751B">
      <w:pPr>
        <w:pStyle w:val="ListParagraph"/>
        <w:numPr>
          <w:ilvl w:val="0"/>
          <w:numId w:val="12"/>
        </w:numPr>
      </w:pPr>
      <w:r w:rsidRPr="00CE751B">
        <w:t>Real estate &amp; infrastructure: ~16% of total PE-VC, ~70% YoY growth, driven by a telecom-tower megadeal and strong roads and residential projects.</w:t>
      </w:r>
    </w:p>
    <w:p w14:paraId="0603771A" w14:textId="77777777" w:rsidR="00CE751B" w:rsidRPr="00CE751B" w:rsidRDefault="00CE751B" w:rsidP="00CE751B">
      <w:pPr>
        <w:pStyle w:val="ListParagraph"/>
        <w:numPr>
          <w:ilvl w:val="0"/>
          <w:numId w:val="12"/>
        </w:numPr>
      </w:pPr>
      <w:r w:rsidRPr="00CE751B">
        <w:rPr>
          <w:b/>
          <w:bCs/>
        </w:rPr>
        <w:t>IT/</w:t>
      </w:r>
      <w:proofErr w:type="spellStart"/>
      <w:r w:rsidRPr="00CE751B">
        <w:rPr>
          <w:b/>
          <w:bCs/>
        </w:rPr>
        <w:t>ITeS</w:t>
      </w:r>
      <w:proofErr w:type="spellEnd"/>
      <w:r w:rsidRPr="00CE751B">
        <w:t>: ~4x surge, led by large digital/IT services and revenue-cycle-management plays.</w:t>
      </w:r>
    </w:p>
    <w:p w14:paraId="74ABD550" w14:textId="77777777" w:rsidR="00CE751B" w:rsidRPr="00CE751B" w:rsidRDefault="00CE751B" w:rsidP="00CE751B">
      <w:pPr>
        <w:pStyle w:val="ListParagraph"/>
        <w:numPr>
          <w:ilvl w:val="0"/>
          <w:numId w:val="12"/>
        </w:numPr>
      </w:pPr>
      <w:r w:rsidRPr="00CE751B">
        <w:rPr>
          <w:b/>
          <w:bCs/>
        </w:rPr>
        <w:lastRenderedPageBreak/>
        <w:t>Financial services</w:t>
      </w:r>
      <w:r w:rsidRPr="00CE751B">
        <w:t>: +25%, focused on affordable housing finance, LAP, and MSME lending.</w:t>
      </w:r>
    </w:p>
    <w:p w14:paraId="08F2DEE7" w14:textId="77777777" w:rsidR="00CE751B" w:rsidRPr="00CE751B" w:rsidRDefault="00CE751B" w:rsidP="00CE751B">
      <w:pPr>
        <w:pStyle w:val="ListParagraph"/>
        <w:numPr>
          <w:ilvl w:val="0"/>
          <w:numId w:val="12"/>
        </w:numPr>
      </w:pPr>
      <w:r w:rsidRPr="00CE751B">
        <w:rPr>
          <w:b/>
          <w:bCs/>
        </w:rPr>
        <w:t>Healthcare</w:t>
      </w:r>
      <w:r w:rsidRPr="00CE751B">
        <w:t xml:space="preserve">: more deals in </w:t>
      </w:r>
      <w:proofErr w:type="spellStart"/>
      <w:r w:rsidRPr="00CE751B">
        <w:t>medtech</w:t>
      </w:r>
      <w:proofErr w:type="spellEnd"/>
      <w:r w:rsidRPr="00CE751B">
        <w:t>, CDMOs, and single-specialty providers.</w:t>
      </w:r>
    </w:p>
    <w:p w14:paraId="685DF4FE" w14:textId="77777777" w:rsidR="00CE751B" w:rsidRPr="00CE751B" w:rsidRDefault="00CE751B" w:rsidP="00CE751B">
      <w:pPr>
        <w:numPr>
          <w:ilvl w:val="0"/>
          <w:numId w:val="6"/>
        </w:numPr>
      </w:pPr>
      <w:r w:rsidRPr="00CE751B">
        <w:rPr>
          <w:b/>
          <w:bCs/>
        </w:rPr>
        <w:t>Exits and fundraising</w:t>
      </w:r>
      <w:r w:rsidRPr="00CE751B">
        <w:t>:</w:t>
      </w:r>
    </w:p>
    <w:p w14:paraId="778CB380" w14:textId="77777777" w:rsidR="00CE751B" w:rsidRPr="00CE751B" w:rsidRDefault="00CE751B" w:rsidP="00CE751B">
      <w:pPr>
        <w:numPr>
          <w:ilvl w:val="1"/>
          <w:numId w:val="6"/>
        </w:numPr>
      </w:pPr>
      <w:r w:rsidRPr="00CE751B">
        <w:t xml:space="preserve">Exits around </w:t>
      </w:r>
      <w:r w:rsidRPr="00CE751B">
        <w:rPr>
          <w:b/>
          <w:bCs/>
        </w:rPr>
        <w:t>US$33bn, up 16% YoY</w:t>
      </w:r>
      <w:r w:rsidRPr="00CE751B">
        <w:t xml:space="preserve">, with </w:t>
      </w:r>
      <w:r w:rsidRPr="00CE751B">
        <w:rPr>
          <w:b/>
          <w:bCs/>
        </w:rPr>
        <w:t>public markets (IPOs + block trades) ~59% of value</w:t>
      </w:r>
      <w:r w:rsidRPr="00CE751B">
        <w:t>.</w:t>
      </w:r>
    </w:p>
    <w:p w14:paraId="03FEF22A" w14:textId="77777777" w:rsidR="00CE751B" w:rsidRPr="00CE751B" w:rsidRDefault="00CE751B" w:rsidP="00CE751B">
      <w:pPr>
        <w:numPr>
          <w:ilvl w:val="1"/>
          <w:numId w:val="6"/>
        </w:numPr>
      </w:pPr>
      <w:r w:rsidRPr="00CE751B">
        <w:t xml:space="preserve">Domestic fundraising hits records; global giants (Blackstone, Temasek, etc.) explicitly plan to </w:t>
      </w:r>
      <w:r w:rsidRPr="00CE751B">
        <w:rPr>
          <w:b/>
          <w:bCs/>
        </w:rPr>
        <w:t>scale their India AUM</w:t>
      </w:r>
      <w:r w:rsidRPr="00CE751B">
        <w:t>.</w:t>
      </w:r>
    </w:p>
    <w:p w14:paraId="2B2F1644" w14:textId="77777777" w:rsidR="00CE751B" w:rsidRPr="00CE751B" w:rsidRDefault="00CE751B" w:rsidP="00CE751B">
      <w:pPr>
        <w:numPr>
          <w:ilvl w:val="0"/>
          <w:numId w:val="6"/>
        </w:numPr>
      </w:pPr>
      <w:r w:rsidRPr="00CE751B">
        <w:rPr>
          <w:b/>
          <w:bCs/>
        </w:rPr>
        <w:t>2025 outlook</w:t>
      </w:r>
      <w:r w:rsidRPr="00CE751B">
        <w:t xml:space="preserve">: “cautiously optimistic” – macro tailwinds (GDP growth, easing rates, tax rebates) but risks from </w:t>
      </w:r>
      <w:r w:rsidRPr="00CE751B">
        <w:rPr>
          <w:b/>
          <w:bCs/>
        </w:rPr>
        <w:t>global trade tensions</w:t>
      </w:r>
      <w:r w:rsidRPr="00CE751B">
        <w:t xml:space="preserve">. Sectors expected to lead: </w:t>
      </w:r>
      <w:r w:rsidRPr="00CE751B">
        <w:rPr>
          <w:b/>
          <w:bCs/>
        </w:rPr>
        <w:t>financial services, healthcare, consumer/retail, real estate</w:t>
      </w:r>
      <w:r w:rsidRPr="00CE751B">
        <w:t>.</w:t>
      </w:r>
    </w:p>
    <w:p w14:paraId="70752DB9" w14:textId="77777777" w:rsidR="00CE751B" w:rsidRPr="00CE751B" w:rsidRDefault="00CE751B" w:rsidP="00CE751B">
      <w:r w:rsidRPr="00CE751B">
        <w:t xml:space="preserve">Qualitative story: by 2024, India’s PE-VC market has </w:t>
      </w:r>
      <w:r w:rsidRPr="00CE751B">
        <w:rPr>
          <w:b/>
          <w:bCs/>
        </w:rPr>
        <w:t>stabilized at a high but more disciplined level</w:t>
      </w:r>
      <w:r w:rsidRPr="00CE751B">
        <w:t xml:space="preserve">. Capital is flowing, but it’s shifting toward </w:t>
      </w:r>
      <w:r w:rsidRPr="00CE751B">
        <w:rPr>
          <w:b/>
          <w:bCs/>
        </w:rPr>
        <w:t>control deals in cash-generating, traditional sectors</w:t>
      </w:r>
      <w:r w:rsidRPr="00CE751B">
        <w:t xml:space="preserve"> (infra, financials, healthcare), rather than only “growth at any price” tech.</w:t>
      </w:r>
    </w:p>
    <w:p w14:paraId="5A67F3B0" w14:textId="77777777" w:rsidR="00CE751B" w:rsidRPr="00CE751B" w:rsidRDefault="00CE751B" w:rsidP="00CE751B">
      <w:pPr>
        <w:rPr>
          <w:b/>
          <w:bCs/>
        </w:rPr>
      </w:pPr>
      <w:r w:rsidRPr="00CE751B">
        <w:rPr>
          <w:b/>
          <w:bCs/>
        </w:rPr>
        <w:t>October 2025 monthly snapshot – EY/IVCA</w:t>
      </w:r>
    </w:p>
    <w:p w14:paraId="60FC8CEA" w14:textId="77777777" w:rsidR="00CE751B" w:rsidRPr="00CE751B" w:rsidRDefault="00CE751B" w:rsidP="00CE751B">
      <w:r w:rsidRPr="00CE751B">
        <w:t>The EY roundup zooms into a single month (Oct 2025) but confirms the same re-balancing:</w:t>
      </w:r>
    </w:p>
    <w:p w14:paraId="53B6CF03" w14:textId="77777777" w:rsidR="00CE751B" w:rsidRPr="00CE751B" w:rsidRDefault="00CE751B" w:rsidP="00CE751B">
      <w:r w:rsidRPr="00CE751B">
        <w:t>Investments:</w:t>
      </w:r>
    </w:p>
    <w:p w14:paraId="27309669" w14:textId="77777777" w:rsidR="00CE751B" w:rsidRPr="00CE751B" w:rsidRDefault="00CE751B" w:rsidP="00CE751B">
      <w:pPr>
        <w:pStyle w:val="ListParagraph"/>
        <w:numPr>
          <w:ilvl w:val="0"/>
          <w:numId w:val="7"/>
        </w:numPr>
      </w:pPr>
      <w:r w:rsidRPr="00CE751B">
        <w:t xml:space="preserve">US$5.3bn PE/VC, </w:t>
      </w:r>
      <w:r w:rsidRPr="00CE751B">
        <w:rPr>
          <w:b/>
          <w:bCs/>
        </w:rPr>
        <w:t>+9% YoY</w:t>
      </w:r>
      <w:r w:rsidRPr="00CE751B">
        <w:t xml:space="preserve">, but </w:t>
      </w:r>
      <w:r w:rsidRPr="00CE751B">
        <w:rPr>
          <w:b/>
          <w:bCs/>
        </w:rPr>
        <w:t>deal count down</w:t>
      </w:r>
      <w:r w:rsidRPr="00CE751B">
        <w:t xml:space="preserve"> (102 vs 112 → fewer, larger deals).</w:t>
      </w:r>
    </w:p>
    <w:p w14:paraId="0E06F857" w14:textId="77777777" w:rsidR="00CE751B" w:rsidRPr="00CE751B" w:rsidRDefault="00CE751B" w:rsidP="00CE751B">
      <w:pPr>
        <w:pStyle w:val="ListParagraph"/>
        <w:numPr>
          <w:ilvl w:val="0"/>
          <w:numId w:val="7"/>
        </w:numPr>
      </w:pPr>
      <w:r w:rsidRPr="00CE751B">
        <w:rPr>
          <w:b/>
          <w:bCs/>
        </w:rPr>
        <w:t>Nine “large deals” = 70% of value</w:t>
      </w:r>
      <w:r w:rsidRPr="00CE751B">
        <w:t xml:space="preserve"> (US$3.7bn), including a US$1bn PIPE into a financial-services company (</w:t>
      </w:r>
      <w:proofErr w:type="spellStart"/>
      <w:r w:rsidRPr="00CE751B">
        <w:t>Sammaan</w:t>
      </w:r>
      <w:proofErr w:type="spellEnd"/>
      <w:r w:rsidRPr="00CE751B">
        <w:t xml:space="preserve"> Capital).</w:t>
      </w:r>
    </w:p>
    <w:p w14:paraId="3C71CBF1" w14:textId="77777777" w:rsidR="00CE751B" w:rsidRPr="00CE751B" w:rsidRDefault="00CE751B" w:rsidP="00CE751B">
      <w:r w:rsidRPr="00CE751B">
        <w:t>ey-ivca-pe-vc-roundup-october-2…</w:t>
      </w:r>
    </w:p>
    <w:p w14:paraId="74A9A813" w14:textId="77777777" w:rsidR="00CE751B" w:rsidRPr="00CE751B" w:rsidRDefault="00CE751B" w:rsidP="00CE751B">
      <w:r w:rsidRPr="00CE751B">
        <w:t>Strategy mix:</w:t>
      </w:r>
    </w:p>
    <w:p w14:paraId="2BA1E4B4" w14:textId="77777777" w:rsidR="00CE751B" w:rsidRPr="00CE751B" w:rsidRDefault="00CE751B" w:rsidP="00CE751B">
      <w:pPr>
        <w:pStyle w:val="ListParagraph"/>
        <w:numPr>
          <w:ilvl w:val="0"/>
          <w:numId w:val="13"/>
        </w:numPr>
      </w:pPr>
      <w:r w:rsidRPr="00CE751B">
        <w:t>PIPE is the top strategy (US$2.1bn), then start-ups (~US$2bn); credit is tiny and sharply lower YoY.</w:t>
      </w:r>
    </w:p>
    <w:p w14:paraId="7CCF9458" w14:textId="77777777" w:rsidR="00CE751B" w:rsidRPr="00CE751B" w:rsidRDefault="00CE751B" w:rsidP="00CE751B">
      <w:r w:rsidRPr="00CE751B">
        <w:t>Sector mix:</w:t>
      </w:r>
    </w:p>
    <w:p w14:paraId="427AF4B2" w14:textId="77777777" w:rsidR="00CE751B" w:rsidRPr="00CE751B" w:rsidRDefault="00CE751B" w:rsidP="00CE751B">
      <w:pPr>
        <w:pStyle w:val="ListParagraph"/>
        <w:numPr>
          <w:ilvl w:val="0"/>
          <w:numId w:val="13"/>
        </w:numPr>
      </w:pPr>
      <w:r w:rsidRPr="00CE751B">
        <w:t>Financial services alone = US$2.9bn (more than half the month’s capital).</w:t>
      </w:r>
    </w:p>
    <w:p w14:paraId="020A2CE8" w14:textId="77777777" w:rsidR="00CE751B" w:rsidRPr="00CE751B" w:rsidRDefault="00CE751B" w:rsidP="00CE751B">
      <w:pPr>
        <w:pStyle w:val="ListParagraph"/>
        <w:numPr>
          <w:ilvl w:val="0"/>
          <w:numId w:val="13"/>
        </w:numPr>
      </w:pPr>
      <w:r w:rsidRPr="00CE751B">
        <w:t>E-commerce and technology are the next sectors, but much smaller.</w:t>
      </w:r>
    </w:p>
    <w:p w14:paraId="5B696465" w14:textId="77777777" w:rsidR="00CE751B" w:rsidRPr="00CE751B" w:rsidRDefault="00CE751B" w:rsidP="00CE751B">
      <w:r w:rsidRPr="00CE751B">
        <w:t>ey-ivca-pe-vc-roundup-october-2…</w:t>
      </w:r>
    </w:p>
    <w:p w14:paraId="753D65A9" w14:textId="77777777" w:rsidR="00CE751B" w:rsidRPr="00CE751B" w:rsidRDefault="00CE751B" w:rsidP="00CE751B">
      <w:r w:rsidRPr="00CE751B">
        <w:t>Exits &amp; fundraising:</w:t>
      </w:r>
    </w:p>
    <w:p w14:paraId="4F71F59C" w14:textId="77777777" w:rsidR="00CE751B" w:rsidRPr="00CE751B" w:rsidRDefault="00CE751B" w:rsidP="00CE751B">
      <w:pPr>
        <w:pStyle w:val="ListParagraph"/>
        <w:numPr>
          <w:ilvl w:val="0"/>
          <w:numId w:val="14"/>
        </w:numPr>
      </w:pPr>
      <w:r w:rsidRPr="00CE751B">
        <w:lastRenderedPageBreak/>
        <w:t>Exits only US$640m, down 43% YoY; but 73% of exit value is public-market-driven (open market + IPO).</w:t>
      </w:r>
    </w:p>
    <w:p w14:paraId="27E643BE" w14:textId="77777777" w:rsidR="00CE751B" w:rsidRPr="00CE751B" w:rsidRDefault="00CE751B" w:rsidP="00CE751B">
      <w:pPr>
        <w:pStyle w:val="ListParagraph"/>
        <w:numPr>
          <w:ilvl w:val="0"/>
          <w:numId w:val="14"/>
        </w:numPr>
      </w:pPr>
      <w:r w:rsidRPr="00CE751B">
        <w:t>Fundraising US$1.8bn across 10 funds – a 783% jump YoY, indicating LP confidence even if monthly exits fluctuate.</w:t>
      </w:r>
    </w:p>
    <w:p w14:paraId="47C19BED" w14:textId="77777777" w:rsidR="00CE751B" w:rsidRPr="00CE751B" w:rsidRDefault="00CE751B" w:rsidP="00CE751B">
      <w:r w:rsidRPr="00CE751B">
        <w:t xml:space="preserve">Qualitative reading: in late 2025, </w:t>
      </w:r>
      <w:r w:rsidRPr="00CE751B">
        <w:rPr>
          <w:b/>
          <w:bCs/>
        </w:rPr>
        <w:t>public markets and financial services dominate the action</w:t>
      </w:r>
      <w:r w:rsidRPr="00CE751B">
        <w:t xml:space="preserve">. The market is not in a “bubble”; it’s a high-value but </w:t>
      </w:r>
      <w:r w:rsidRPr="00CE751B">
        <w:rPr>
          <w:b/>
          <w:bCs/>
        </w:rPr>
        <w:t>selective, concentrated cycle</w:t>
      </w:r>
      <w:r w:rsidRPr="00CE751B">
        <w:t>.</w:t>
      </w:r>
    </w:p>
    <w:p w14:paraId="150524BC" w14:textId="77777777" w:rsidR="00CE751B" w:rsidRPr="00CE751B" w:rsidRDefault="00CE751B" w:rsidP="00CE751B">
      <w:pPr>
        <w:rPr>
          <w:b/>
          <w:bCs/>
        </w:rPr>
      </w:pPr>
      <w:r w:rsidRPr="00CE751B">
        <w:rPr>
          <w:b/>
          <w:bCs/>
        </w:rPr>
        <w:t>6. How the pieces connect (qualitative synthesis)</w:t>
      </w:r>
    </w:p>
    <w:p w14:paraId="015EEF35" w14:textId="77777777" w:rsidR="00CE751B" w:rsidRPr="00CE751B" w:rsidRDefault="00CE751B" w:rsidP="00CE751B">
      <w:r w:rsidRPr="00CE751B">
        <w:t>Putting it all together:</w:t>
      </w:r>
    </w:p>
    <w:p w14:paraId="320B6C7E" w14:textId="77777777" w:rsidR="00CE751B" w:rsidRPr="00CE751B" w:rsidRDefault="00CE751B" w:rsidP="00CE751B">
      <w:r w:rsidRPr="00CE751B">
        <w:t>Macro foundation</w:t>
      </w:r>
    </w:p>
    <w:p w14:paraId="7B4DE601" w14:textId="77777777" w:rsidR="00CE751B" w:rsidRPr="00CE751B" w:rsidRDefault="00CE751B" w:rsidP="00CE751B">
      <w:pPr>
        <w:pStyle w:val="ListParagraph"/>
        <w:numPr>
          <w:ilvl w:val="0"/>
          <w:numId w:val="15"/>
        </w:numPr>
      </w:pPr>
      <w:r w:rsidRPr="00CE751B">
        <w:t>India has built a large, diversified base of FDI across services, tech, infra, and manufacturing. That base both signals confidence and creates the assets PE/VC can buy into or partner with.</w:t>
      </w:r>
    </w:p>
    <w:p w14:paraId="767D9D99" w14:textId="77777777" w:rsidR="00CE751B" w:rsidRPr="00CE751B" w:rsidRDefault="00CE751B" w:rsidP="00CE751B">
      <w:r w:rsidRPr="00CE751B">
        <w:t>PE/VC maturation</w:t>
      </w:r>
    </w:p>
    <w:p w14:paraId="4C13E819" w14:textId="77777777" w:rsidR="00CE751B" w:rsidRPr="00CE751B" w:rsidRDefault="00CE751B" w:rsidP="00CE751B">
      <w:pPr>
        <w:pStyle w:val="ListParagraph"/>
        <w:numPr>
          <w:ilvl w:val="0"/>
          <w:numId w:val="15"/>
        </w:numPr>
      </w:pPr>
      <w:r w:rsidRPr="00CE751B">
        <w:t>Early years: opportunistic, small, and volatile.</w:t>
      </w:r>
    </w:p>
    <w:p w14:paraId="32BBE81E" w14:textId="77777777" w:rsidR="00CE751B" w:rsidRPr="00CE751B" w:rsidRDefault="00CE751B" w:rsidP="00CE751B">
      <w:pPr>
        <w:pStyle w:val="ListParagraph"/>
        <w:numPr>
          <w:ilvl w:val="0"/>
          <w:numId w:val="15"/>
        </w:numPr>
      </w:pPr>
      <w:r w:rsidRPr="00CE751B">
        <w:t>2010s to 2021: hyper-growth, culminating in a 2021 spike near US$70bn in deals.</w:t>
      </w:r>
    </w:p>
    <w:p w14:paraId="6DC482FD" w14:textId="77777777" w:rsidR="00CE751B" w:rsidRPr="00CE751B" w:rsidRDefault="00CE751B" w:rsidP="00CE751B">
      <w:r w:rsidRPr="00CE751B">
        <w:t>jrfm-16-00475</w:t>
      </w:r>
    </w:p>
    <w:p w14:paraId="26E217AD" w14:textId="77777777" w:rsidR="00CE751B" w:rsidRPr="00CE751B" w:rsidRDefault="00CE751B" w:rsidP="00CE751B">
      <w:pPr>
        <w:pStyle w:val="ListParagraph"/>
        <w:numPr>
          <w:ilvl w:val="0"/>
          <w:numId w:val="16"/>
        </w:numPr>
      </w:pPr>
      <w:r w:rsidRPr="00CE751B">
        <w:t>Post-2021: correction, then re-equilibration around ~US$40–45bn, with greater emphasis on buyouts, operating value-creation, and public-market exits.</w:t>
      </w:r>
    </w:p>
    <w:p w14:paraId="4AB313C0" w14:textId="77777777" w:rsidR="00CE751B" w:rsidRPr="00CE751B" w:rsidRDefault="00CE751B" w:rsidP="00CE751B">
      <w:r w:rsidRPr="00CE751B">
        <w:t>Role of domestic expertise</w:t>
      </w:r>
    </w:p>
    <w:p w14:paraId="530986AA" w14:textId="77777777" w:rsidR="00CE751B" w:rsidRPr="00CE751B" w:rsidRDefault="00CE751B" w:rsidP="00CE751B">
      <w:pPr>
        <w:pStyle w:val="ListParagraph"/>
        <w:numPr>
          <w:ilvl w:val="0"/>
          <w:numId w:val="16"/>
        </w:numPr>
      </w:pPr>
      <w:r w:rsidRPr="00CE751B">
        <w:t>India-focused funds outperform foreign funds, suggesting that local knowledge, networks, and regulatory familiarity now matter more than just global capital.</w:t>
      </w:r>
    </w:p>
    <w:p w14:paraId="2F800066" w14:textId="77777777" w:rsidR="00CE751B" w:rsidRPr="00CE751B" w:rsidRDefault="00CE751B" w:rsidP="00CE751B">
      <w:r w:rsidRPr="00CE751B">
        <w:t>jrfm-16-00475</w:t>
      </w:r>
    </w:p>
    <w:p w14:paraId="5C9C1E52" w14:textId="77777777" w:rsidR="00CE751B" w:rsidRPr="00CE751B" w:rsidRDefault="00CE751B" w:rsidP="00CE751B">
      <w:r w:rsidRPr="00CE751B">
        <w:t>The fintech example</w:t>
      </w:r>
    </w:p>
    <w:p w14:paraId="6C4424C0" w14:textId="77777777" w:rsidR="00CE751B" w:rsidRPr="00CE751B" w:rsidRDefault="00CE751B" w:rsidP="00CE751B">
      <w:pPr>
        <w:pStyle w:val="ListParagraph"/>
        <w:numPr>
          <w:ilvl w:val="0"/>
          <w:numId w:val="16"/>
        </w:numPr>
      </w:pPr>
      <w:r w:rsidRPr="00CE751B">
        <w:t>Fintech shows how India attracts high-risk, high-valuation capital at early stages, but realized returns depend on sector choice and disciplined pricing. It also shows that M&amp;A is a key monetization route, not just IPOs.</w:t>
      </w:r>
    </w:p>
    <w:p w14:paraId="0D42C859" w14:textId="77777777" w:rsidR="00CE751B" w:rsidRPr="00CE751B" w:rsidRDefault="00CE751B" w:rsidP="00CE751B">
      <w:r w:rsidRPr="00CE751B">
        <w:t>Exit reality vs myth</w:t>
      </w:r>
    </w:p>
    <w:p w14:paraId="560CB5B4" w14:textId="77777777" w:rsidR="00CE751B" w:rsidRPr="00CE751B" w:rsidRDefault="00CE751B" w:rsidP="00CE751B">
      <w:pPr>
        <w:pStyle w:val="ListParagraph"/>
        <w:numPr>
          <w:ilvl w:val="0"/>
          <w:numId w:val="16"/>
        </w:numPr>
      </w:pPr>
      <w:r w:rsidRPr="00CE751B">
        <w:lastRenderedPageBreak/>
        <w:t>Empirically, no exit route (IPO vs strategic vs secondary vs buyback) is systematically superior on CAGR terms; all can work if timing and value creation are right. That challenges the common narrative that IPOs are “the best”.</w:t>
      </w:r>
    </w:p>
    <w:p w14:paraId="40A39D25" w14:textId="77777777" w:rsidR="00CE751B" w:rsidRPr="00CE751B" w:rsidRDefault="00CE751B" w:rsidP="00CE751B">
      <w:r w:rsidRPr="00CE751B">
        <w:t>jrfm-16-00475</w:t>
      </w:r>
    </w:p>
    <w:p w14:paraId="5FD07DB7" w14:textId="77777777" w:rsidR="00CE751B" w:rsidRPr="00CE751B" w:rsidRDefault="00CE751B" w:rsidP="00CE751B">
      <w:r w:rsidRPr="00CE751B">
        <w:t>Current phase (2024–2025)</w:t>
      </w:r>
    </w:p>
    <w:p w14:paraId="5C73B730" w14:textId="77777777" w:rsidR="00CE751B" w:rsidRPr="00CE751B" w:rsidRDefault="00CE751B" w:rsidP="00CE751B">
      <w:r w:rsidRPr="00CE751B">
        <w:t>The system is in a phase of “disciplined optimism”:</w:t>
      </w:r>
    </w:p>
    <w:p w14:paraId="5E4780E1" w14:textId="77777777" w:rsidR="00CE751B" w:rsidRPr="00CE751B" w:rsidRDefault="00CE751B" w:rsidP="00CE751B">
      <w:pPr>
        <w:pStyle w:val="ListParagraph"/>
        <w:numPr>
          <w:ilvl w:val="0"/>
          <w:numId w:val="16"/>
        </w:numPr>
      </w:pPr>
      <w:r w:rsidRPr="00CE751B">
        <w:t>Macro conditions and FDI are strong.</w:t>
      </w:r>
    </w:p>
    <w:p w14:paraId="78282CC6" w14:textId="77777777" w:rsidR="00CE751B" w:rsidRPr="00CE751B" w:rsidRDefault="00CE751B" w:rsidP="00CE751B">
      <w:pPr>
        <w:pStyle w:val="ListParagraph"/>
        <w:numPr>
          <w:ilvl w:val="0"/>
          <w:numId w:val="16"/>
        </w:numPr>
      </w:pPr>
      <w:r w:rsidRPr="00CE751B">
        <w:t>PE/VC is active but more selective.</w:t>
      </w:r>
    </w:p>
    <w:p w14:paraId="384A9D7E" w14:textId="77777777" w:rsidR="00CE751B" w:rsidRPr="00CE751B" w:rsidRDefault="00CE751B" w:rsidP="00CE751B">
      <w:pPr>
        <w:pStyle w:val="ListParagraph"/>
        <w:numPr>
          <w:ilvl w:val="0"/>
          <w:numId w:val="16"/>
        </w:numPr>
      </w:pPr>
      <w:r w:rsidRPr="00CE751B">
        <w:t>Public markets are central for exits and PIPE deals.</w:t>
      </w:r>
    </w:p>
    <w:p w14:paraId="2188C477" w14:textId="77777777" w:rsidR="00CE751B" w:rsidRPr="00CE751B" w:rsidRDefault="00CE751B" w:rsidP="00CE751B">
      <w:pPr>
        <w:pStyle w:val="ListParagraph"/>
        <w:numPr>
          <w:ilvl w:val="0"/>
          <w:numId w:val="16"/>
        </w:numPr>
      </w:pPr>
      <w:r w:rsidRPr="00CE751B">
        <w:t>Sector focus is FS, infra/real estate, healthcare, IT/</w:t>
      </w:r>
      <w:proofErr w:type="spellStart"/>
      <w:r w:rsidRPr="00CE751B">
        <w:t>ITeS</w:t>
      </w:r>
      <w:proofErr w:type="spellEnd"/>
      <w:r w:rsidRPr="00CE751B">
        <w:t>, with consumer/retail expected to recover as domestic demand improves.</w:t>
      </w:r>
    </w:p>
    <w:p w14:paraId="526EBB57" w14:textId="77777777" w:rsidR="00C849E5" w:rsidRDefault="00C849E5"/>
    <w:sectPr w:rsidR="00C84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3FD"/>
    <w:multiLevelType w:val="multilevel"/>
    <w:tmpl w:val="121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4B04"/>
    <w:multiLevelType w:val="multilevel"/>
    <w:tmpl w:val="96E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F0EEE"/>
    <w:multiLevelType w:val="multilevel"/>
    <w:tmpl w:val="3F1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82F7B"/>
    <w:multiLevelType w:val="multilevel"/>
    <w:tmpl w:val="96E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53092"/>
    <w:multiLevelType w:val="multilevel"/>
    <w:tmpl w:val="3EFA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C0F11"/>
    <w:multiLevelType w:val="multilevel"/>
    <w:tmpl w:val="3F1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124F7"/>
    <w:multiLevelType w:val="multilevel"/>
    <w:tmpl w:val="3F1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B3219"/>
    <w:multiLevelType w:val="multilevel"/>
    <w:tmpl w:val="435E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44291"/>
    <w:multiLevelType w:val="multilevel"/>
    <w:tmpl w:val="113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43DAD"/>
    <w:multiLevelType w:val="multilevel"/>
    <w:tmpl w:val="96E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B406A"/>
    <w:multiLevelType w:val="multilevel"/>
    <w:tmpl w:val="96E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C07B4"/>
    <w:multiLevelType w:val="multilevel"/>
    <w:tmpl w:val="3F1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179E3"/>
    <w:multiLevelType w:val="multilevel"/>
    <w:tmpl w:val="B08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A0CBC"/>
    <w:multiLevelType w:val="multilevel"/>
    <w:tmpl w:val="6DE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D4FE0"/>
    <w:multiLevelType w:val="multilevel"/>
    <w:tmpl w:val="113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F37E6"/>
    <w:multiLevelType w:val="multilevel"/>
    <w:tmpl w:val="96E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701704">
    <w:abstractNumId w:val="7"/>
  </w:num>
  <w:num w:numId="2" w16cid:durableId="776483372">
    <w:abstractNumId w:val="12"/>
  </w:num>
  <w:num w:numId="3" w16cid:durableId="104622261">
    <w:abstractNumId w:val="13"/>
  </w:num>
  <w:num w:numId="4" w16cid:durableId="1563904331">
    <w:abstractNumId w:val="5"/>
  </w:num>
  <w:num w:numId="5" w16cid:durableId="216208607">
    <w:abstractNumId w:val="0"/>
  </w:num>
  <w:num w:numId="6" w16cid:durableId="1320033429">
    <w:abstractNumId w:val="8"/>
  </w:num>
  <w:num w:numId="7" w16cid:durableId="312831654">
    <w:abstractNumId w:val="3"/>
  </w:num>
  <w:num w:numId="8" w16cid:durableId="1953246525">
    <w:abstractNumId w:val="4"/>
  </w:num>
  <w:num w:numId="9" w16cid:durableId="243075396">
    <w:abstractNumId w:val="2"/>
  </w:num>
  <w:num w:numId="10" w16cid:durableId="634532262">
    <w:abstractNumId w:val="11"/>
  </w:num>
  <w:num w:numId="11" w16cid:durableId="239750321">
    <w:abstractNumId w:val="6"/>
  </w:num>
  <w:num w:numId="12" w16cid:durableId="2014448726">
    <w:abstractNumId w:val="14"/>
  </w:num>
  <w:num w:numId="13" w16cid:durableId="2004966925">
    <w:abstractNumId w:val="9"/>
  </w:num>
  <w:num w:numId="14" w16cid:durableId="349532927">
    <w:abstractNumId w:val="15"/>
  </w:num>
  <w:num w:numId="15" w16cid:durableId="1236629518">
    <w:abstractNumId w:val="1"/>
  </w:num>
  <w:num w:numId="16" w16cid:durableId="19961075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11"/>
    <w:rsid w:val="00144911"/>
    <w:rsid w:val="00295D91"/>
    <w:rsid w:val="008553A1"/>
    <w:rsid w:val="00C849E5"/>
    <w:rsid w:val="00CE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8B28"/>
  <w15:chartTrackingRefBased/>
  <w15:docId w15:val="{8F2A6F1F-8B77-4DA1-958B-F9E44E84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1349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2025-12-08T11:23:00Z</dcterms:created>
  <dcterms:modified xsi:type="dcterms:W3CDTF">2025-12-08T11:29:00Z</dcterms:modified>
</cp:coreProperties>
</file>