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rPr>
          <w:sz w:val="20"/>
        </w:rPr>
      </w:pPr>
    </w:p>
    <w:p>
      <w:pPr>
        <w:pStyle w:val="BodyText"/>
        <w:spacing w:before="121"/>
        <w:rPr>
          <w:sz w:val="20"/>
        </w:rPr>
      </w:pPr>
    </w:p>
    <w:p>
      <w:pPr>
        <w:pStyle w:val="BodyText"/>
        <w:ind w:left="3420"/>
        <w:rPr>
          <w:sz w:val="20"/>
        </w:rPr>
      </w:pPr>
      <w:r>
        <w:rPr>
          <w:sz w:val="20"/>
        </w:rPr>
        <w:drawing>
          <wp:inline distT="0" distB="0" distL="0" distR="0">
            <wp:extent cx="1431786" cy="75857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31786" cy="758571"/>
                    </a:xfrm>
                    <a:prstGeom prst="rect">
                      <a:avLst/>
                    </a:prstGeom>
                  </pic:spPr>
                </pic:pic>
              </a:graphicData>
            </a:graphic>
          </wp:inline>
        </w:drawing>
      </w:r>
      <w:r>
        <w:rPr>
          <w:sz w:val="20"/>
        </w:rPr>
      </w:r>
    </w:p>
    <w:p>
      <w:pPr>
        <w:pStyle w:val="Title"/>
        <w:spacing w:before="364"/>
      </w:pPr>
      <w:r>
        <w:rPr/>
        <mc:AlternateContent>
          <mc:Choice Requires="wps">
            <w:drawing>
              <wp:anchor distT="0" distB="0" distL="0" distR="0" allowOverlap="1" layoutInCell="1" locked="0" behindDoc="0" simplePos="0" relativeHeight="15729152">
                <wp:simplePos x="0" y="0"/>
                <wp:positionH relativeFrom="page">
                  <wp:posOffset>896416</wp:posOffset>
                </wp:positionH>
                <wp:positionV relativeFrom="paragraph">
                  <wp:posOffset>144145</wp:posOffset>
                </wp:positionV>
                <wp:extent cx="5769610"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769610" cy="9525"/>
                        </a:xfrm>
                        <a:custGeom>
                          <a:avLst/>
                          <a:gdLst/>
                          <a:ahLst/>
                          <a:cxnLst/>
                          <a:rect l="l" t="t" r="r" b="b"/>
                          <a:pathLst>
                            <a:path w="5769610" h="9525">
                              <a:moveTo>
                                <a:pt x="5769610" y="0"/>
                              </a:moveTo>
                              <a:lnTo>
                                <a:pt x="0" y="0"/>
                              </a:lnTo>
                              <a:lnTo>
                                <a:pt x="0" y="9144"/>
                              </a:lnTo>
                              <a:lnTo>
                                <a:pt x="5769610" y="9144"/>
                              </a:lnTo>
                              <a:lnTo>
                                <a:pt x="5769610"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11.35pt;width:454.3pt;height:.72pt;mso-position-horizontal-relative:page;mso-position-vertical-relative:paragraph;z-index:15729152" id="docshape1" filled="true" fillcolor="#4471c4" stroked="false">
                <v:fill type="solid"/>
                <w10:wrap type="none"/>
              </v:rect>
            </w:pict>
          </mc:Fallback>
        </mc:AlternateContent>
      </w:r>
      <w:r>
        <w:rPr/>
        <w:t>INDIA’S</w:t>
      </w:r>
      <w:r>
        <w:rPr>
          <w:spacing w:val="-26"/>
        </w:rPr>
        <w:t> </w:t>
      </w:r>
      <w:r>
        <w:rPr/>
        <w:t>PRIVATE</w:t>
      </w:r>
      <w:r>
        <w:rPr>
          <w:spacing w:val="-27"/>
        </w:rPr>
        <w:t> </w:t>
      </w:r>
      <w:r>
        <w:rPr>
          <w:spacing w:val="-2"/>
        </w:rPr>
        <w:t>EQUITY</w:t>
      </w:r>
    </w:p>
    <w:p>
      <w:pPr>
        <w:pStyle w:val="Title"/>
        <w:ind w:left="4" w:right="4"/>
      </w:pPr>
      <w:r>
        <w:rPr/>
        <mc:AlternateContent>
          <mc:Choice Requires="wps">
            <w:drawing>
              <wp:anchor distT="0" distB="0" distL="0" distR="0" allowOverlap="1" layoutInCell="1" locked="0" behindDoc="0" simplePos="0" relativeHeight="15729664">
                <wp:simplePos x="0" y="0"/>
                <wp:positionH relativeFrom="page">
                  <wp:posOffset>896416</wp:posOffset>
                </wp:positionH>
                <wp:positionV relativeFrom="paragraph">
                  <wp:posOffset>894368</wp:posOffset>
                </wp:positionV>
                <wp:extent cx="5769610"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69610" cy="9525"/>
                        </a:xfrm>
                        <a:custGeom>
                          <a:avLst/>
                          <a:gdLst/>
                          <a:ahLst/>
                          <a:cxnLst/>
                          <a:rect l="l" t="t" r="r" b="b"/>
                          <a:pathLst>
                            <a:path w="5769610" h="9525">
                              <a:moveTo>
                                <a:pt x="5769610" y="0"/>
                              </a:moveTo>
                              <a:lnTo>
                                <a:pt x="0" y="0"/>
                              </a:lnTo>
                              <a:lnTo>
                                <a:pt x="0" y="9144"/>
                              </a:lnTo>
                              <a:lnTo>
                                <a:pt x="5769610" y="9144"/>
                              </a:lnTo>
                              <a:lnTo>
                                <a:pt x="5769610"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0.422737pt;width:454.3pt;height:.72pt;mso-position-horizontal-relative:page;mso-position-vertical-relative:paragraph;z-index:15729664" id="docshape2" filled="true" fillcolor="#4471c4" stroked="false">
                <v:fill type="solid"/>
                <w10:wrap type="none"/>
              </v:rect>
            </w:pict>
          </mc:Fallback>
        </mc:AlternateContent>
      </w:r>
      <w:r>
        <w:rPr>
          <w:spacing w:val="-2"/>
        </w:rPr>
        <w:t>MARKET</w:t>
      </w:r>
    </w:p>
    <w:p>
      <w:pPr>
        <w:pStyle w:val="BodyText"/>
        <w:rPr>
          <w:sz w:val="20"/>
        </w:rPr>
      </w:pPr>
    </w:p>
    <w:p>
      <w:pPr>
        <w:pStyle w:val="BodyText"/>
        <w:rPr>
          <w:sz w:val="20"/>
        </w:rPr>
      </w:pPr>
    </w:p>
    <w:p>
      <w:pPr>
        <w:pStyle w:val="BodyText"/>
        <w:spacing w:before="218"/>
        <w:rPr>
          <w:sz w:val="20"/>
        </w:rPr>
      </w:pPr>
      <w:r>
        <w:rPr>
          <w:sz w:val="20"/>
        </w:rPr>
        <w:drawing>
          <wp:anchor distT="0" distB="0" distL="0" distR="0" allowOverlap="1" layoutInCell="1" locked="0" behindDoc="1" simplePos="0" relativeHeight="487587840">
            <wp:simplePos x="0" y="0"/>
            <wp:positionH relativeFrom="page">
              <wp:posOffset>3399154</wp:posOffset>
            </wp:positionH>
            <wp:positionV relativeFrom="paragraph">
              <wp:posOffset>300322</wp:posOffset>
            </wp:positionV>
            <wp:extent cx="763754" cy="48196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763754" cy="481964"/>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2"/>
      </w:pPr>
    </w:p>
    <w:p>
      <w:pPr>
        <w:spacing w:line="499" w:lineRule="auto" w:before="0"/>
        <w:ind w:left="3392" w:right="3397" w:firstLine="0"/>
        <w:jc w:val="center"/>
        <w:rPr>
          <w:b/>
          <w:sz w:val="24"/>
        </w:rPr>
      </w:pPr>
      <w:r>
        <w:rPr>
          <w:b/>
          <w:sz w:val="24"/>
        </w:rPr>
        <w:t>Student</w:t>
      </w:r>
      <w:r>
        <w:rPr>
          <w:b/>
          <w:spacing w:val="-15"/>
          <w:sz w:val="24"/>
        </w:rPr>
        <w:t> </w:t>
      </w:r>
      <w:r>
        <w:rPr>
          <w:b/>
          <w:sz w:val="24"/>
        </w:rPr>
        <w:t>Name: Student ID:</w:t>
      </w:r>
    </w:p>
    <w:p>
      <w:pPr>
        <w:spacing w:after="0" w:line="499" w:lineRule="auto"/>
        <w:jc w:val="center"/>
        <w:rPr>
          <w:b/>
          <w:sz w:val="24"/>
        </w:rPr>
        <w:sectPr>
          <w:type w:val="continuous"/>
          <w:pgSz w:w="11910" w:h="16840"/>
          <w:pgMar w:top="1920" w:bottom="280" w:left="1417" w:right="1417"/>
        </w:sectPr>
      </w:pPr>
    </w:p>
    <w:p>
      <w:pPr>
        <w:spacing w:before="63"/>
        <w:ind w:left="23" w:right="0" w:firstLine="0"/>
        <w:jc w:val="left"/>
        <w:rPr>
          <w:b/>
          <w:sz w:val="24"/>
        </w:rPr>
      </w:pPr>
      <w:r>
        <w:rPr>
          <w:b/>
          <w:sz w:val="24"/>
        </w:rPr>
        <w:t>TABLE OF </w:t>
      </w:r>
      <w:r>
        <w:rPr>
          <w:b/>
          <w:spacing w:val="-2"/>
          <w:sz w:val="24"/>
        </w:rPr>
        <w:t>CONTENTS</w:t>
      </w:r>
    </w:p>
    <w:p>
      <w:pPr>
        <w:spacing w:after="0"/>
        <w:jc w:val="left"/>
        <w:rPr>
          <w:b/>
          <w:sz w:val="24"/>
        </w:rPr>
        <w:sectPr>
          <w:footerReference w:type="default" r:id="rId7"/>
          <w:pgSz w:w="11910" w:h="16840"/>
          <w:pgMar w:header="0" w:footer="1526" w:top="1360" w:bottom="1737" w:left="1417" w:right="1417"/>
          <w:pgNumType w:start="1"/>
        </w:sectPr>
      </w:pPr>
    </w:p>
    <w:sdt>
      <w:sdtPr>
        <w:docPartObj>
          <w:docPartGallery w:val="Table of Contents"/>
          <w:docPartUnique/>
        </w:docPartObj>
      </w:sdtPr>
      <w:sdtEndPr/>
      <w:sdtContent>
        <w:p>
          <w:pPr>
            <w:pStyle w:val="TOC1"/>
            <w:numPr>
              <w:ilvl w:val="0"/>
              <w:numId w:val="1"/>
            </w:numPr>
            <w:tabs>
              <w:tab w:pos="263" w:val="left" w:leader="none"/>
              <w:tab w:pos="9041" w:val="right" w:leader="dot"/>
            </w:tabs>
            <w:spacing w:line="240" w:lineRule="auto" w:before="135" w:after="0"/>
            <w:ind w:left="263" w:right="0" w:hanging="240"/>
            <w:jc w:val="left"/>
          </w:pPr>
          <w:r>
            <w:fldChar w:fldCharType="begin"/>
          </w:r>
          <w:r>
            <w:instrText>TOC \o "1-3" \h \z \u </w:instrText>
          </w:r>
          <w:r>
            <w:fldChar w:fldCharType="separate"/>
          </w:r>
          <w:hyperlink w:history="true" w:anchor="_bookmark0">
            <w:r>
              <w:rPr>
                <w:spacing w:val="-2"/>
              </w:rPr>
              <w:t>Introduction</w:t>
            </w:r>
            <w:r>
              <w:rPr/>
              <w:tab/>
            </w:r>
            <w:r>
              <w:rPr>
                <w:spacing w:val="-10"/>
              </w:rPr>
              <w:t>4</w:t>
            </w:r>
          </w:hyperlink>
        </w:p>
        <w:p>
          <w:pPr>
            <w:pStyle w:val="TOC2"/>
            <w:numPr>
              <w:ilvl w:val="1"/>
              <w:numId w:val="1"/>
            </w:numPr>
            <w:tabs>
              <w:tab w:pos="623" w:val="left" w:leader="none"/>
              <w:tab w:pos="9041" w:val="right" w:leader="dot"/>
            </w:tabs>
            <w:spacing w:line="240" w:lineRule="auto" w:before="240" w:after="0"/>
            <w:ind w:left="623" w:right="0" w:hanging="360"/>
            <w:jc w:val="left"/>
          </w:pPr>
          <w:hyperlink w:history="true" w:anchor="_bookmark1">
            <w:r>
              <w:rPr/>
              <w:t>Background</w:t>
            </w:r>
            <w:r>
              <w:rPr>
                <w:spacing w:val="-4"/>
              </w:rPr>
              <w:t> </w:t>
            </w:r>
            <w:r>
              <w:rPr/>
              <w:t>and</w:t>
            </w:r>
            <w:r>
              <w:rPr>
                <w:spacing w:val="-2"/>
              </w:rPr>
              <w:t> Context</w:t>
            </w:r>
            <w:r>
              <w:rPr/>
              <w:tab/>
            </w:r>
            <w:r>
              <w:rPr>
                <w:spacing w:val="-10"/>
              </w:rPr>
              <w:t>4</w:t>
            </w:r>
          </w:hyperlink>
        </w:p>
        <w:p>
          <w:pPr>
            <w:pStyle w:val="TOC2"/>
            <w:numPr>
              <w:ilvl w:val="1"/>
              <w:numId w:val="1"/>
            </w:numPr>
            <w:tabs>
              <w:tab w:pos="623" w:val="left" w:leader="none"/>
              <w:tab w:pos="9041" w:val="right" w:leader="dot"/>
            </w:tabs>
            <w:spacing w:line="240" w:lineRule="auto" w:before="237" w:after="0"/>
            <w:ind w:left="623" w:right="0" w:hanging="360"/>
            <w:jc w:val="left"/>
          </w:pPr>
          <w:hyperlink w:history="true" w:anchor="_bookmark2">
            <w:r>
              <w:rPr/>
              <w:t>Research</w:t>
            </w:r>
            <w:r>
              <w:rPr>
                <w:spacing w:val="-3"/>
              </w:rPr>
              <w:t> </w:t>
            </w:r>
            <w:r>
              <w:rPr>
                <w:spacing w:val="-2"/>
              </w:rPr>
              <w:t>Objectives</w:t>
            </w:r>
            <w:r>
              <w:rPr/>
              <w:tab/>
            </w:r>
            <w:r>
              <w:rPr>
                <w:spacing w:val="-12"/>
              </w:rPr>
              <w:t>5</w:t>
            </w:r>
          </w:hyperlink>
        </w:p>
        <w:p>
          <w:pPr>
            <w:pStyle w:val="TOC2"/>
            <w:numPr>
              <w:ilvl w:val="1"/>
              <w:numId w:val="1"/>
            </w:numPr>
            <w:tabs>
              <w:tab w:pos="623" w:val="left" w:leader="none"/>
              <w:tab w:pos="9041" w:val="right" w:leader="dot"/>
            </w:tabs>
            <w:spacing w:line="240" w:lineRule="auto" w:before="238" w:after="0"/>
            <w:ind w:left="623" w:right="0" w:hanging="360"/>
            <w:jc w:val="left"/>
          </w:pPr>
          <w:hyperlink w:history="true" w:anchor="_bookmark3">
            <w:r>
              <w:rPr/>
              <w:t>Significance</w:t>
            </w:r>
            <w:r>
              <w:rPr>
                <w:spacing w:val="-3"/>
              </w:rPr>
              <w:t> </w:t>
            </w:r>
            <w:r>
              <w:rPr/>
              <w:t>of</w:t>
            </w:r>
            <w:r>
              <w:rPr>
                <w:spacing w:val="-1"/>
              </w:rPr>
              <w:t> </w:t>
            </w:r>
            <w:r>
              <w:rPr/>
              <w:t>the</w:t>
            </w:r>
            <w:r>
              <w:rPr>
                <w:spacing w:val="-3"/>
              </w:rPr>
              <w:t> </w:t>
            </w:r>
            <w:r>
              <w:rPr>
                <w:spacing w:val="-4"/>
              </w:rPr>
              <w:t>Study</w:t>
            </w:r>
            <w:r>
              <w:rPr/>
              <w:tab/>
            </w:r>
            <w:r>
              <w:rPr>
                <w:spacing w:val="-10"/>
              </w:rPr>
              <w:t>6</w:t>
            </w:r>
          </w:hyperlink>
        </w:p>
        <w:p>
          <w:pPr>
            <w:pStyle w:val="TOC1"/>
            <w:numPr>
              <w:ilvl w:val="0"/>
              <w:numId w:val="1"/>
            </w:numPr>
            <w:tabs>
              <w:tab w:pos="258" w:val="left" w:leader="none"/>
              <w:tab w:pos="9041" w:val="right" w:leader="dot"/>
            </w:tabs>
            <w:spacing w:line="240" w:lineRule="auto" w:before="238" w:after="0"/>
            <w:ind w:left="258" w:right="0" w:hanging="235"/>
            <w:jc w:val="left"/>
          </w:pPr>
          <w:hyperlink w:history="true" w:anchor="_bookmark4">
            <w:r>
              <w:rPr/>
              <w:t>Theoretical</w:t>
            </w:r>
            <w:r>
              <w:rPr>
                <w:spacing w:val="-4"/>
              </w:rPr>
              <w:t> </w:t>
            </w:r>
            <w:r>
              <w:rPr/>
              <w:t>Background</w:t>
            </w:r>
            <w:r>
              <w:rPr>
                <w:spacing w:val="-3"/>
              </w:rPr>
              <w:t> </w:t>
            </w:r>
            <w:r>
              <w:rPr/>
              <w:t>and</w:t>
            </w:r>
            <w:r>
              <w:rPr>
                <w:spacing w:val="-2"/>
              </w:rPr>
              <w:t> </w:t>
            </w:r>
            <w:r>
              <w:rPr/>
              <w:t>Literature</w:t>
            </w:r>
            <w:r>
              <w:rPr>
                <w:spacing w:val="-2"/>
              </w:rPr>
              <w:t> Review</w:t>
            </w:r>
            <w:r>
              <w:rPr/>
              <w:tab/>
            </w:r>
            <w:r>
              <w:rPr>
                <w:spacing w:val="-10"/>
              </w:rPr>
              <w:t>7</w:t>
            </w:r>
          </w:hyperlink>
        </w:p>
        <w:p>
          <w:pPr>
            <w:pStyle w:val="TOC2"/>
            <w:numPr>
              <w:ilvl w:val="1"/>
              <w:numId w:val="1"/>
            </w:numPr>
            <w:tabs>
              <w:tab w:pos="623" w:val="left" w:leader="none"/>
              <w:tab w:pos="9041" w:val="right" w:leader="dot"/>
            </w:tabs>
            <w:spacing w:line="240" w:lineRule="auto" w:before="238" w:after="0"/>
            <w:ind w:left="623" w:right="0" w:hanging="360"/>
            <w:jc w:val="left"/>
          </w:pPr>
          <w:hyperlink w:history="true" w:anchor="_bookmark5">
            <w:r>
              <w:rPr>
                <w:spacing w:val="-2"/>
              </w:rPr>
              <w:t>Introduction</w:t>
            </w:r>
            <w:r>
              <w:rPr/>
              <w:tab/>
            </w:r>
            <w:r>
              <w:rPr>
                <w:spacing w:val="-10"/>
              </w:rPr>
              <w:t>7</w:t>
            </w:r>
          </w:hyperlink>
        </w:p>
        <w:p>
          <w:pPr>
            <w:pStyle w:val="TOC2"/>
            <w:numPr>
              <w:ilvl w:val="1"/>
              <w:numId w:val="1"/>
            </w:numPr>
            <w:tabs>
              <w:tab w:pos="623" w:val="left" w:leader="none"/>
              <w:tab w:pos="9041" w:val="right" w:leader="dot"/>
            </w:tabs>
            <w:spacing w:line="240" w:lineRule="auto" w:before="237" w:after="0"/>
            <w:ind w:left="623" w:right="0" w:hanging="360"/>
            <w:jc w:val="left"/>
          </w:pPr>
          <w:hyperlink w:history="true" w:anchor="_bookmark6">
            <w:r>
              <w:rPr/>
              <w:t>Evolution</w:t>
            </w:r>
            <w:r>
              <w:rPr>
                <w:spacing w:val="-1"/>
              </w:rPr>
              <w:t> </w:t>
            </w:r>
            <w:r>
              <w:rPr/>
              <w:t>of</w:t>
            </w:r>
            <w:r>
              <w:rPr>
                <w:spacing w:val="-1"/>
              </w:rPr>
              <w:t> </w:t>
            </w:r>
            <w:r>
              <w:rPr/>
              <w:t>the</w:t>
            </w:r>
            <w:r>
              <w:rPr>
                <w:spacing w:val="-2"/>
              </w:rPr>
              <w:t> </w:t>
            </w:r>
            <w:r>
              <w:rPr/>
              <w:t>Legal </w:t>
            </w:r>
            <w:r>
              <w:rPr>
                <w:spacing w:val="-2"/>
              </w:rPr>
              <w:t>Framework</w:t>
            </w:r>
            <w:r>
              <w:rPr/>
              <w:tab/>
            </w:r>
            <w:r>
              <w:rPr>
                <w:spacing w:val="-10"/>
              </w:rPr>
              <w:t>7</w:t>
            </w:r>
          </w:hyperlink>
        </w:p>
        <w:p>
          <w:pPr>
            <w:pStyle w:val="TOC2"/>
            <w:numPr>
              <w:ilvl w:val="1"/>
              <w:numId w:val="1"/>
            </w:numPr>
            <w:tabs>
              <w:tab w:pos="618" w:val="left" w:leader="none"/>
              <w:tab w:pos="9041" w:val="right" w:leader="dot"/>
            </w:tabs>
            <w:spacing w:line="240" w:lineRule="auto" w:before="240" w:after="0"/>
            <w:ind w:left="618" w:right="0" w:hanging="355"/>
            <w:jc w:val="left"/>
          </w:pPr>
          <w:hyperlink w:history="true" w:anchor="_bookmark7">
            <w:r>
              <w:rPr/>
              <w:t>Theoretical</w:t>
            </w:r>
            <w:r>
              <w:rPr>
                <w:spacing w:val="-4"/>
              </w:rPr>
              <w:t> </w:t>
            </w:r>
            <w:r>
              <w:rPr>
                <w:spacing w:val="-2"/>
              </w:rPr>
              <w:t>Background</w:t>
            </w:r>
            <w:r>
              <w:rPr/>
              <w:tab/>
            </w:r>
            <w:r>
              <w:rPr>
                <w:spacing w:val="-10"/>
              </w:rPr>
              <w:t>8</w:t>
            </w:r>
          </w:hyperlink>
        </w:p>
        <w:p>
          <w:pPr>
            <w:pStyle w:val="TOC2"/>
            <w:numPr>
              <w:ilvl w:val="1"/>
              <w:numId w:val="1"/>
            </w:numPr>
            <w:tabs>
              <w:tab w:pos="608" w:val="left" w:leader="none"/>
              <w:tab w:pos="9041" w:val="right" w:leader="dot"/>
            </w:tabs>
            <w:spacing w:line="240" w:lineRule="auto" w:before="238" w:after="0"/>
            <w:ind w:left="608" w:right="0" w:hanging="345"/>
            <w:jc w:val="left"/>
          </w:pPr>
          <w:hyperlink w:history="true" w:anchor="_bookmark8">
            <w:r>
              <w:rPr/>
              <w:t>Analysis</w:t>
            </w:r>
            <w:r>
              <w:rPr>
                <w:spacing w:val="-3"/>
              </w:rPr>
              <w:t> </w:t>
            </w:r>
            <w:r>
              <w:rPr/>
              <w:t>of</w:t>
            </w:r>
            <w:r>
              <w:rPr>
                <w:spacing w:val="-1"/>
              </w:rPr>
              <w:t> </w:t>
            </w:r>
            <w:r>
              <w:rPr/>
              <w:t>Relevant</w:t>
            </w:r>
            <w:r>
              <w:rPr>
                <w:spacing w:val="1"/>
              </w:rPr>
              <w:t> </w:t>
            </w:r>
            <w:r>
              <w:rPr>
                <w:spacing w:val="-2"/>
              </w:rPr>
              <w:t>Publications</w:t>
            </w:r>
            <w:r>
              <w:rPr/>
              <w:tab/>
            </w:r>
            <w:r>
              <w:rPr>
                <w:spacing w:val="-10"/>
              </w:rPr>
              <w:t>9</w:t>
            </w:r>
          </w:hyperlink>
        </w:p>
        <w:p>
          <w:pPr>
            <w:pStyle w:val="TOC3"/>
            <w:numPr>
              <w:ilvl w:val="2"/>
              <w:numId w:val="1"/>
            </w:numPr>
            <w:tabs>
              <w:tab w:pos="1043" w:val="left" w:leader="none"/>
              <w:tab w:pos="9041" w:val="right" w:leader="dot"/>
            </w:tabs>
            <w:spacing w:line="240" w:lineRule="auto" w:before="238" w:after="0"/>
            <w:ind w:left="1043" w:right="0" w:hanging="540"/>
            <w:jc w:val="left"/>
          </w:pPr>
          <w:hyperlink w:history="true" w:anchor="_bookmark9">
            <w:r>
              <w:rPr/>
              <w:t>Early</w:t>
            </w:r>
            <w:r>
              <w:rPr>
                <w:spacing w:val="-3"/>
              </w:rPr>
              <w:t> </w:t>
            </w:r>
            <w:r>
              <w:rPr/>
              <w:t>development</w:t>
            </w:r>
            <w:r>
              <w:rPr>
                <w:spacing w:val="-1"/>
              </w:rPr>
              <w:t> </w:t>
            </w:r>
            <w:r>
              <w:rPr/>
              <w:t>and</w:t>
            </w:r>
            <w:r>
              <w:rPr>
                <w:spacing w:val="-3"/>
              </w:rPr>
              <w:t> </w:t>
            </w:r>
            <w:r>
              <w:rPr/>
              <w:t>structural</w:t>
            </w:r>
            <w:r>
              <w:rPr>
                <w:spacing w:val="-2"/>
              </w:rPr>
              <w:t> evolution</w:t>
            </w:r>
            <w:r>
              <w:rPr/>
              <w:tab/>
            </w:r>
            <w:r>
              <w:rPr>
                <w:spacing w:val="-5"/>
              </w:rPr>
              <w:t>10</w:t>
            </w:r>
          </w:hyperlink>
        </w:p>
        <w:p>
          <w:pPr>
            <w:pStyle w:val="TOC3"/>
            <w:numPr>
              <w:ilvl w:val="2"/>
              <w:numId w:val="1"/>
            </w:numPr>
            <w:tabs>
              <w:tab w:pos="1043" w:val="left" w:leader="none"/>
              <w:tab w:pos="9032" w:val="right" w:leader="dot"/>
            </w:tabs>
            <w:spacing w:line="240" w:lineRule="auto" w:before="237" w:after="0"/>
            <w:ind w:left="1043" w:right="0" w:hanging="540"/>
            <w:jc w:val="left"/>
          </w:pPr>
          <w:hyperlink w:history="true" w:anchor="_bookmark10">
            <w:r>
              <w:rPr/>
              <w:t>Determinants</w:t>
            </w:r>
            <w:r>
              <w:rPr>
                <w:spacing w:val="-5"/>
              </w:rPr>
              <w:t> </w:t>
            </w:r>
            <w:r>
              <w:rPr/>
              <w:t>and</w:t>
            </w:r>
            <w:r>
              <w:rPr>
                <w:spacing w:val="-3"/>
              </w:rPr>
              <w:t> </w:t>
            </w:r>
            <w:r>
              <w:rPr/>
              <w:t>growth</w:t>
            </w:r>
            <w:r>
              <w:rPr>
                <w:spacing w:val="-3"/>
              </w:rPr>
              <w:t> </w:t>
            </w:r>
            <w:r>
              <w:rPr>
                <w:spacing w:val="-2"/>
              </w:rPr>
              <w:t>drivers</w:t>
            </w:r>
            <w:r>
              <w:rPr/>
              <w:tab/>
            </w:r>
            <w:r>
              <w:rPr>
                <w:spacing w:val="-5"/>
              </w:rPr>
              <w:t>11</w:t>
            </w:r>
          </w:hyperlink>
        </w:p>
        <w:p>
          <w:pPr>
            <w:pStyle w:val="TOC3"/>
            <w:numPr>
              <w:ilvl w:val="2"/>
              <w:numId w:val="1"/>
            </w:numPr>
            <w:tabs>
              <w:tab w:pos="1043" w:val="left" w:leader="none"/>
              <w:tab w:pos="9041" w:val="right" w:leader="dot"/>
            </w:tabs>
            <w:spacing w:line="240" w:lineRule="auto" w:before="238" w:after="0"/>
            <w:ind w:left="1043" w:right="0" w:hanging="540"/>
            <w:jc w:val="left"/>
          </w:pPr>
          <w:hyperlink w:history="true" w:anchor="_bookmark11">
            <w:r>
              <w:rPr/>
              <w:t>Sector</w:t>
            </w:r>
            <w:r>
              <w:rPr>
                <w:spacing w:val="-2"/>
              </w:rPr>
              <w:t> </w:t>
            </w:r>
            <w:r>
              <w:rPr/>
              <w:t>trends</w:t>
            </w:r>
            <w:r>
              <w:rPr>
                <w:spacing w:val="-2"/>
              </w:rPr>
              <w:t> </w:t>
            </w:r>
            <w:r>
              <w:rPr/>
              <w:t>and</w:t>
            </w:r>
            <w:r>
              <w:rPr>
                <w:spacing w:val="-2"/>
              </w:rPr>
              <w:t> </w:t>
            </w:r>
            <w:r>
              <w:rPr/>
              <w:t>value</w:t>
            </w:r>
            <w:r>
              <w:rPr>
                <w:spacing w:val="-1"/>
              </w:rPr>
              <w:t> </w:t>
            </w:r>
            <w:r>
              <w:rPr>
                <w:spacing w:val="-2"/>
              </w:rPr>
              <w:t>creation</w:t>
            </w:r>
            <w:r>
              <w:rPr/>
              <w:tab/>
            </w:r>
            <w:r>
              <w:rPr>
                <w:spacing w:val="-5"/>
              </w:rPr>
              <w:t>13</w:t>
            </w:r>
          </w:hyperlink>
        </w:p>
        <w:p>
          <w:pPr>
            <w:pStyle w:val="TOC3"/>
            <w:numPr>
              <w:ilvl w:val="2"/>
              <w:numId w:val="1"/>
            </w:numPr>
            <w:tabs>
              <w:tab w:pos="1043" w:val="left" w:leader="none"/>
              <w:tab w:pos="9041" w:val="right" w:leader="dot"/>
            </w:tabs>
            <w:spacing w:line="240" w:lineRule="auto" w:before="238" w:after="0"/>
            <w:ind w:left="1043" w:right="0" w:hanging="540"/>
            <w:jc w:val="left"/>
          </w:pPr>
          <w:hyperlink w:history="true" w:anchor="_bookmark12">
            <w:r>
              <w:rPr/>
              <w:t>Effectiveness</w:t>
            </w:r>
            <w:r>
              <w:rPr>
                <w:spacing w:val="-5"/>
              </w:rPr>
              <w:t> </w:t>
            </w:r>
            <w:r>
              <w:rPr/>
              <w:t>of</w:t>
            </w:r>
            <w:r>
              <w:rPr>
                <w:spacing w:val="-2"/>
              </w:rPr>
              <w:t> </w:t>
            </w:r>
            <w:r>
              <w:rPr/>
              <w:t>Exit</w:t>
            </w:r>
            <w:r>
              <w:rPr>
                <w:spacing w:val="-2"/>
              </w:rPr>
              <w:t> </w:t>
            </w:r>
            <w:r>
              <w:rPr/>
              <w:t>Strategies</w:t>
            </w:r>
            <w:r>
              <w:rPr>
                <w:spacing w:val="-3"/>
              </w:rPr>
              <w:t> </w:t>
            </w:r>
            <w:r>
              <w:rPr/>
              <w:t>in</w:t>
            </w:r>
            <w:r>
              <w:rPr>
                <w:spacing w:val="-1"/>
              </w:rPr>
              <w:t> </w:t>
            </w:r>
            <w:r>
              <w:rPr/>
              <w:t>the</w:t>
            </w:r>
            <w:r>
              <w:rPr>
                <w:spacing w:val="-3"/>
              </w:rPr>
              <w:t> </w:t>
            </w:r>
            <w:r>
              <w:rPr/>
              <w:t>Indian</w:t>
            </w:r>
            <w:r>
              <w:rPr>
                <w:spacing w:val="-2"/>
              </w:rPr>
              <w:t> </w:t>
            </w:r>
            <w:r>
              <w:rPr/>
              <w:t>Private</w:t>
            </w:r>
            <w:r>
              <w:rPr>
                <w:spacing w:val="-2"/>
              </w:rPr>
              <w:t> </w:t>
            </w:r>
            <w:r>
              <w:rPr/>
              <w:t>Equity</w:t>
            </w:r>
            <w:r>
              <w:rPr>
                <w:spacing w:val="-1"/>
              </w:rPr>
              <w:t> </w:t>
            </w:r>
            <w:r>
              <w:rPr>
                <w:spacing w:val="-2"/>
              </w:rPr>
              <w:t>Market</w:t>
            </w:r>
            <w:r>
              <w:rPr/>
              <w:tab/>
            </w:r>
            <w:r>
              <w:rPr>
                <w:spacing w:val="-5"/>
              </w:rPr>
              <w:t>13</w:t>
            </w:r>
          </w:hyperlink>
        </w:p>
        <w:p>
          <w:pPr>
            <w:pStyle w:val="TOC3"/>
            <w:numPr>
              <w:ilvl w:val="2"/>
              <w:numId w:val="1"/>
            </w:numPr>
            <w:tabs>
              <w:tab w:pos="1043" w:val="left" w:leader="none"/>
              <w:tab w:pos="9041" w:val="right" w:leader="dot"/>
            </w:tabs>
            <w:spacing w:line="240" w:lineRule="auto" w:before="238" w:after="0"/>
            <w:ind w:left="1043" w:right="0" w:hanging="540"/>
            <w:jc w:val="left"/>
          </w:pPr>
          <w:hyperlink w:history="true" w:anchor="_bookmark13">
            <w:r>
              <w:rPr/>
              <w:t>Regional</w:t>
            </w:r>
            <w:r>
              <w:rPr>
                <w:spacing w:val="-2"/>
              </w:rPr>
              <w:t> </w:t>
            </w:r>
            <w:r>
              <w:rPr/>
              <w:t>comparison</w:t>
            </w:r>
            <w:r>
              <w:rPr>
                <w:spacing w:val="-1"/>
              </w:rPr>
              <w:t> </w:t>
            </w:r>
            <w:r>
              <w:rPr/>
              <w:t>and</w:t>
            </w:r>
            <w:r>
              <w:rPr>
                <w:spacing w:val="-2"/>
              </w:rPr>
              <w:t> </w:t>
            </w:r>
            <w:r>
              <w:rPr/>
              <w:t>recent</w:t>
            </w:r>
            <w:r>
              <w:rPr>
                <w:spacing w:val="-1"/>
              </w:rPr>
              <w:t> </w:t>
            </w:r>
            <w:r>
              <w:rPr>
                <w:spacing w:val="-2"/>
              </w:rPr>
              <w:t>maturity</w:t>
            </w:r>
            <w:r>
              <w:rPr/>
              <w:tab/>
            </w:r>
            <w:r>
              <w:rPr>
                <w:spacing w:val="-5"/>
              </w:rPr>
              <w:t>14</w:t>
            </w:r>
          </w:hyperlink>
        </w:p>
        <w:p>
          <w:pPr>
            <w:pStyle w:val="TOC2"/>
            <w:numPr>
              <w:ilvl w:val="1"/>
              <w:numId w:val="1"/>
            </w:numPr>
            <w:tabs>
              <w:tab w:pos="623" w:val="left" w:leader="none"/>
              <w:tab w:pos="9041" w:val="right" w:leader="dot"/>
            </w:tabs>
            <w:spacing w:line="240" w:lineRule="auto" w:before="240" w:after="0"/>
            <w:ind w:left="623" w:right="0" w:hanging="360"/>
            <w:jc w:val="left"/>
          </w:pPr>
          <w:hyperlink w:history="true" w:anchor="_bookmark14">
            <w:r>
              <w:rPr/>
              <w:t>Research</w:t>
            </w:r>
            <w:r>
              <w:rPr>
                <w:spacing w:val="-3"/>
              </w:rPr>
              <w:t> </w:t>
            </w:r>
            <w:r>
              <w:rPr/>
              <w:t>Gap</w:t>
            </w:r>
            <w:r>
              <w:rPr>
                <w:spacing w:val="-1"/>
              </w:rPr>
              <w:t> </w:t>
            </w:r>
            <w:r>
              <w:rPr/>
              <w:t>and</w:t>
            </w:r>
            <w:r>
              <w:rPr>
                <w:spacing w:val="-2"/>
              </w:rPr>
              <w:t> Synthesis</w:t>
            </w:r>
            <w:r>
              <w:rPr/>
              <w:tab/>
            </w:r>
            <w:r>
              <w:rPr>
                <w:spacing w:val="-5"/>
              </w:rPr>
              <w:t>15</w:t>
            </w:r>
          </w:hyperlink>
        </w:p>
        <w:p>
          <w:pPr>
            <w:pStyle w:val="TOC1"/>
            <w:numPr>
              <w:ilvl w:val="0"/>
              <w:numId w:val="1"/>
            </w:numPr>
            <w:tabs>
              <w:tab w:pos="263" w:val="left" w:leader="none"/>
              <w:tab w:pos="9041" w:val="right" w:leader="dot"/>
            </w:tabs>
            <w:spacing w:line="240" w:lineRule="auto" w:before="237" w:after="0"/>
            <w:ind w:left="263" w:right="0" w:hanging="240"/>
            <w:jc w:val="left"/>
          </w:pPr>
          <w:hyperlink w:history="true" w:anchor="_bookmark15">
            <w:r>
              <w:rPr>
                <w:spacing w:val="-2"/>
              </w:rPr>
              <w:t>Methodology</w:t>
            </w:r>
            <w:r>
              <w:rPr/>
              <w:tab/>
            </w:r>
            <w:r>
              <w:rPr>
                <w:spacing w:val="-5"/>
              </w:rPr>
              <w:t>16</w:t>
            </w:r>
          </w:hyperlink>
        </w:p>
        <w:p>
          <w:pPr>
            <w:pStyle w:val="TOC2"/>
            <w:numPr>
              <w:ilvl w:val="1"/>
              <w:numId w:val="1"/>
            </w:numPr>
            <w:tabs>
              <w:tab w:pos="623" w:val="left" w:leader="none"/>
              <w:tab w:pos="9041" w:val="right" w:leader="dot"/>
            </w:tabs>
            <w:spacing w:line="240" w:lineRule="auto" w:before="238" w:after="0"/>
            <w:ind w:left="623" w:right="0" w:hanging="360"/>
            <w:jc w:val="left"/>
          </w:pPr>
          <w:hyperlink w:history="true" w:anchor="_bookmark16">
            <w:r>
              <w:rPr>
                <w:spacing w:val="-2"/>
              </w:rPr>
              <w:t>Introduction</w:t>
            </w:r>
            <w:r>
              <w:rPr/>
              <w:tab/>
            </w:r>
            <w:r>
              <w:rPr>
                <w:spacing w:val="-5"/>
              </w:rPr>
              <w:t>16</w:t>
            </w:r>
          </w:hyperlink>
        </w:p>
        <w:p>
          <w:pPr>
            <w:pStyle w:val="TOC2"/>
            <w:numPr>
              <w:ilvl w:val="1"/>
              <w:numId w:val="1"/>
            </w:numPr>
            <w:tabs>
              <w:tab w:pos="623" w:val="left" w:leader="none"/>
              <w:tab w:pos="9041" w:val="right" w:leader="dot"/>
            </w:tabs>
            <w:spacing w:line="240" w:lineRule="auto" w:before="237" w:after="0"/>
            <w:ind w:left="623" w:right="0" w:hanging="360"/>
            <w:jc w:val="left"/>
          </w:pPr>
          <w:hyperlink w:history="true" w:anchor="_bookmark17">
            <w:r>
              <w:rPr>
                <w:spacing w:val="-2"/>
              </w:rPr>
              <w:t>Quantitative</w:t>
            </w:r>
            <w:r>
              <w:rPr>
                <w:spacing w:val="7"/>
              </w:rPr>
              <w:t> </w:t>
            </w:r>
            <w:r>
              <w:rPr>
                <w:spacing w:val="-2"/>
              </w:rPr>
              <w:t>Analysis</w:t>
            </w:r>
            <w:r>
              <w:rPr/>
              <w:tab/>
            </w:r>
            <w:r>
              <w:rPr>
                <w:spacing w:val="-5"/>
              </w:rPr>
              <w:t>16</w:t>
            </w:r>
          </w:hyperlink>
        </w:p>
        <w:p>
          <w:pPr>
            <w:pStyle w:val="TOC3"/>
            <w:numPr>
              <w:ilvl w:val="2"/>
              <w:numId w:val="1"/>
            </w:numPr>
            <w:tabs>
              <w:tab w:pos="1043" w:val="left" w:leader="none"/>
              <w:tab w:pos="9041" w:val="right" w:leader="dot"/>
            </w:tabs>
            <w:spacing w:line="240" w:lineRule="auto" w:before="239" w:after="0"/>
            <w:ind w:left="1043" w:right="0" w:hanging="540"/>
            <w:jc w:val="left"/>
          </w:pPr>
          <w:hyperlink w:history="true" w:anchor="_bookmark18">
            <w:r>
              <w:rPr/>
              <w:t>Data</w:t>
            </w:r>
            <w:r>
              <w:rPr>
                <w:spacing w:val="-2"/>
              </w:rPr>
              <w:t> </w:t>
            </w:r>
            <w:r>
              <w:rPr/>
              <w:t>Collection</w:t>
            </w:r>
            <w:r>
              <w:rPr>
                <w:spacing w:val="-2"/>
              </w:rPr>
              <w:t> Sources</w:t>
            </w:r>
            <w:r>
              <w:rPr/>
              <w:tab/>
            </w:r>
            <w:r>
              <w:rPr>
                <w:spacing w:val="-5"/>
              </w:rPr>
              <w:t>16</w:t>
            </w:r>
          </w:hyperlink>
        </w:p>
        <w:p>
          <w:pPr>
            <w:pStyle w:val="TOC3"/>
            <w:numPr>
              <w:ilvl w:val="2"/>
              <w:numId w:val="1"/>
            </w:numPr>
            <w:tabs>
              <w:tab w:pos="1043" w:val="left" w:leader="none"/>
              <w:tab w:pos="9041" w:val="right" w:leader="dot"/>
            </w:tabs>
            <w:spacing w:line="240" w:lineRule="auto" w:before="237" w:after="0"/>
            <w:ind w:left="1043" w:right="0" w:hanging="540"/>
            <w:jc w:val="left"/>
          </w:pPr>
          <w:hyperlink w:history="true" w:anchor="_bookmark19">
            <w:r>
              <w:rPr/>
              <w:t>Unit</w:t>
            </w:r>
            <w:r>
              <w:rPr>
                <w:spacing w:val="-1"/>
              </w:rPr>
              <w:t> </w:t>
            </w:r>
            <w:r>
              <w:rPr/>
              <w:t>of</w:t>
            </w:r>
            <w:r>
              <w:rPr>
                <w:spacing w:val="-1"/>
              </w:rPr>
              <w:t> </w:t>
            </w:r>
            <w:r>
              <w:rPr/>
              <w:t>analysis</w:t>
            </w:r>
            <w:r>
              <w:rPr>
                <w:spacing w:val="-2"/>
              </w:rPr>
              <w:t> </w:t>
            </w:r>
            <w:r>
              <w:rPr/>
              <w:t>and</w:t>
            </w:r>
            <w:r>
              <w:rPr>
                <w:spacing w:val="-1"/>
              </w:rPr>
              <w:t> </w:t>
            </w:r>
            <w:r>
              <w:rPr/>
              <w:t>aggregation</w:t>
            </w:r>
            <w:r>
              <w:rPr>
                <w:spacing w:val="-1"/>
              </w:rPr>
              <w:t> </w:t>
            </w:r>
            <w:r>
              <w:rPr>
                <w:spacing w:val="-2"/>
              </w:rPr>
              <w:t>strategy</w:t>
            </w:r>
            <w:r>
              <w:rPr/>
              <w:tab/>
            </w:r>
            <w:r>
              <w:rPr>
                <w:spacing w:val="-5"/>
              </w:rPr>
              <w:t>17</w:t>
            </w:r>
          </w:hyperlink>
        </w:p>
        <w:p>
          <w:pPr>
            <w:pStyle w:val="TOC3"/>
            <w:numPr>
              <w:ilvl w:val="2"/>
              <w:numId w:val="1"/>
            </w:numPr>
            <w:tabs>
              <w:tab w:pos="1038" w:val="left" w:leader="none"/>
              <w:tab w:pos="9041" w:val="right" w:leader="dot"/>
            </w:tabs>
            <w:spacing w:line="240" w:lineRule="auto" w:before="240" w:after="0"/>
            <w:ind w:left="1038" w:right="0" w:hanging="535"/>
            <w:jc w:val="left"/>
          </w:pPr>
          <w:hyperlink w:history="true" w:anchor="_bookmark20">
            <w:r>
              <w:rPr>
                <w:spacing w:val="-2"/>
              </w:rPr>
              <w:t>Variables</w:t>
            </w:r>
            <w:r>
              <w:rPr>
                <w:spacing w:val="-5"/>
              </w:rPr>
              <w:t> </w:t>
            </w:r>
            <w:r>
              <w:rPr>
                <w:spacing w:val="-2"/>
              </w:rPr>
              <w:t>and</w:t>
            </w:r>
            <w:r>
              <w:rPr>
                <w:spacing w:val="-4"/>
              </w:rPr>
              <w:t> </w:t>
            </w:r>
            <w:r>
              <w:rPr>
                <w:spacing w:val="-2"/>
              </w:rPr>
              <w:t>Measures</w:t>
            </w:r>
            <w:r>
              <w:rPr/>
              <w:tab/>
            </w:r>
            <w:r>
              <w:rPr>
                <w:spacing w:val="-7"/>
              </w:rPr>
              <w:t>17</w:t>
            </w:r>
          </w:hyperlink>
        </w:p>
        <w:p>
          <w:pPr>
            <w:pStyle w:val="TOC3"/>
            <w:numPr>
              <w:ilvl w:val="2"/>
              <w:numId w:val="1"/>
            </w:numPr>
            <w:tabs>
              <w:tab w:pos="1043" w:val="left" w:leader="none"/>
              <w:tab w:pos="9041" w:val="right" w:leader="dot"/>
            </w:tabs>
            <w:spacing w:line="240" w:lineRule="auto" w:before="238" w:after="0"/>
            <w:ind w:left="1043" w:right="0" w:hanging="540"/>
            <w:jc w:val="left"/>
          </w:pPr>
          <w:hyperlink w:history="true" w:anchor="_bookmark21">
            <w:r>
              <w:rPr/>
              <w:t>Data</w:t>
            </w:r>
            <w:r>
              <w:rPr>
                <w:spacing w:val="-2"/>
              </w:rPr>
              <w:t> </w:t>
            </w:r>
            <w:r>
              <w:rPr/>
              <w:t>preparation</w:t>
            </w:r>
            <w:r>
              <w:rPr>
                <w:spacing w:val="-1"/>
              </w:rPr>
              <w:t> </w:t>
            </w:r>
            <w:r>
              <w:rPr/>
              <w:t>and</w:t>
            </w:r>
            <w:r>
              <w:rPr>
                <w:spacing w:val="-2"/>
              </w:rPr>
              <w:t> </w:t>
            </w:r>
            <w:r>
              <w:rPr/>
              <w:t>Excel</w:t>
            </w:r>
            <w:r>
              <w:rPr>
                <w:spacing w:val="-1"/>
              </w:rPr>
              <w:t> </w:t>
            </w:r>
            <w:r>
              <w:rPr>
                <w:spacing w:val="-2"/>
              </w:rPr>
              <w:t>workflow</w:t>
            </w:r>
            <w:r>
              <w:rPr/>
              <w:tab/>
            </w:r>
            <w:r>
              <w:rPr>
                <w:spacing w:val="-5"/>
              </w:rPr>
              <w:t>18</w:t>
            </w:r>
          </w:hyperlink>
        </w:p>
        <w:p>
          <w:pPr>
            <w:pStyle w:val="TOC3"/>
            <w:numPr>
              <w:ilvl w:val="2"/>
              <w:numId w:val="1"/>
            </w:numPr>
            <w:tabs>
              <w:tab w:pos="1028" w:val="left" w:leader="none"/>
              <w:tab w:pos="9041" w:val="right" w:leader="dot"/>
            </w:tabs>
            <w:spacing w:line="240" w:lineRule="auto" w:before="238" w:after="0"/>
            <w:ind w:left="1028" w:right="0" w:hanging="525"/>
            <w:jc w:val="left"/>
          </w:pPr>
          <w:hyperlink w:history="true" w:anchor="_bookmark22">
            <w:r>
              <w:rPr/>
              <w:t>Analytical</w:t>
            </w:r>
            <w:r>
              <w:rPr>
                <w:spacing w:val="-4"/>
              </w:rPr>
              <w:t> </w:t>
            </w:r>
            <w:r>
              <w:rPr>
                <w:spacing w:val="-2"/>
              </w:rPr>
              <w:t>approach</w:t>
            </w:r>
            <w:r>
              <w:rPr/>
              <w:tab/>
            </w:r>
            <w:r>
              <w:rPr>
                <w:spacing w:val="-5"/>
              </w:rPr>
              <w:t>18</w:t>
            </w:r>
          </w:hyperlink>
        </w:p>
        <w:p>
          <w:pPr>
            <w:pStyle w:val="TOC3"/>
            <w:numPr>
              <w:ilvl w:val="2"/>
              <w:numId w:val="1"/>
            </w:numPr>
            <w:tabs>
              <w:tab w:pos="1038" w:val="left" w:leader="none"/>
              <w:tab w:pos="9041" w:val="right" w:leader="dot"/>
            </w:tabs>
            <w:spacing w:line="240" w:lineRule="auto" w:before="237" w:after="0"/>
            <w:ind w:left="1038" w:right="0" w:hanging="535"/>
            <w:jc w:val="left"/>
          </w:pPr>
          <w:hyperlink w:history="true" w:anchor="_bookmark23">
            <w:r>
              <w:rPr/>
              <w:t>Trend</w:t>
            </w:r>
            <w:r>
              <w:rPr>
                <w:spacing w:val="-15"/>
              </w:rPr>
              <w:t> </w:t>
            </w:r>
            <w:r>
              <w:rPr/>
              <w:t>Analysis</w:t>
            </w:r>
            <w:r>
              <w:rPr>
                <w:spacing w:val="-10"/>
              </w:rPr>
              <w:t> </w:t>
            </w:r>
            <w:r>
              <w:rPr>
                <w:spacing w:val="-2"/>
              </w:rPr>
              <w:t>Methodology</w:t>
            </w:r>
            <w:r>
              <w:rPr/>
              <w:tab/>
            </w:r>
            <w:r>
              <w:rPr>
                <w:spacing w:val="-5"/>
              </w:rPr>
              <w:t>19</w:t>
            </w:r>
          </w:hyperlink>
        </w:p>
        <w:p>
          <w:pPr>
            <w:pStyle w:val="TOC3"/>
            <w:numPr>
              <w:ilvl w:val="2"/>
              <w:numId w:val="1"/>
            </w:numPr>
            <w:tabs>
              <w:tab w:pos="1043" w:val="left" w:leader="none"/>
              <w:tab w:pos="9041" w:val="right" w:leader="dot"/>
            </w:tabs>
            <w:spacing w:line="240" w:lineRule="auto" w:before="238" w:after="0"/>
            <w:ind w:left="1043" w:right="0" w:hanging="540"/>
            <w:jc w:val="left"/>
          </w:pPr>
          <w:hyperlink w:history="true" w:anchor="_bookmark24">
            <w:r>
              <w:rPr/>
              <w:t>Use</w:t>
            </w:r>
            <w:r>
              <w:rPr>
                <w:spacing w:val="-3"/>
              </w:rPr>
              <w:t> </w:t>
            </w:r>
            <w:r>
              <w:rPr/>
              <w:t>of</w:t>
            </w:r>
            <w:r>
              <w:rPr>
                <w:spacing w:val="-1"/>
              </w:rPr>
              <w:t> </w:t>
            </w:r>
            <w:r>
              <w:rPr/>
              <w:t>regulatory </w:t>
            </w:r>
            <w:r>
              <w:rPr>
                <w:spacing w:val="-2"/>
              </w:rPr>
              <w:t>context</w:t>
            </w:r>
            <w:r>
              <w:rPr/>
              <w:tab/>
            </w:r>
            <w:r>
              <w:rPr>
                <w:spacing w:val="-5"/>
              </w:rPr>
              <w:t>19</w:t>
            </w:r>
          </w:hyperlink>
        </w:p>
        <w:p>
          <w:pPr>
            <w:pStyle w:val="TOC2"/>
            <w:numPr>
              <w:ilvl w:val="1"/>
              <w:numId w:val="1"/>
            </w:numPr>
            <w:tabs>
              <w:tab w:pos="623" w:val="left" w:leader="none"/>
              <w:tab w:pos="9041" w:val="right" w:leader="dot"/>
            </w:tabs>
            <w:spacing w:line="240" w:lineRule="auto" w:before="238" w:after="120"/>
            <w:ind w:left="623" w:right="0" w:hanging="360"/>
            <w:jc w:val="left"/>
          </w:pPr>
          <w:hyperlink w:history="true" w:anchor="_bookmark25">
            <w:r>
              <w:rPr>
                <w:spacing w:val="-2"/>
              </w:rPr>
              <w:t>Qualitative</w:t>
            </w:r>
            <w:r>
              <w:rPr>
                <w:spacing w:val="5"/>
              </w:rPr>
              <w:t> </w:t>
            </w:r>
            <w:r>
              <w:rPr>
                <w:spacing w:val="-2"/>
              </w:rPr>
              <w:t>Analysis</w:t>
            </w:r>
            <w:r>
              <w:rPr/>
              <w:tab/>
            </w:r>
            <w:r>
              <w:rPr>
                <w:spacing w:val="-5"/>
              </w:rPr>
              <w:t>20</w:t>
            </w:r>
          </w:hyperlink>
        </w:p>
        <w:p>
          <w:pPr>
            <w:pStyle w:val="TOC3"/>
            <w:numPr>
              <w:ilvl w:val="2"/>
              <w:numId w:val="1"/>
            </w:numPr>
            <w:tabs>
              <w:tab w:pos="1043" w:val="left" w:leader="none"/>
              <w:tab w:pos="9041" w:val="right" w:leader="dot"/>
            </w:tabs>
            <w:spacing w:line="240" w:lineRule="auto" w:before="62" w:after="0"/>
            <w:ind w:left="1043" w:right="0" w:hanging="540"/>
            <w:jc w:val="left"/>
          </w:pPr>
          <w:hyperlink w:history="true" w:anchor="_bookmark26">
            <w:r>
              <w:rPr/>
              <w:t>Case</w:t>
            </w:r>
            <w:r>
              <w:rPr>
                <w:spacing w:val="-2"/>
              </w:rPr>
              <w:t> </w:t>
            </w:r>
            <w:r>
              <w:rPr/>
              <w:t>study</w:t>
            </w:r>
            <w:r>
              <w:rPr>
                <w:spacing w:val="-1"/>
              </w:rPr>
              <w:t> </w:t>
            </w:r>
            <w:r>
              <w:rPr/>
              <w:t>selection</w:t>
            </w:r>
            <w:r>
              <w:rPr>
                <w:spacing w:val="-1"/>
              </w:rPr>
              <w:t> </w:t>
            </w:r>
            <w:r>
              <w:rPr/>
              <w:t>and </w:t>
            </w:r>
            <w:r>
              <w:rPr>
                <w:spacing w:val="-2"/>
              </w:rPr>
              <w:t>justification</w:t>
            </w:r>
            <w:r>
              <w:rPr/>
              <w:tab/>
            </w:r>
            <w:r>
              <w:rPr>
                <w:spacing w:val="-5"/>
              </w:rPr>
              <w:t>20</w:t>
            </w:r>
          </w:hyperlink>
        </w:p>
        <w:p>
          <w:pPr>
            <w:pStyle w:val="TOC3"/>
            <w:numPr>
              <w:ilvl w:val="2"/>
              <w:numId w:val="1"/>
            </w:numPr>
            <w:tabs>
              <w:tab w:pos="1043" w:val="left" w:leader="none"/>
              <w:tab w:pos="9041" w:val="right" w:leader="dot"/>
            </w:tabs>
            <w:spacing w:line="240" w:lineRule="auto" w:before="237" w:after="0"/>
            <w:ind w:left="1043" w:right="0" w:hanging="540"/>
            <w:jc w:val="left"/>
          </w:pPr>
          <w:hyperlink w:history="true" w:anchor="_bookmark27">
            <w:r>
              <w:rPr/>
              <w:t>Industry</w:t>
            </w:r>
            <w:r>
              <w:rPr>
                <w:spacing w:val="-2"/>
              </w:rPr>
              <w:t> </w:t>
            </w:r>
            <w:r>
              <w:rPr/>
              <w:t>report</w:t>
            </w:r>
            <w:r>
              <w:rPr>
                <w:spacing w:val="-2"/>
              </w:rPr>
              <w:t> review</w:t>
            </w:r>
            <w:r>
              <w:rPr/>
              <w:tab/>
            </w:r>
            <w:r>
              <w:rPr>
                <w:spacing w:val="-5"/>
              </w:rPr>
              <w:t>20</w:t>
            </w:r>
          </w:hyperlink>
        </w:p>
        <w:p>
          <w:pPr>
            <w:pStyle w:val="TOC3"/>
            <w:numPr>
              <w:ilvl w:val="2"/>
              <w:numId w:val="1"/>
            </w:numPr>
            <w:tabs>
              <w:tab w:pos="1043" w:val="left" w:leader="none"/>
              <w:tab w:pos="9041" w:val="right" w:leader="dot"/>
            </w:tabs>
            <w:spacing w:line="240" w:lineRule="auto" w:before="238" w:after="0"/>
            <w:ind w:left="1043" w:right="0" w:hanging="540"/>
            <w:jc w:val="left"/>
          </w:pPr>
          <w:hyperlink w:history="true" w:anchor="_bookmark28">
            <w:r>
              <w:rPr/>
              <w:t>Case</w:t>
            </w:r>
            <w:r>
              <w:rPr>
                <w:spacing w:val="-2"/>
              </w:rPr>
              <w:t> </w:t>
            </w:r>
            <w:r>
              <w:rPr/>
              <w:t>study</w:t>
            </w:r>
            <w:r>
              <w:rPr>
                <w:spacing w:val="-1"/>
              </w:rPr>
              <w:t> </w:t>
            </w:r>
            <w:r>
              <w:rPr/>
              <w:t>analysis</w:t>
            </w:r>
            <w:r>
              <w:rPr>
                <w:spacing w:val="-1"/>
              </w:rPr>
              <w:t> </w:t>
            </w:r>
            <w:r>
              <w:rPr>
                <w:spacing w:val="-2"/>
              </w:rPr>
              <w:t>procedure</w:t>
            </w:r>
            <w:r>
              <w:rPr/>
              <w:tab/>
            </w:r>
            <w:r>
              <w:rPr>
                <w:spacing w:val="-5"/>
              </w:rPr>
              <w:t>20</w:t>
            </w:r>
          </w:hyperlink>
        </w:p>
        <w:p>
          <w:pPr>
            <w:pStyle w:val="TOC2"/>
            <w:numPr>
              <w:ilvl w:val="1"/>
              <w:numId w:val="1"/>
            </w:numPr>
            <w:tabs>
              <w:tab w:pos="623" w:val="left" w:leader="none"/>
              <w:tab w:pos="9041" w:val="right" w:leader="dot"/>
            </w:tabs>
            <w:spacing w:line="240" w:lineRule="auto" w:before="238" w:after="0"/>
            <w:ind w:left="623" w:right="0" w:hanging="360"/>
            <w:jc w:val="left"/>
          </w:pPr>
          <w:hyperlink w:history="true" w:anchor="_bookmark29">
            <w:r>
              <w:rPr/>
              <w:t>Integration</w:t>
            </w:r>
            <w:r>
              <w:rPr>
                <w:spacing w:val="-2"/>
              </w:rPr>
              <w:t> </w:t>
            </w:r>
            <w:r>
              <w:rPr/>
              <w:t>of</w:t>
            </w:r>
            <w:r>
              <w:rPr>
                <w:spacing w:val="-3"/>
              </w:rPr>
              <w:t> </w:t>
            </w:r>
            <w:r>
              <w:rPr/>
              <w:t>Quantitative</w:t>
            </w:r>
            <w:r>
              <w:rPr>
                <w:spacing w:val="-1"/>
              </w:rPr>
              <w:t> </w:t>
            </w:r>
            <w:r>
              <w:rPr/>
              <w:t>and</w:t>
            </w:r>
            <w:r>
              <w:rPr>
                <w:spacing w:val="-2"/>
              </w:rPr>
              <w:t> </w:t>
            </w:r>
            <w:r>
              <w:rPr/>
              <w:t>Qualitative</w:t>
            </w:r>
            <w:r>
              <w:rPr>
                <w:spacing w:val="-1"/>
              </w:rPr>
              <w:t> </w:t>
            </w:r>
            <w:r>
              <w:rPr>
                <w:spacing w:val="-2"/>
              </w:rPr>
              <w:t>Methods</w:t>
            </w:r>
            <w:r>
              <w:rPr/>
              <w:tab/>
            </w:r>
            <w:r>
              <w:rPr>
                <w:spacing w:val="-7"/>
              </w:rPr>
              <w:t>21</w:t>
            </w:r>
          </w:hyperlink>
        </w:p>
        <w:p>
          <w:pPr>
            <w:pStyle w:val="TOC3"/>
            <w:numPr>
              <w:ilvl w:val="2"/>
              <w:numId w:val="1"/>
            </w:numPr>
            <w:tabs>
              <w:tab w:pos="1043" w:val="left" w:leader="none"/>
              <w:tab w:pos="9041" w:val="right" w:leader="dot"/>
            </w:tabs>
            <w:spacing w:line="240" w:lineRule="auto" w:before="240" w:after="0"/>
            <w:ind w:left="1043" w:right="0" w:hanging="540"/>
            <w:jc w:val="left"/>
          </w:pPr>
          <w:hyperlink w:history="true" w:anchor="_bookmark30">
            <w:r>
              <w:rPr>
                <w:spacing w:val="-2"/>
              </w:rPr>
              <w:t>Contextualization</w:t>
            </w:r>
            <w:r>
              <w:rPr/>
              <w:tab/>
            </w:r>
            <w:r>
              <w:rPr>
                <w:spacing w:val="-5"/>
              </w:rPr>
              <w:t>21</w:t>
            </w:r>
          </w:hyperlink>
        </w:p>
        <w:p>
          <w:pPr>
            <w:pStyle w:val="TOC3"/>
            <w:numPr>
              <w:ilvl w:val="2"/>
              <w:numId w:val="1"/>
            </w:numPr>
            <w:tabs>
              <w:tab w:pos="1043" w:val="left" w:leader="none"/>
              <w:tab w:pos="9041" w:val="right" w:leader="dot"/>
            </w:tabs>
            <w:spacing w:line="240" w:lineRule="auto" w:before="237" w:after="0"/>
            <w:ind w:left="1043" w:right="0" w:hanging="540"/>
            <w:jc w:val="left"/>
          </w:pPr>
          <w:hyperlink w:history="true" w:anchor="_bookmark31">
            <w:r>
              <w:rPr/>
              <w:t>Complementarity</w:t>
            </w:r>
            <w:r>
              <w:rPr>
                <w:spacing w:val="-1"/>
              </w:rPr>
              <w:t> </w:t>
            </w:r>
            <w:r>
              <w:rPr/>
              <w:t>of</w:t>
            </w:r>
            <w:r>
              <w:rPr>
                <w:spacing w:val="-1"/>
              </w:rPr>
              <w:t> </w:t>
            </w:r>
            <w:r>
              <w:rPr>
                <w:spacing w:val="-2"/>
              </w:rPr>
              <w:t>methods</w:t>
            </w:r>
            <w:r>
              <w:rPr/>
              <w:tab/>
            </w:r>
            <w:r>
              <w:rPr>
                <w:spacing w:val="-5"/>
              </w:rPr>
              <w:t>21</w:t>
            </w:r>
          </w:hyperlink>
        </w:p>
        <w:p>
          <w:pPr>
            <w:pStyle w:val="TOC2"/>
            <w:numPr>
              <w:ilvl w:val="1"/>
              <w:numId w:val="1"/>
            </w:numPr>
            <w:tabs>
              <w:tab w:pos="623" w:val="left" w:leader="none"/>
              <w:tab w:pos="9041" w:val="right" w:leader="dot"/>
            </w:tabs>
            <w:spacing w:line="240" w:lineRule="auto" w:before="239" w:after="0"/>
            <w:ind w:left="623" w:right="0" w:hanging="360"/>
            <w:jc w:val="left"/>
          </w:pPr>
          <w:hyperlink w:history="true" w:anchor="_bookmark32">
            <w:r>
              <w:rPr/>
              <w:t>Limitations</w:t>
            </w:r>
            <w:r>
              <w:rPr>
                <w:spacing w:val="-3"/>
              </w:rPr>
              <w:t> </w:t>
            </w:r>
            <w:r>
              <w:rPr/>
              <w:t>and</w:t>
            </w:r>
            <w:r>
              <w:rPr>
                <w:spacing w:val="-2"/>
              </w:rPr>
              <w:t> </w:t>
            </w:r>
            <w:r>
              <w:rPr/>
              <w:t>Ethical</w:t>
            </w:r>
            <w:r>
              <w:rPr>
                <w:spacing w:val="-2"/>
              </w:rPr>
              <w:t> Considerations</w:t>
            </w:r>
            <w:r>
              <w:rPr/>
              <w:tab/>
            </w:r>
            <w:r>
              <w:rPr>
                <w:spacing w:val="-5"/>
              </w:rPr>
              <w:t>21</w:t>
            </w:r>
          </w:hyperlink>
        </w:p>
        <w:p>
          <w:pPr>
            <w:pStyle w:val="TOC3"/>
            <w:numPr>
              <w:ilvl w:val="2"/>
              <w:numId w:val="1"/>
            </w:numPr>
            <w:tabs>
              <w:tab w:pos="1043" w:val="left" w:leader="none"/>
              <w:tab w:pos="9041" w:val="right" w:leader="dot"/>
            </w:tabs>
            <w:spacing w:line="240" w:lineRule="auto" w:before="237" w:after="0"/>
            <w:ind w:left="1043" w:right="0" w:hanging="540"/>
            <w:jc w:val="left"/>
          </w:pPr>
          <w:hyperlink w:history="true" w:anchor="_bookmark33">
            <w:r>
              <w:rPr/>
              <w:t>Data</w:t>
            </w:r>
            <w:r>
              <w:rPr>
                <w:spacing w:val="-2"/>
              </w:rPr>
              <w:t> </w:t>
            </w:r>
            <w:r>
              <w:rPr/>
              <w:t>availability</w:t>
            </w:r>
            <w:r>
              <w:rPr>
                <w:spacing w:val="-2"/>
              </w:rPr>
              <w:t> </w:t>
            </w:r>
            <w:r>
              <w:rPr/>
              <w:t>and</w:t>
            </w:r>
            <w:r>
              <w:rPr>
                <w:spacing w:val="-1"/>
              </w:rPr>
              <w:t> </w:t>
            </w:r>
            <w:r>
              <w:rPr>
                <w:spacing w:val="-2"/>
              </w:rPr>
              <w:t>completeness</w:t>
            </w:r>
            <w:r>
              <w:rPr/>
              <w:tab/>
            </w:r>
            <w:r>
              <w:rPr>
                <w:spacing w:val="-5"/>
              </w:rPr>
              <w:t>21</w:t>
            </w:r>
          </w:hyperlink>
        </w:p>
        <w:p>
          <w:pPr>
            <w:pStyle w:val="TOC3"/>
            <w:numPr>
              <w:ilvl w:val="2"/>
              <w:numId w:val="1"/>
            </w:numPr>
            <w:tabs>
              <w:tab w:pos="1043" w:val="left" w:leader="none"/>
              <w:tab w:pos="9041" w:val="right" w:leader="dot"/>
            </w:tabs>
            <w:spacing w:line="240" w:lineRule="auto" w:before="238" w:after="0"/>
            <w:ind w:left="1043" w:right="0" w:hanging="540"/>
            <w:jc w:val="left"/>
          </w:pPr>
          <w:hyperlink w:history="true" w:anchor="_bookmark34">
            <w:r>
              <w:rPr/>
              <w:t>Ethics</w:t>
            </w:r>
            <w:r>
              <w:rPr>
                <w:spacing w:val="-2"/>
              </w:rPr>
              <w:t> </w:t>
            </w:r>
            <w:r>
              <w:rPr/>
              <w:t>and</w:t>
            </w:r>
            <w:r>
              <w:rPr>
                <w:spacing w:val="-1"/>
              </w:rPr>
              <w:t> </w:t>
            </w:r>
            <w:r>
              <w:rPr/>
              <w:t>data</w:t>
            </w:r>
            <w:r>
              <w:rPr>
                <w:spacing w:val="-1"/>
              </w:rPr>
              <w:t> </w:t>
            </w:r>
            <w:r>
              <w:rPr>
                <w:spacing w:val="-2"/>
              </w:rPr>
              <w:t>handling</w:t>
            </w:r>
            <w:r>
              <w:rPr/>
              <w:tab/>
            </w:r>
            <w:r>
              <w:rPr>
                <w:spacing w:val="-5"/>
              </w:rPr>
              <w:t>22</w:t>
            </w:r>
          </w:hyperlink>
        </w:p>
        <w:p>
          <w:pPr>
            <w:pStyle w:val="TOC3"/>
            <w:numPr>
              <w:ilvl w:val="2"/>
              <w:numId w:val="1"/>
            </w:numPr>
            <w:tabs>
              <w:tab w:pos="1038" w:val="left" w:leader="none"/>
              <w:tab w:pos="9041" w:val="right" w:leader="dot"/>
            </w:tabs>
            <w:spacing w:line="240" w:lineRule="auto" w:before="237" w:after="0"/>
            <w:ind w:left="1038" w:right="0" w:hanging="535"/>
            <w:jc w:val="left"/>
          </w:pPr>
          <w:hyperlink w:history="true" w:anchor="_bookmark35">
            <w:r>
              <w:rPr/>
              <w:t>Validity</w:t>
            </w:r>
            <w:r>
              <w:rPr>
                <w:spacing w:val="-6"/>
              </w:rPr>
              <w:t> </w:t>
            </w:r>
            <w:r>
              <w:rPr/>
              <w:t>and</w:t>
            </w:r>
            <w:r>
              <w:rPr>
                <w:spacing w:val="-6"/>
              </w:rPr>
              <w:t> </w:t>
            </w:r>
            <w:r>
              <w:rPr/>
              <w:t>reliability</w:t>
            </w:r>
            <w:r>
              <w:rPr>
                <w:spacing w:val="-5"/>
              </w:rPr>
              <w:t> </w:t>
            </w:r>
            <w:r>
              <w:rPr/>
              <w:t>(reframed</w:t>
            </w:r>
            <w:r>
              <w:rPr>
                <w:spacing w:val="-6"/>
              </w:rPr>
              <w:t> </w:t>
            </w:r>
            <w:r>
              <w:rPr/>
              <w:t>to</w:t>
            </w:r>
            <w:r>
              <w:rPr>
                <w:spacing w:val="-6"/>
              </w:rPr>
              <w:t> </w:t>
            </w:r>
            <w:r>
              <w:rPr/>
              <w:t>match</w:t>
            </w:r>
            <w:r>
              <w:rPr>
                <w:spacing w:val="-5"/>
              </w:rPr>
              <w:t> </w:t>
            </w:r>
            <w:r>
              <w:rPr>
                <w:spacing w:val="-2"/>
              </w:rPr>
              <w:t>methods)</w:t>
            </w:r>
            <w:r>
              <w:rPr/>
              <w:tab/>
            </w:r>
            <w:r>
              <w:rPr>
                <w:spacing w:val="-5"/>
              </w:rPr>
              <w:t>22</w:t>
            </w:r>
          </w:hyperlink>
        </w:p>
        <w:p>
          <w:pPr>
            <w:pStyle w:val="TOC2"/>
            <w:numPr>
              <w:ilvl w:val="1"/>
              <w:numId w:val="1"/>
            </w:numPr>
            <w:tabs>
              <w:tab w:pos="623" w:val="left" w:leader="none"/>
              <w:tab w:pos="9041" w:val="right" w:leader="dot"/>
            </w:tabs>
            <w:spacing w:line="240" w:lineRule="auto" w:before="240" w:after="0"/>
            <w:ind w:left="623" w:right="0" w:hanging="360"/>
            <w:jc w:val="left"/>
          </w:pPr>
          <w:hyperlink w:history="true" w:anchor="_bookmark36">
            <w:r>
              <w:rPr>
                <w:spacing w:val="-2"/>
              </w:rPr>
              <w:t>Conclusion</w:t>
            </w:r>
            <w:r>
              <w:rPr/>
              <w:tab/>
            </w:r>
            <w:r>
              <w:rPr>
                <w:spacing w:val="-5"/>
              </w:rPr>
              <w:t>22</w:t>
            </w:r>
          </w:hyperlink>
        </w:p>
        <w:p>
          <w:pPr>
            <w:pStyle w:val="TOC1"/>
            <w:tabs>
              <w:tab w:pos="9041" w:val="right" w:leader="dot"/>
            </w:tabs>
            <w:ind w:firstLine="0"/>
          </w:pPr>
          <w:hyperlink w:history="true" w:anchor="_bookmark37">
            <w:r>
              <w:rPr/>
              <w:t>Chapter</w:t>
            </w:r>
            <w:r>
              <w:rPr>
                <w:spacing w:val="-3"/>
              </w:rPr>
              <w:t> </w:t>
            </w:r>
            <w:r>
              <w:rPr/>
              <w:t>4:</w:t>
            </w:r>
            <w:r>
              <w:rPr>
                <w:spacing w:val="-1"/>
              </w:rPr>
              <w:t> </w:t>
            </w:r>
            <w:r>
              <w:rPr/>
              <w:t>Result and </w:t>
            </w:r>
            <w:r>
              <w:rPr>
                <w:spacing w:val="-2"/>
              </w:rPr>
              <w:t>analysis</w:t>
            </w:r>
            <w:r>
              <w:rPr/>
              <w:tab/>
            </w:r>
            <w:r>
              <w:rPr>
                <w:spacing w:val="-5"/>
              </w:rPr>
              <w:t>23</w:t>
            </w:r>
          </w:hyperlink>
        </w:p>
        <w:p>
          <w:pPr>
            <w:pStyle w:val="TOC2"/>
            <w:numPr>
              <w:ilvl w:val="1"/>
              <w:numId w:val="2"/>
            </w:numPr>
            <w:tabs>
              <w:tab w:pos="623" w:val="left" w:leader="none"/>
              <w:tab w:pos="9041" w:val="right" w:leader="dot"/>
            </w:tabs>
            <w:spacing w:line="240" w:lineRule="auto" w:before="238" w:after="0"/>
            <w:ind w:left="623" w:right="0" w:hanging="360"/>
            <w:jc w:val="left"/>
          </w:pPr>
          <w:hyperlink w:history="true" w:anchor="_bookmark38">
            <w:r>
              <w:rPr/>
              <w:t>Introduction</w:t>
            </w:r>
            <w:r>
              <w:rPr>
                <w:spacing w:val="-2"/>
              </w:rPr>
              <w:t> </w:t>
            </w:r>
            <w:r>
              <w:rPr/>
              <w:t>to</w:t>
            </w:r>
            <w:r>
              <w:rPr>
                <w:spacing w:val="-1"/>
              </w:rPr>
              <w:t> </w:t>
            </w:r>
            <w:r>
              <w:rPr/>
              <w:t>the</w:t>
            </w:r>
            <w:r>
              <w:rPr>
                <w:spacing w:val="-16"/>
              </w:rPr>
              <w:t> </w:t>
            </w:r>
            <w:r>
              <w:rPr>
                <w:spacing w:val="-2"/>
              </w:rPr>
              <w:t>Analysis</w:t>
            </w:r>
            <w:r>
              <w:rPr/>
              <w:tab/>
            </w:r>
            <w:r>
              <w:rPr>
                <w:spacing w:val="-5"/>
              </w:rPr>
              <w:t>23</w:t>
            </w:r>
          </w:hyperlink>
        </w:p>
        <w:p>
          <w:pPr>
            <w:pStyle w:val="TOC2"/>
            <w:numPr>
              <w:ilvl w:val="1"/>
              <w:numId w:val="2"/>
            </w:numPr>
            <w:tabs>
              <w:tab w:pos="623" w:val="left" w:leader="none"/>
              <w:tab w:pos="9041" w:val="right" w:leader="dot"/>
            </w:tabs>
            <w:spacing w:line="240" w:lineRule="auto" w:before="238" w:after="0"/>
            <w:ind w:left="623" w:right="0" w:hanging="360"/>
            <w:jc w:val="left"/>
          </w:pPr>
          <w:hyperlink w:history="true" w:anchor="_bookmark39">
            <w:r>
              <w:rPr/>
              <w:t>Descriptive</w:t>
            </w:r>
            <w:r>
              <w:rPr>
                <w:spacing w:val="-2"/>
              </w:rPr>
              <w:t> </w:t>
            </w:r>
            <w:r>
              <w:rPr/>
              <w:t>Overview</w:t>
            </w:r>
            <w:r>
              <w:rPr>
                <w:spacing w:val="-1"/>
              </w:rPr>
              <w:t> </w:t>
            </w:r>
            <w:r>
              <w:rPr/>
              <w:t>of</w:t>
            </w:r>
            <w:r>
              <w:rPr>
                <w:spacing w:val="-3"/>
              </w:rPr>
              <w:t> </w:t>
            </w:r>
            <w:r>
              <w:rPr/>
              <w:t>the </w:t>
            </w:r>
            <w:r>
              <w:rPr>
                <w:spacing w:val="-2"/>
              </w:rPr>
              <w:t>Dataset</w:t>
            </w:r>
            <w:r>
              <w:rPr/>
              <w:tab/>
            </w:r>
            <w:r>
              <w:rPr>
                <w:spacing w:val="-5"/>
              </w:rPr>
              <w:t>23</w:t>
            </w:r>
          </w:hyperlink>
        </w:p>
        <w:p>
          <w:pPr>
            <w:pStyle w:val="TOC3"/>
            <w:numPr>
              <w:ilvl w:val="2"/>
              <w:numId w:val="2"/>
            </w:numPr>
            <w:tabs>
              <w:tab w:pos="1043" w:val="left" w:leader="none"/>
              <w:tab w:pos="9041" w:val="right" w:leader="dot"/>
            </w:tabs>
            <w:spacing w:line="240" w:lineRule="auto" w:before="237" w:after="0"/>
            <w:ind w:left="1043" w:right="0" w:hanging="540"/>
            <w:jc w:val="left"/>
          </w:pPr>
          <w:hyperlink w:history="true" w:anchor="_bookmark40">
            <w:r>
              <w:rPr/>
              <w:t>Investment</w:t>
            </w:r>
            <w:r>
              <w:rPr>
                <w:spacing w:val="-3"/>
              </w:rPr>
              <w:t> </w:t>
            </w:r>
            <w:r>
              <w:rPr/>
              <w:t>Dataset </w:t>
            </w:r>
            <w:r>
              <w:rPr>
                <w:spacing w:val="-2"/>
              </w:rPr>
              <w:t>Summary</w:t>
            </w:r>
            <w:r>
              <w:rPr/>
              <w:tab/>
            </w:r>
            <w:r>
              <w:rPr>
                <w:spacing w:val="-5"/>
              </w:rPr>
              <w:t>23</w:t>
            </w:r>
          </w:hyperlink>
        </w:p>
        <w:p>
          <w:pPr>
            <w:pStyle w:val="TOC3"/>
            <w:numPr>
              <w:ilvl w:val="2"/>
              <w:numId w:val="2"/>
            </w:numPr>
            <w:tabs>
              <w:tab w:pos="1043" w:val="left" w:leader="none"/>
              <w:tab w:pos="9041" w:val="right" w:leader="dot"/>
            </w:tabs>
            <w:spacing w:line="240" w:lineRule="auto" w:before="238" w:after="0"/>
            <w:ind w:left="1043" w:right="0" w:hanging="540"/>
            <w:jc w:val="left"/>
          </w:pPr>
          <w:hyperlink w:history="true" w:anchor="_bookmark41">
            <w:r>
              <w:rPr/>
              <w:t>Exit</w:t>
            </w:r>
            <w:r>
              <w:rPr>
                <w:spacing w:val="-2"/>
              </w:rPr>
              <w:t> </w:t>
            </w:r>
            <w:r>
              <w:rPr/>
              <w:t>Dataset</w:t>
            </w:r>
            <w:r>
              <w:rPr>
                <w:spacing w:val="-2"/>
              </w:rPr>
              <w:t> Summary</w:t>
            </w:r>
            <w:r>
              <w:rPr/>
              <w:tab/>
            </w:r>
            <w:r>
              <w:rPr>
                <w:spacing w:val="-5"/>
              </w:rPr>
              <w:t>25</w:t>
            </w:r>
          </w:hyperlink>
        </w:p>
        <w:p>
          <w:pPr>
            <w:pStyle w:val="TOC2"/>
            <w:numPr>
              <w:ilvl w:val="1"/>
              <w:numId w:val="2"/>
            </w:numPr>
            <w:tabs>
              <w:tab w:pos="618" w:val="left" w:leader="none"/>
              <w:tab w:pos="9041" w:val="right" w:leader="dot"/>
            </w:tabs>
            <w:spacing w:line="240" w:lineRule="auto" w:before="238" w:after="0"/>
            <w:ind w:left="618" w:right="0" w:hanging="355"/>
            <w:jc w:val="left"/>
          </w:pPr>
          <w:hyperlink w:history="true" w:anchor="_bookmark42">
            <w:r>
              <w:rPr/>
              <w:t>Trend</w:t>
            </w:r>
            <w:r>
              <w:rPr>
                <w:spacing w:val="-17"/>
              </w:rPr>
              <w:t> </w:t>
            </w:r>
            <w:r>
              <w:rPr/>
              <w:t>Analysis</w:t>
            </w:r>
            <w:r>
              <w:rPr>
                <w:spacing w:val="-7"/>
              </w:rPr>
              <w:t> </w:t>
            </w:r>
            <w:r>
              <w:rPr/>
              <w:t>of</w:t>
            </w:r>
            <w:r>
              <w:rPr>
                <w:spacing w:val="-3"/>
              </w:rPr>
              <w:t> </w:t>
            </w:r>
            <w:r>
              <w:rPr/>
              <w:t>Investments</w:t>
            </w:r>
            <w:r>
              <w:rPr>
                <w:spacing w:val="-4"/>
              </w:rPr>
              <w:t> </w:t>
            </w:r>
            <w:r>
              <w:rPr>
                <w:spacing w:val="-2"/>
              </w:rPr>
              <w:t>(2005–2024)</w:t>
            </w:r>
            <w:r>
              <w:rPr/>
              <w:tab/>
            </w:r>
            <w:r>
              <w:rPr>
                <w:spacing w:val="-5"/>
              </w:rPr>
              <w:t>26</w:t>
            </w:r>
          </w:hyperlink>
        </w:p>
        <w:p>
          <w:pPr>
            <w:pStyle w:val="TOC3"/>
            <w:numPr>
              <w:ilvl w:val="2"/>
              <w:numId w:val="2"/>
            </w:numPr>
            <w:tabs>
              <w:tab w:pos="1028" w:val="left" w:leader="none"/>
              <w:tab w:pos="9041" w:val="right" w:leader="dot"/>
            </w:tabs>
            <w:spacing w:line="240" w:lineRule="auto" w:before="240" w:after="0"/>
            <w:ind w:left="1028" w:right="0" w:hanging="525"/>
            <w:jc w:val="left"/>
          </w:pPr>
          <w:hyperlink w:history="true" w:anchor="_bookmark43">
            <w:r>
              <w:rPr/>
              <w:t>Annual</w:t>
            </w:r>
            <w:r>
              <w:rPr>
                <w:spacing w:val="-12"/>
              </w:rPr>
              <w:t> </w:t>
            </w:r>
            <w:r>
              <w:rPr/>
              <w:t>Deal</w:t>
            </w:r>
            <w:r>
              <w:rPr>
                <w:spacing w:val="-15"/>
              </w:rPr>
              <w:t> </w:t>
            </w:r>
            <w:r>
              <w:rPr/>
              <w:t>Volume</w:t>
            </w:r>
            <w:r>
              <w:rPr>
                <w:spacing w:val="-15"/>
              </w:rPr>
              <w:t> </w:t>
            </w:r>
            <w:r>
              <w:rPr>
                <w:spacing w:val="-4"/>
              </w:rPr>
              <w:t>Trend</w:t>
            </w:r>
            <w:r>
              <w:rPr/>
              <w:tab/>
            </w:r>
            <w:r>
              <w:rPr>
                <w:spacing w:val="-5"/>
              </w:rPr>
              <w:t>27</w:t>
            </w:r>
          </w:hyperlink>
        </w:p>
        <w:p>
          <w:pPr>
            <w:pStyle w:val="TOC3"/>
            <w:numPr>
              <w:ilvl w:val="2"/>
              <w:numId w:val="2"/>
            </w:numPr>
            <w:tabs>
              <w:tab w:pos="1028" w:val="left" w:leader="none"/>
              <w:tab w:pos="9041" w:val="right" w:leader="dot"/>
            </w:tabs>
            <w:spacing w:line="240" w:lineRule="auto" w:before="238" w:after="0"/>
            <w:ind w:left="1028" w:right="0" w:hanging="525"/>
            <w:jc w:val="left"/>
          </w:pPr>
          <w:hyperlink w:history="true" w:anchor="_bookmark44">
            <w:r>
              <w:rPr/>
              <w:t>Annual</w:t>
            </w:r>
            <w:r>
              <w:rPr>
                <w:spacing w:val="-12"/>
              </w:rPr>
              <w:t> </w:t>
            </w:r>
            <w:r>
              <w:rPr/>
              <w:t>Deal</w:t>
            </w:r>
            <w:r>
              <w:rPr>
                <w:spacing w:val="-14"/>
              </w:rPr>
              <w:t> </w:t>
            </w:r>
            <w:r>
              <w:rPr/>
              <w:t>Value</w:t>
            </w:r>
            <w:r>
              <w:rPr>
                <w:spacing w:val="-13"/>
              </w:rPr>
              <w:t> </w:t>
            </w:r>
            <w:r>
              <w:rPr>
                <w:spacing w:val="-4"/>
              </w:rPr>
              <w:t>Trend</w:t>
            </w:r>
            <w:r>
              <w:rPr/>
              <w:tab/>
            </w:r>
            <w:r>
              <w:rPr>
                <w:spacing w:val="-5"/>
              </w:rPr>
              <w:t>27</w:t>
            </w:r>
          </w:hyperlink>
        </w:p>
        <w:p>
          <w:pPr>
            <w:pStyle w:val="TOC3"/>
            <w:numPr>
              <w:ilvl w:val="2"/>
              <w:numId w:val="2"/>
            </w:numPr>
            <w:tabs>
              <w:tab w:pos="1043" w:val="left" w:leader="none"/>
              <w:tab w:pos="9041" w:val="right" w:leader="dot"/>
            </w:tabs>
            <w:spacing w:line="240" w:lineRule="auto" w:before="237" w:after="0"/>
            <w:ind w:left="1043" w:right="0" w:hanging="540"/>
            <w:jc w:val="left"/>
          </w:pPr>
          <w:hyperlink w:history="true" w:anchor="_bookmark45">
            <w:r>
              <w:rPr/>
              <w:t>Interpretation</w:t>
            </w:r>
            <w:r>
              <w:rPr>
                <w:spacing w:val="-4"/>
              </w:rPr>
              <w:t> </w:t>
            </w:r>
            <w:r>
              <w:rPr/>
              <w:t>of</w:t>
            </w:r>
            <w:r>
              <w:rPr>
                <w:spacing w:val="-9"/>
              </w:rPr>
              <w:t> </w:t>
            </w:r>
            <w:r>
              <w:rPr/>
              <w:t>Trends</w:t>
            </w:r>
            <w:r>
              <w:rPr>
                <w:spacing w:val="-5"/>
              </w:rPr>
              <w:t> </w:t>
            </w:r>
            <w:r>
              <w:rPr/>
              <w:t>and</w:t>
            </w:r>
            <w:r>
              <w:rPr>
                <w:spacing w:val="-4"/>
              </w:rPr>
              <w:t> </w:t>
            </w:r>
            <w:r>
              <w:rPr/>
              <w:t>Reform</w:t>
            </w:r>
            <w:r>
              <w:rPr>
                <w:spacing w:val="-3"/>
              </w:rPr>
              <w:t> </w:t>
            </w:r>
            <w:r>
              <w:rPr>
                <w:spacing w:val="-2"/>
              </w:rPr>
              <w:t>Linkages</w:t>
            </w:r>
            <w:r>
              <w:rPr/>
              <w:tab/>
            </w:r>
            <w:r>
              <w:rPr>
                <w:spacing w:val="-5"/>
              </w:rPr>
              <w:t>28</w:t>
            </w:r>
          </w:hyperlink>
        </w:p>
        <w:p>
          <w:pPr>
            <w:pStyle w:val="TOC2"/>
            <w:numPr>
              <w:ilvl w:val="1"/>
              <w:numId w:val="2"/>
            </w:numPr>
            <w:tabs>
              <w:tab w:pos="623" w:val="left" w:leader="none"/>
              <w:tab w:pos="9041" w:val="right" w:leader="dot"/>
            </w:tabs>
            <w:spacing w:line="240" w:lineRule="auto" w:before="238" w:after="0"/>
            <w:ind w:left="623" w:right="0" w:hanging="360"/>
            <w:jc w:val="left"/>
          </w:pPr>
          <w:hyperlink w:history="true" w:anchor="_bookmark46">
            <w:r>
              <w:rPr/>
              <w:t>Sectoral</w:t>
            </w:r>
            <w:r>
              <w:rPr>
                <w:spacing w:val="-17"/>
              </w:rPr>
              <w:t> </w:t>
            </w:r>
            <w:r>
              <w:rPr/>
              <w:t>Allocation</w:t>
            </w:r>
            <w:r>
              <w:rPr>
                <w:spacing w:val="-2"/>
              </w:rPr>
              <w:t> </w:t>
            </w:r>
            <w:r>
              <w:rPr/>
              <w:t>of</w:t>
            </w:r>
            <w:r>
              <w:rPr>
                <w:spacing w:val="-2"/>
              </w:rPr>
              <w:t> Investments</w:t>
            </w:r>
            <w:r>
              <w:rPr/>
              <w:tab/>
            </w:r>
            <w:r>
              <w:rPr>
                <w:spacing w:val="-5"/>
              </w:rPr>
              <w:t>29</w:t>
            </w:r>
          </w:hyperlink>
        </w:p>
        <w:p>
          <w:pPr>
            <w:pStyle w:val="TOC3"/>
            <w:numPr>
              <w:ilvl w:val="2"/>
              <w:numId w:val="2"/>
            </w:numPr>
            <w:tabs>
              <w:tab w:pos="1043" w:val="left" w:leader="none"/>
              <w:tab w:pos="9041" w:val="right" w:leader="dot"/>
            </w:tabs>
            <w:spacing w:line="240" w:lineRule="auto" w:before="238" w:after="0"/>
            <w:ind w:left="1043" w:right="0" w:hanging="540"/>
            <w:jc w:val="left"/>
          </w:pPr>
          <w:hyperlink w:history="true" w:anchor="_bookmark47">
            <w:r>
              <w:rPr/>
              <w:t>Sector</w:t>
            </w:r>
            <w:r>
              <w:rPr>
                <w:spacing w:val="-2"/>
              </w:rPr>
              <w:t> </w:t>
            </w:r>
            <w:r>
              <w:rPr/>
              <w:t>Share</w:t>
            </w:r>
            <w:r>
              <w:rPr>
                <w:spacing w:val="-3"/>
              </w:rPr>
              <w:t> </w:t>
            </w:r>
            <w:r>
              <w:rPr/>
              <w:t>Over</w:t>
            </w:r>
            <w:r>
              <w:rPr>
                <w:spacing w:val="-4"/>
              </w:rPr>
              <w:t> Time</w:t>
            </w:r>
            <w:r>
              <w:rPr/>
              <w:tab/>
            </w:r>
            <w:r>
              <w:rPr>
                <w:spacing w:val="-5"/>
              </w:rPr>
              <w:t>30</w:t>
            </w:r>
          </w:hyperlink>
        </w:p>
        <w:p>
          <w:pPr>
            <w:pStyle w:val="TOC3"/>
            <w:numPr>
              <w:ilvl w:val="2"/>
              <w:numId w:val="2"/>
            </w:numPr>
            <w:tabs>
              <w:tab w:pos="1043" w:val="left" w:leader="none"/>
              <w:tab w:pos="9041" w:val="right" w:leader="dot"/>
            </w:tabs>
            <w:spacing w:line="240" w:lineRule="auto" w:before="237" w:after="0"/>
            <w:ind w:left="1043" w:right="0" w:hanging="540"/>
            <w:jc w:val="left"/>
          </w:pPr>
          <w:hyperlink w:history="true" w:anchor="_bookmark48">
            <w:r>
              <w:rPr>
                <w:spacing w:val="-2"/>
              </w:rPr>
              <w:t>Sector</w:t>
            </w:r>
            <w:r>
              <w:rPr>
                <w:spacing w:val="-5"/>
              </w:rPr>
              <w:t> </w:t>
            </w:r>
            <w:r>
              <w:rPr>
                <w:spacing w:val="-2"/>
              </w:rPr>
              <w:t>Attractiveness</w:t>
            </w:r>
            <w:r>
              <w:rPr/>
              <w:tab/>
            </w:r>
            <w:r>
              <w:rPr>
                <w:spacing w:val="-5"/>
              </w:rPr>
              <w:t>30</w:t>
            </w:r>
          </w:hyperlink>
        </w:p>
        <w:p>
          <w:pPr>
            <w:pStyle w:val="TOC3"/>
            <w:numPr>
              <w:ilvl w:val="2"/>
              <w:numId w:val="2"/>
            </w:numPr>
            <w:tabs>
              <w:tab w:pos="1043" w:val="left" w:leader="none"/>
              <w:tab w:pos="9041" w:val="right" w:leader="dot"/>
            </w:tabs>
            <w:spacing w:line="240" w:lineRule="auto" w:before="238" w:after="0"/>
            <w:ind w:left="1043" w:right="0" w:hanging="540"/>
            <w:jc w:val="left"/>
          </w:pPr>
          <w:hyperlink w:history="true" w:anchor="_bookmark49">
            <w:r>
              <w:rPr/>
              <w:t>Interpretation</w:t>
            </w:r>
            <w:r>
              <w:rPr>
                <w:spacing w:val="-4"/>
              </w:rPr>
              <w:t> </w:t>
            </w:r>
            <w:r>
              <w:rPr/>
              <w:t>and</w:t>
            </w:r>
            <w:r>
              <w:rPr>
                <w:spacing w:val="1"/>
              </w:rPr>
              <w:t> </w:t>
            </w:r>
            <w:r>
              <w:rPr/>
              <w:t>Link</w:t>
            </w:r>
            <w:r>
              <w:rPr>
                <w:spacing w:val="-1"/>
              </w:rPr>
              <w:t> </w:t>
            </w:r>
            <w:r>
              <w:rPr/>
              <w:t>to</w:t>
            </w:r>
            <w:r>
              <w:rPr>
                <w:spacing w:val="-1"/>
              </w:rPr>
              <w:t> </w:t>
            </w:r>
            <w:r>
              <w:rPr>
                <w:spacing w:val="-2"/>
              </w:rPr>
              <w:t>Literature</w:t>
            </w:r>
            <w:r>
              <w:rPr/>
              <w:tab/>
            </w:r>
            <w:r>
              <w:rPr>
                <w:spacing w:val="-5"/>
              </w:rPr>
              <w:t>31</w:t>
            </w:r>
          </w:hyperlink>
        </w:p>
        <w:p>
          <w:pPr>
            <w:pStyle w:val="TOC2"/>
            <w:numPr>
              <w:ilvl w:val="1"/>
              <w:numId w:val="2"/>
            </w:numPr>
            <w:tabs>
              <w:tab w:pos="623" w:val="left" w:leader="none"/>
              <w:tab w:pos="9041" w:val="right" w:leader="dot"/>
            </w:tabs>
            <w:spacing w:line="240" w:lineRule="auto" w:before="240" w:after="0"/>
            <w:ind w:left="623" w:right="0" w:hanging="360"/>
            <w:jc w:val="left"/>
          </w:pPr>
          <w:hyperlink w:history="true" w:anchor="_bookmark50">
            <w:r>
              <w:rPr/>
              <w:t>Investment</w:t>
            </w:r>
            <w:r>
              <w:rPr>
                <w:spacing w:val="-1"/>
              </w:rPr>
              <w:t> </w:t>
            </w:r>
            <w:r>
              <w:rPr/>
              <w:t>Stage</w:t>
            </w:r>
            <w:r>
              <w:rPr>
                <w:spacing w:val="-16"/>
              </w:rPr>
              <w:t> </w:t>
            </w:r>
            <w:r>
              <w:rPr>
                <w:spacing w:val="-2"/>
              </w:rPr>
              <w:t>Analysis</w:t>
            </w:r>
            <w:r>
              <w:rPr/>
              <w:tab/>
            </w:r>
            <w:r>
              <w:rPr>
                <w:spacing w:val="-5"/>
              </w:rPr>
              <w:t>32</w:t>
            </w:r>
          </w:hyperlink>
        </w:p>
        <w:p>
          <w:pPr>
            <w:pStyle w:val="TOC3"/>
            <w:numPr>
              <w:ilvl w:val="2"/>
              <w:numId w:val="2"/>
            </w:numPr>
            <w:tabs>
              <w:tab w:pos="1043" w:val="left" w:leader="none"/>
              <w:tab w:pos="9041" w:val="right" w:leader="dot"/>
            </w:tabs>
            <w:spacing w:line="240" w:lineRule="auto" w:before="238" w:after="0"/>
            <w:ind w:left="1043" w:right="0" w:hanging="540"/>
            <w:jc w:val="left"/>
          </w:pPr>
          <w:hyperlink w:history="true" w:anchor="_bookmark51">
            <w:r>
              <w:rPr/>
              <w:t>Deal</w:t>
            </w:r>
            <w:r>
              <w:rPr>
                <w:spacing w:val="-2"/>
              </w:rPr>
              <w:t> </w:t>
            </w:r>
            <w:r>
              <w:rPr/>
              <w:t>Stage</w:t>
            </w:r>
            <w:r>
              <w:rPr>
                <w:spacing w:val="-2"/>
              </w:rPr>
              <w:t> Distribution</w:t>
            </w:r>
            <w:r>
              <w:rPr/>
              <w:tab/>
            </w:r>
            <w:r>
              <w:rPr>
                <w:spacing w:val="-5"/>
              </w:rPr>
              <w:t>33</w:t>
            </w:r>
          </w:hyperlink>
        </w:p>
        <w:p>
          <w:pPr>
            <w:pStyle w:val="TOC3"/>
            <w:numPr>
              <w:ilvl w:val="2"/>
              <w:numId w:val="2"/>
            </w:numPr>
            <w:tabs>
              <w:tab w:pos="1043" w:val="left" w:leader="none"/>
              <w:tab w:pos="9041" w:val="right" w:leader="dot"/>
            </w:tabs>
            <w:spacing w:line="240" w:lineRule="auto" w:before="238" w:after="20"/>
            <w:ind w:left="1043" w:right="0" w:hanging="540"/>
            <w:jc w:val="left"/>
          </w:pPr>
          <w:hyperlink w:history="true" w:anchor="_bookmark52">
            <w:r>
              <w:rPr/>
              <w:t>Control</w:t>
            </w:r>
            <w:r>
              <w:rPr>
                <w:spacing w:val="-1"/>
              </w:rPr>
              <w:t> </w:t>
            </w:r>
            <w:r>
              <w:rPr/>
              <w:t>vs</w:t>
            </w:r>
            <w:r>
              <w:rPr>
                <w:spacing w:val="-2"/>
              </w:rPr>
              <w:t> </w:t>
            </w:r>
            <w:r>
              <w:rPr/>
              <w:t>Minority</w:t>
            </w:r>
            <w:r>
              <w:rPr>
                <w:spacing w:val="-1"/>
              </w:rPr>
              <w:t> </w:t>
            </w:r>
            <w:r>
              <w:rPr>
                <w:spacing w:val="-2"/>
              </w:rPr>
              <w:t>Shift</w:t>
            </w:r>
            <w:r>
              <w:rPr/>
              <w:tab/>
            </w:r>
            <w:r>
              <w:rPr>
                <w:spacing w:val="-5"/>
              </w:rPr>
              <w:t>33</w:t>
            </w:r>
          </w:hyperlink>
        </w:p>
        <w:p>
          <w:pPr>
            <w:pStyle w:val="TOC3"/>
            <w:numPr>
              <w:ilvl w:val="2"/>
              <w:numId w:val="2"/>
            </w:numPr>
            <w:tabs>
              <w:tab w:pos="1043" w:val="left" w:leader="none"/>
              <w:tab w:pos="9041" w:val="right" w:leader="dot"/>
            </w:tabs>
            <w:spacing w:line="240" w:lineRule="auto" w:before="62" w:after="0"/>
            <w:ind w:left="1043" w:right="0" w:hanging="540"/>
            <w:jc w:val="left"/>
          </w:pPr>
          <w:hyperlink w:history="true" w:anchor="_bookmark53">
            <w:r>
              <w:rPr/>
              <w:t>Interpretation:</w:t>
            </w:r>
            <w:r>
              <w:rPr>
                <w:spacing w:val="-2"/>
              </w:rPr>
              <w:t> </w:t>
            </w:r>
            <w:r>
              <w:rPr/>
              <w:t>Governance,</w:t>
            </w:r>
            <w:r>
              <w:rPr>
                <w:spacing w:val="-2"/>
              </w:rPr>
              <w:t> </w:t>
            </w:r>
            <w:r>
              <w:rPr/>
              <w:t>Control,</w:t>
            </w:r>
            <w:r>
              <w:rPr>
                <w:spacing w:val="-1"/>
              </w:rPr>
              <w:t> </w:t>
            </w:r>
            <w:r>
              <w:rPr/>
              <w:t>and</w:t>
            </w:r>
            <w:r>
              <w:rPr>
                <w:spacing w:val="-3"/>
              </w:rPr>
              <w:t> </w:t>
            </w:r>
            <w:r>
              <w:rPr/>
              <w:t>Market</w:t>
            </w:r>
            <w:r>
              <w:rPr>
                <w:spacing w:val="-1"/>
              </w:rPr>
              <w:t> </w:t>
            </w:r>
            <w:r>
              <w:rPr>
                <w:spacing w:val="-2"/>
              </w:rPr>
              <w:t>Maturity</w:t>
            </w:r>
            <w:r>
              <w:rPr/>
              <w:tab/>
            </w:r>
            <w:r>
              <w:rPr>
                <w:spacing w:val="-5"/>
              </w:rPr>
              <w:t>33</w:t>
            </w:r>
          </w:hyperlink>
        </w:p>
        <w:p>
          <w:pPr>
            <w:pStyle w:val="TOC2"/>
            <w:numPr>
              <w:ilvl w:val="1"/>
              <w:numId w:val="2"/>
            </w:numPr>
            <w:tabs>
              <w:tab w:pos="608" w:val="left" w:leader="none"/>
              <w:tab w:pos="9041" w:val="right" w:leader="dot"/>
            </w:tabs>
            <w:spacing w:line="240" w:lineRule="auto" w:before="237" w:after="0"/>
            <w:ind w:left="608" w:right="0" w:hanging="345"/>
            <w:jc w:val="left"/>
          </w:pPr>
          <w:hyperlink w:history="true" w:anchor="_bookmark54">
            <w:r>
              <w:rPr/>
              <w:t>Analysis</w:t>
            </w:r>
            <w:r>
              <w:rPr>
                <w:spacing w:val="-2"/>
              </w:rPr>
              <w:t> </w:t>
            </w:r>
            <w:r>
              <w:rPr/>
              <w:t>of </w:t>
            </w:r>
            <w:r>
              <w:rPr>
                <w:spacing w:val="-2"/>
              </w:rPr>
              <w:t>Exits</w:t>
            </w:r>
            <w:r>
              <w:rPr/>
              <w:tab/>
            </w:r>
            <w:r>
              <w:rPr>
                <w:spacing w:val="-5"/>
              </w:rPr>
              <w:t>34</w:t>
            </w:r>
          </w:hyperlink>
        </w:p>
        <w:p>
          <w:pPr>
            <w:pStyle w:val="TOC3"/>
            <w:numPr>
              <w:ilvl w:val="2"/>
              <w:numId w:val="2"/>
            </w:numPr>
            <w:tabs>
              <w:tab w:pos="1028" w:val="left" w:leader="none"/>
              <w:tab w:pos="9041" w:val="right" w:leader="dot"/>
            </w:tabs>
            <w:spacing w:line="240" w:lineRule="auto" w:before="238" w:after="0"/>
            <w:ind w:left="1028" w:right="0" w:hanging="525"/>
            <w:jc w:val="left"/>
          </w:pPr>
          <w:hyperlink w:history="true" w:anchor="_bookmark55">
            <w:r>
              <w:rPr/>
              <w:t>Annual</w:t>
            </w:r>
            <w:r>
              <w:rPr>
                <w:spacing w:val="-2"/>
              </w:rPr>
              <w:t> </w:t>
            </w:r>
            <w:r>
              <w:rPr/>
              <w:t>Exit</w:t>
            </w:r>
            <w:r>
              <w:rPr>
                <w:spacing w:val="-14"/>
              </w:rPr>
              <w:t> </w:t>
            </w:r>
            <w:r>
              <w:rPr>
                <w:spacing w:val="-2"/>
              </w:rPr>
              <w:t>Activity</w:t>
            </w:r>
            <w:r>
              <w:rPr/>
              <w:tab/>
            </w:r>
            <w:r>
              <w:rPr>
                <w:spacing w:val="-5"/>
              </w:rPr>
              <w:t>34</w:t>
            </w:r>
          </w:hyperlink>
        </w:p>
        <w:p>
          <w:pPr>
            <w:pStyle w:val="TOC3"/>
            <w:numPr>
              <w:ilvl w:val="2"/>
              <w:numId w:val="2"/>
            </w:numPr>
            <w:tabs>
              <w:tab w:pos="1043" w:val="left" w:leader="none"/>
              <w:tab w:pos="9041" w:val="right" w:leader="dot"/>
            </w:tabs>
            <w:spacing w:line="240" w:lineRule="auto" w:before="238" w:after="0"/>
            <w:ind w:left="1043" w:right="0" w:hanging="540"/>
            <w:jc w:val="left"/>
          </w:pPr>
          <w:hyperlink w:history="true" w:anchor="_bookmark56">
            <w:r>
              <w:rPr/>
              <w:t>Exit</w:t>
            </w:r>
            <w:r>
              <w:rPr>
                <w:spacing w:val="-14"/>
              </w:rPr>
              <w:t> </w:t>
            </w:r>
            <w:r>
              <w:rPr/>
              <w:t>Types</w:t>
            </w:r>
            <w:r>
              <w:rPr>
                <w:spacing w:val="-10"/>
              </w:rPr>
              <w:t> </w:t>
            </w:r>
            <w:r>
              <w:rPr>
                <w:spacing w:val="-2"/>
              </w:rPr>
              <w:t>Distribution</w:t>
            </w:r>
            <w:r>
              <w:rPr/>
              <w:tab/>
            </w:r>
            <w:r>
              <w:rPr>
                <w:spacing w:val="-5"/>
              </w:rPr>
              <w:t>35</w:t>
            </w:r>
          </w:hyperlink>
        </w:p>
        <w:p>
          <w:pPr>
            <w:pStyle w:val="TOC3"/>
            <w:numPr>
              <w:ilvl w:val="2"/>
              <w:numId w:val="2"/>
            </w:numPr>
            <w:tabs>
              <w:tab w:pos="1043" w:val="left" w:leader="none"/>
              <w:tab w:pos="9041" w:val="right" w:leader="dot"/>
            </w:tabs>
            <w:spacing w:line="240" w:lineRule="auto" w:before="240" w:after="0"/>
            <w:ind w:left="1043" w:right="0" w:hanging="540"/>
            <w:jc w:val="left"/>
          </w:pPr>
          <w:hyperlink w:history="true" w:anchor="_bookmark57">
            <w:r>
              <w:rPr>
                <w:spacing w:val="-2"/>
              </w:rPr>
              <w:t>Sector-Wise</w:t>
            </w:r>
            <w:r>
              <w:rPr>
                <w:spacing w:val="3"/>
              </w:rPr>
              <w:t> </w:t>
            </w:r>
            <w:r>
              <w:rPr>
                <w:spacing w:val="-4"/>
              </w:rPr>
              <w:t>Exit</w:t>
            </w:r>
            <w:r>
              <w:rPr/>
              <w:tab/>
            </w:r>
            <w:r>
              <w:rPr>
                <w:spacing w:val="-5"/>
              </w:rPr>
              <w:t>36</w:t>
            </w:r>
          </w:hyperlink>
        </w:p>
        <w:p>
          <w:pPr>
            <w:pStyle w:val="TOC2"/>
            <w:numPr>
              <w:ilvl w:val="1"/>
              <w:numId w:val="2"/>
            </w:numPr>
            <w:tabs>
              <w:tab w:pos="623" w:val="left" w:leader="none"/>
              <w:tab w:pos="9041" w:val="right" w:leader="dot"/>
            </w:tabs>
            <w:spacing w:line="240" w:lineRule="auto" w:before="237" w:after="0"/>
            <w:ind w:left="623" w:right="0" w:hanging="360"/>
            <w:jc w:val="left"/>
          </w:pPr>
          <w:hyperlink w:history="true" w:anchor="_bookmark58">
            <w:r>
              <w:rPr/>
              <w:t>Exit</w:t>
            </w:r>
            <w:r>
              <w:rPr>
                <w:spacing w:val="-4"/>
              </w:rPr>
              <w:t> </w:t>
            </w:r>
            <w:r>
              <w:rPr/>
              <w:t>Performance</w:t>
            </w:r>
            <w:r>
              <w:rPr>
                <w:spacing w:val="-16"/>
              </w:rPr>
              <w:t> </w:t>
            </w:r>
            <w:r>
              <w:rPr>
                <w:spacing w:val="-2"/>
              </w:rPr>
              <w:t>Analysis</w:t>
            </w:r>
            <w:r>
              <w:rPr/>
              <w:tab/>
            </w:r>
            <w:r>
              <w:rPr>
                <w:spacing w:val="-5"/>
              </w:rPr>
              <w:t>37</w:t>
            </w:r>
          </w:hyperlink>
        </w:p>
        <w:p>
          <w:pPr>
            <w:pStyle w:val="TOC2"/>
            <w:numPr>
              <w:ilvl w:val="1"/>
              <w:numId w:val="2"/>
            </w:numPr>
            <w:tabs>
              <w:tab w:pos="623" w:val="left" w:leader="none"/>
              <w:tab w:pos="9041" w:val="right" w:leader="dot"/>
            </w:tabs>
            <w:spacing w:line="240" w:lineRule="auto" w:before="239" w:after="0"/>
            <w:ind w:left="623" w:right="0" w:hanging="360"/>
            <w:jc w:val="left"/>
          </w:pPr>
          <w:hyperlink w:history="true" w:anchor="_bookmark59">
            <w:r>
              <w:rPr/>
              <w:t>Comparative</w:t>
            </w:r>
            <w:r>
              <w:rPr>
                <w:spacing w:val="-16"/>
              </w:rPr>
              <w:t> </w:t>
            </w:r>
            <w:r>
              <w:rPr/>
              <w:t>Analysis</w:t>
            </w:r>
            <w:r>
              <w:rPr>
                <w:spacing w:val="-6"/>
              </w:rPr>
              <w:t> </w:t>
            </w:r>
            <w:r>
              <w:rPr/>
              <w:t>with</w:t>
            </w:r>
            <w:r>
              <w:rPr>
                <w:spacing w:val="-2"/>
              </w:rPr>
              <w:t> </w:t>
            </w:r>
            <w:r>
              <w:rPr/>
              <w:t>Emerging</w:t>
            </w:r>
            <w:r>
              <w:rPr>
                <w:spacing w:val="-2"/>
              </w:rPr>
              <w:t> Markets</w:t>
            </w:r>
            <w:r>
              <w:rPr/>
              <w:tab/>
            </w:r>
            <w:r>
              <w:rPr>
                <w:spacing w:val="-5"/>
              </w:rPr>
              <w:t>38</w:t>
            </w:r>
          </w:hyperlink>
        </w:p>
        <w:p>
          <w:pPr>
            <w:pStyle w:val="TOC2"/>
            <w:numPr>
              <w:ilvl w:val="1"/>
              <w:numId w:val="2"/>
            </w:numPr>
            <w:tabs>
              <w:tab w:pos="623" w:val="left" w:leader="none"/>
              <w:tab w:pos="9041" w:val="right" w:leader="dot"/>
            </w:tabs>
            <w:spacing w:line="240" w:lineRule="auto" w:before="237" w:after="0"/>
            <w:ind w:left="623" w:right="0" w:hanging="360"/>
            <w:jc w:val="left"/>
          </w:pPr>
          <w:hyperlink w:history="true" w:anchor="_bookmark60">
            <w:r>
              <w:rPr/>
              <w:t>Case</w:t>
            </w:r>
            <w:r>
              <w:rPr>
                <w:spacing w:val="-2"/>
              </w:rPr>
              <w:t> Studies</w:t>
            </w:r>
            <w:r>
              <w:rPr/>
              <w:tab/>
            </w:r>
            <w:r>
              <w:rPr>
                <w:spacing w:val="-5"/>
              </w:rPr>
              <w:t>40</w:t>
            </w:r>
          </w:hyperlink>
        </w:p>
        <w:p>
          <w:pPr>
            <w:pStyle w:val="TOC3"/>
            <w:numPr>
              <w:ilvl w:val="2"/>
              <w:numId w:val="2"/>
            </w:numPr>
            <w:tabs>
              <w:tab w:pos="1042" w:val="left" w:leader="none"/>
              <w:tab w:pos="9041" w:val="right" w:leader="dot"/>
            </w:tabs>
            <w:spacing w:line="240" w:lineRule="auto" w:before="238" w:after="0"/>
            <w:ind w:left="1042" w:right="0" w:hanging="539"/>
            <w:jc w:val="left"/>
          </w:pPr>
          <w:hyperlink w:history="true" w:anchor="_bookmark61">
            <w:r>
              <w:rPr>
                <w:spacing w:val="-2"/>
              </w:rPr>
              <w:t>Zomato</w:t>
            </w:r>
            <w:r>
              <w:rPr/>
              <w:tab/>
            </w:r>
            <w:r>
              <w:rPr>
                <w:spacing w:val="-5"/>
              </w:rPr>
              <w:t>40</w:t>
            </w:r>
          </w:hyperlink>
        </w:p>
        <w:p>
          <w:pPr>
            <w:pStyle w:val="TOC3"/>
            <w:numPr>
              <w:ilvl w:val="2"/>
              <w:numId w:val="2"/>
            </w:numPr>
            <w:tabs>
              <w:tab w:pos="1043" w:val="left" w:leader="none"/>
              <w:tab w:pos="9041" w:val="right" w:leader="dot"/>
            </w:tabs>
            <w:spacing w:line="240" w:lineRule="auto" w:before="237" w:after="0"/>
            <w:ind w:left="1043" w:right="0" w:hanging="540"/>
            <w:jc w:val="left"/>
          </w:pPr>
          <w:hyperlink w:history="true" w:anchor="_bookmark62">
            <w:r>
              <w:rPr>
                <w:spacing w:val="-2"/>
              </w:rPr>
              <w:t>Flipkart</w:t>
            </w:r>
            <w:r>
              <w:rPr/>
              <w:tab/>
            </w:r>
            <w:r>
              <w:rPr>
                <w:spacing w:val="-5"/>
              </w:rPr>
              <w:t>40</w:t>
            </w:r>
          </w:hyperlink>
        </w:p>
        <w:p>
          <w:pPr>
            <w:pStyle w:val="TOC2"/>
            <w:numPr>
              <w:ilvl w:val="1"/>
              <w:numId w:val="2"/>
            </w:numPr>
            <w:tabs>
              <w:tab w:pos="743" w:val="left" w:leader="none"/>
              <w:tab w:pos="9041" w:val="right" w:leader="dot"/>
            </w:tabs>
            <w:spacing w:line="240" w:lineRule="auto" w:before="240" w:after="0"/>
            <w:ind w:left="743" w:right="0" w:hanging="480"/>
            <w:jc w:val="left"/>
          </w:pPr>
          <w:hyperlink w:history="true" w:anchor="_bookmark63">
            <w:r>
              <w:rPr/>
              <w:t>Synthesis</w:t>
            </w:r>
            <w:r>
              <w:rPr>
                <w:spacing w:val="-4"/>
              </w:rPr>
              <w:t> </w:t>
            </w:r>
            <w:r>
              <w:rPr/>
              <w:t>and</w:t>
            </w:r>
            <w:r>
              <w:rPr>
                <w:spacing w:val="-9"/>
              </w:rPr>
              <w:t> </w:t>
            </w:r>
            <w:r>
              <w:rPr/>
              <w:t>Theory</w:t>
            </w:r>
            <w:r>
              <w:rPr>
                <w:spacing w:val="-2"/>
              </w:rPr>
              <w:t> </w:t>
            </w:r>
            <w:r>
              <w:rPr>
                <w:spacing w:val="-4"/>
              </w:rPr>
              <w:t>Link</w:t>
            </w:r>
            <w:r>
              <w:rPr/>
              <w:tab/>
            </w:r>
            <w:r>
              <w:rPr>
                <w:spacing w:val="-5"/>
              </w:rPr>
              <w:t>40</w:t>
            </w:r>
          </w:hyperlink>
        </w:p>
        <w:p>
          <w:pPr>
            <w:pStyle w:val="TOC2"/>
            <w:numPr>
              <w:ilvl w:val="1"/>
              <w:numId w:val="2"/>
            </w:numPr>
            <w:tabs>
              <w:tab w:pos="733" w:val="left" w:leader="none"/>
              <w:tab w:pos="9041" w:val="right" w:leader="dot"/>
            </w:tabs>
            <w:spacing w:line="240" w:lineRule="auto" w:before="238" w:after="0"/>
            <w:ind w:left="733" w:right="0" w:hanging="470"/>
            <w:jc w:val="left"/>
          </w:pPr>
          <w:hyperlink w:history="true" w:anchor="_bookmark64">
            <w:r>
              <w:rPr/>
              <w:t>Summary</w:t>
            </w:r>
            <w:r>
              <w:rPr>
                <w:spacing w:val="-2"/>
              </w:rPr>
              <w:t> </w:t>
            </w:r>
            <w:r>
              <w:rPr/>
              <w:t>of</w:t>
            </w:r>
            <w:r>
              <w:rPr>
                <w:spacing w:val="-2"/>
              </w:rPr>
              <w:t> </w:t>
            </w:r>
            <w:r>
              <w:rPr/>
              <w:t>Key</w:t>
            </w:r>
            <w:r>
              <w:rPr>
                <w:spacing w:val="-1"/>
              </w:rPr>
              <w:t> </w:t>
            </w:r>
            <w:r>
              <w:rPr>
                <w:spacing w:val="-2"/>
              </w:rPr>
              <w:t>Findings</w:t>
            </w:r>
            <w:r>
              <w:rPr/>
              <w:tab/>
            </w:r>
            <w:r>
              <w:rPr>
                <w:spacing w:val="-5"/>
              </w:rPr>
              <w:t>41</w:t>
            </w:r>
          </w:hyperlink>
        </w:p>
        <w:p>
          <w:pPr>
            <w:pStyle w:val="TOC1"/>
            <w:tabs>
              <w:tab w:pos="9041" w:val="right" w:leader="dot"/>
            </w:tabs>
            <w:ind w:firstLine="0"/>
          </w:pPr>
          <w:hyperlink w:history="true" w:anchor="_bookmark65">
            <w:r>
              <w:rPr>
                <w:spacing w:val="-2"/>
              </w:rPr>
              <w:t>References</w:t>
            </w:r>
            <w:r>
              <w:rPr/>
              <w:tab/>
            </w:r>
            <w:r>
              <w:rPr>
                <w:spacing w:val="-5"/>
              </w:rPr>
              <w:t>42</w:t>
            </w:r>
          </w:hyperlink>
        </w:p>
        <w:p>
          <w:pPr/>
          <w:r>
            <w:fldChar w:fldCharType="end"/>
          </w:r>
        </w:p>
      </w:sdtContent>
    </w:sdt>
    <w:p>
      <w:pPr>
        <w:spacing w:after="0"/>
        <w:sectPr>
          <w:type w:val="continuous"/>
          <w:pgSz w:w="11910" w:h="16840"/>
          <w:pgMar w:header="0" w:footer="1526" w:top="1378" w:bottom="1737" w:left="1417" w:right="1417"/>
        </w:sectPr>
      </w:pPr>
    </w:p>
    <w:p>
      <w:pPr>
        <w:pStyle w:val="Heading1"/>
        <w:numPr>
          <w:ilvl w:val="0"/>
          <w:numId w:val="3"/>
        </w:numPr>
        <w:tabs>
          <w:tab w:pos="302" w:val="left" w:leader="none"/>
        </w:tabs>
        <w:spacing w:line="240" w:lineRule="auto" w:before="64" w:after="0"/>
        <w:ind w:left="302" w:right="0" w:hanging="279"/>
        <w:jc w:val="left"/>
      </w:pPr>
      <w:bookmarkStart w:name="_bookmark0" w:id="1"/>
      <w:bookmarkEnd w:id="1"/>
      <w:r>
        <w:rPr>
          <w:b w:val="0"/>
        </w:rPr>
      </w:r>
      <w:r>
        <w:rPr>
          <w:spacing w:val="-2"/>
        </w:rPr>
        <w:t>Introduction</w:t>
      </w:r>
    </w:p>
    <w:p>
      <w:pPr>
        <w:pStyle w:val="Heading2"/>
        <w:numPr>
          <w:ilvl w:val="1"/>
          <w:numId w:val="3"/>
        </w:numPr>
        <w:tabs>
          <w:tab w:pos="411" w:val="left" w:leader="none"/>
        </w:tabs>
        <w:spacing w:line="240" w:lineRule="auto" w:before="321" w:after="0"/>
        <w:ind w:left="411" w:right="0" w:hanging="388"/>
        <w:jc w:val="left"/>
      </w:pPr>
      <w:bookmarkStart w:name="_bookmark1" w:id="2"/>
      <w:bookmarkEnd w:id="2"/>
      <w:r>
        <w:rPr>
          <w:b w:val="0"/>
        </w:rPr>
      </w:r>
      <w:r>
        <w:rPr/>
        <w:t>Background</w:t>
      </w:r>
      <w:r>
        <w:rPr>
          <w:spacing w:val="-13"/>
        </w:rPr>
        <w:t> </w:t>
      </w:r>
      <w:r>
        <w:rPr/>
        <w:t>and</w:t>
      </w:r>
      <w:r>
        <w:rPr>
          <w:spacing w:val="-9"/>
        </w:rPr>
        <w:t> </w:t>
      </w:r>
      <w:r>
        <w:rPr>
          <w:spacing w:val="-2"/>
        </w:rPr>
        <w:t>Context</w:t>
      </w:r>
    </w:p>
    <w:p>
      <w:pPr>
        <w:pStyle w:val="BodyText"/>
        <w:spacing w:line="360" w:lineRule="auto" w:before="226"/>
        <w:ind w:left="23" w:right="22"/>
        <w:jc w:val="both"/>
      </w:pPr>
      <w:r>
        <w:rPr/>
        <w:t>Over</w:t>
      </w:r>
      <w:r>
        <w:rPr>
          <w:spacing w:val="-3"/>
        </w:rPr>
        <w:t> </w:t>
      </w:r>
      <w:r>
        <w:rPr/>
        <w:t>the</w:t>
      </w:r>
      <w:r>
        <w:rPr>
          <w:spacing w:val="-3"/>
        </w:rPr>
        <w:t> </w:t>
      </w:r>
      <w:r>
        <w:rPr/>
        <w:t>last</w:t>
      </w:r>
      <w:r>
        <w:rPr>
          <w:spacing w:val="-2"/>
        </w:rPr>
        <w:t> </w:t>
      </w:r>
      <w:r>
        <w:rPr/>
        <w:t>twenty</w:t>
      </w:r>
      <w:r>
        <w:rPr>
          <w:spacing w:val="-2"/>
        </w:rPr>
        <w:t> </w:t>
      </w:r>
      <w:r>
        <w:rPr/>
        <w:t>years,</w:t>
      </w:r>
      <w:r>
        <w:rPr>
          <w:spacing w:val="-2"/>
        </w:rPr>
        <w:t> </w:t>
      </w:r>
      <w:r>
        <w:rPr/>
        <w:t>India’s</w:t>
      </w:r>
      <w:r>
        <w:rPr>
          <w:spacing w:val="-2"/>
        </w:rPr>
        <w:t> </w:t>
      </w:r>
      <w:r>
        <w:rPr/>
        <w:t>private</w:t>
      </w:r>
      <w:r>
        <w:rPr>
          <w:spacing w:val="-3"/>
        </w:rPr>
        <w:t> </w:t>
      </w:r>
      <w:r>
        <w:rPr/>
        <w:t>equity market</w:t>
      </w:r>
      <w:r>
        <w:rPr>
          <w:spacing w:val="-2"/>
        </w:rPr>
        <w:t> </w:t>
      </w:r>
      <w:r>
        <w:rPr/>
        <w:t>has</w:t>
      </w:r>
      <w:r>
        <w:rPr>
          <w:spacing w:val="-2"/>
        </w:rPr>
        <w:t> </w:t>
      </w:r>
      <w:r>
        <w:rPr/>
        <w:t>evolved</w:t>
      </w:r>
      <w:r>
        <w:rPr>
          <w:spacing w:val="-2"/>
        </w:rPr>
        <w:t> </w:t>
      </w:r>
      <w:r>
        <w:rPr/>
        <w:t>from a</w:t>
      </w:r>
      <w:r>
        <w:rPr>
          <w:spacing w:val="-3"/>
        </w:rPr>
        <w:t> </w:t>
      </w:r>
      <w:r>
        <w:rPr/>
        <w:t>small</w:t>
      </w:r>
      <w:r>
        <w:rPr>
          <w:spacing w:val="-2"/>
        </w:rPr>
        <w:t> </w:t>
      </w:r>
      <w:r>
        <w:rPr/>
        <w:t>component of the country’s financial system to a significant driver of economic growth.</w:t>
      </w:r>
      <w:r>
        <w:rPr>
          <w:spacing w:val="-1"/>
        </w:rPr>
        <w:t> </w:t>
      </w:r>
      <w:r>
        <w:rPr/>
        <w:t>This change has been supported by government reforms, including liberalisation of foreign direct investment (FDI), the SEBI (AIF) Regulations of 2012 , and the Insolvency and Bankruptcy Code (IBC) (Abhirami &amp; Rahul, 2022; Neerza &amp; Tripathi, 2019). These measures have not only strengthened the corporate governance and financial discipline of Indian companies but also made them more competitive in global markets.</w:t>
      </w:r>
      <w:r>
        <w:rPr>
          <w:spacing w:val="-5"/>
        </w:rPr>
        <w:t> </w:t>
      </w:r>
      <w:r>
        <w:rPr/>
        <w:t>As the world’s fourth-largest and one of the fastest-growing economies, India has become an attractive destination for global investors.</w:t>
      </w:r>
    </w:p>
    <w:p>
      <w:pPr>
        <w:pStyle w:val="BodyText"/>
        <w:spacing w:line="360" w:lineRule="auto" w:before="162"/>
        <w:ind w:left="23" w:right="21"/>
        <w:jc w:val="both"/>
      </w:pPr>
      <w:r>
        <w:rPr/>
        <w:t>The</w:t>
      </w:r>
      <w:r>
        <w:rPr>
          <w:spacing w:val="-9"/>
        </w:rPr>
        <w:t> </w:t>
      </w:r>
      <w:r>
        <w:rPr/>
        <w:t>global</w:t>
      </w:r>
      <w:r>
        <w:rPr>
          <w:spacing w:val="-8"/>
        </w:rPr>
        <w:t> </w:t>
      </w:r>
      <w:r>
        <w:rPr/>
        <w:t>financial</w:t>
      </w:r>
      <w:r>
        <w:rPr>
          <w:spacing w:val="-8"/>
        </w:rPr>
        <w:t> </w:t>
      </w:r>
      <w:r>
        <w:rPr/>
        <w:t>crisis</w:t>
      </w:r>
      <w:r>
        <w:rPr>
          <w:spacing w:val="-8"/>
        </w:rPr>
        <w:t> </w:t>
      </w:r>
      <w:r>
        <w:rPr/>
        <w:t>of</w:t>
      </w:r>
      <w:r>
        <w:rPr>
          <w:spacing w:val="-9"/>
        </w:rPr>
        <w:t> </w:t>
      </w:r>
      <w:r>
        <w:rPr/>
        <w:t>2008</w:t>
      </w:r>
      <w:r>
        <w:rPr>
          <w:spacing w:val="-8"/>
        </w:rPr>
        <w:t> </w:t>
      </w:r>
      <w:r>
        <w:rPr/>
        <w:t>marked</w:t>
      </w:r>
      <w:r>
        <w:rPr>
          <w:spacing w:val="-8"/>
        </w:rPr>
        <w:t> </w:t>
      </w:r>
      <w:r>
        <w:rPr/>
        <w:t>a</w:t>
      </w:r>
      <w:r>
        <w:rPr>
          <w:spacing w:val="-9"/>
        </w:rPr>
        <w:t> </w:t>
      </w:r>
      <w:r>
        <w:rPr/>
        <w:t>critical</w:t>
      </w:r>
      <w:r>
        <w:rPr>
          <w:spacing w:val="-8"/>
        </w:rPr>
        <w:t> </w:t>
      </w:r>
      <w:r>
        <w:rPr/>
        <w:t>inflection</w:t>
      </w:r>
      <w:r>
        <w:rPr>
          <w:spacing w:val="-8"/>
        </w:rPr>
        <w:t> </w:t>
      </w:r>
      <w:r>
        <w:rPr/>
        <w:t>point</w:t>
      </w:r>
      <w:r>
        <w:rPr>
          <w:spacing w:val="-8"/>
        </w:rPr>
        <w:t> </w:t>
      </w:r>
      <w:r>
        <w:rPr/>
        <w:t>for</w:t>
      </w:r>
      <w:r>
        <w:rPr>
          <w:spacing w:val="-10"/>
        </w:rPr>
        <w:t> </w:t>
      </w:r>
      <w:r>
        <w:rPr/>
        <w:t>the</w:t>
      </w:r>
      <w:r>
        <w:rPr>
          <w:spacing w:val="-9"/>
        </w:rPr>
        <w:t> </w:t>
      </w:r>
      <w:r>
        <w:rPr/>
        <w:t>Indian</w:t>
      </w:r>
      <w:r>
        <w:rPr>
          <w:spacing w:val="-8"/>
        </w:rPr>
        <w:t> </w:t>
      </w:r>
      <w:r>
        <w:rPr/>
        <w:t>PE</w:t>
      </w:r>
      <w:r>
        <w:rPr>
          <w:spacing w:val="-8"/>
        </w:rPr>
        <w:t> </w:t>
      </w:r>
      <w:r>
        <w:rPr/>
        <w:t>industry. The market faced significant challenges, including difficult exit conditions, compressed returns, and heightened investor scrutiny. This period of consolidation, however, proved instrumental in maturing the industry, leading to more sophisticated investment strategies, improved due diligence processes, and a shift toward operational value creation rather than purely financial engineering (Smith &amp; Dalmia, 2020).</w:t>
      </w:r>
    </w:p>
    <w:p>
      <w:pPr>
        <w:pStyle w:val="BodyText"/>
        <w:spacing w:line="360" w:lineRule="auto" w:before="159"/>
        <w:ind w:left="23" w:right="20"/>
        <w:jc w:val="both"/>
      </w:pPr>
      <w:r>
        <w:rPr/>
        <w:t>The</w:t>
      </w:r>
      <w:r>
        <w:rPr>
          <w:spacing w:val="-15"/>
        </w:rPr>
        <w:t> </w:t>
      </w:r>
      <w:r>
        <w:rPr/>
        <w:t>post-2012</w:t>
      </w:r>
      <w:r>
        <w:rPr>
          <w:spacing w:val="-15"/>
        </w:rPr>
        <w:t> </w:t>
      </w:r>
      <w:r>
        <w:rPr/>
        <w:t>period</w:t>
      </w:r>
      <w:r>
        <w:rPr>
          <w:spacing w:val="-15"/>
        </w:rPr>
        <w:t> </w:t>
      </w:r>
      <w:r>
        <w:rPr/>
        <w:t>witnessed</w:t>
      </w:r>
      <w:r>
        <w:rPr>
          <w:spacing w:val="-15"/>
        </w:rPr>
        <w:t> </w:t>
      </w:r>
      <w:r>
        <w:rPr/>
        <w:t>substantial</w:t>
      </w:r>
      <w:r>
        <w:rPr>
          <w:spacing w:val="-15"/>
        </w:rPr>
        <w:t> </w:t>
      </w:r>
      <w:r>
        <w:rPr/>
        <w:t>regulatory</w:t>
      </w:r>
      <w:r>
        <w:rPr>
          <w:spacing w:val="-15"/>
        </w:rPr>
        <w:t> </w:t>
      </w:r>
      <w:r>
        <w:rPr/>
        <w:t>reforms</w:t>
      </w:r>
      <w:r>
        <w:rPr>
          <w:spacing w:val="-14"/>
        </w:rPr>
        <w:t> </w:t>
      </w:r>
      <w:r>
        <w:rPr/>
        <w:t>that</w:t>
      </w:r>
      <w:r>
        <w:rPr>
          <w:spacing w:val="-15"/>
        </w:rPr>
        <w:t> </w:t>
      </w:r>
      <w:r>
        <w:rPr/>
        <w:t>provided</w:t>
      </w:r>
      <w:r>
        <w:rPr>
          <w:spacing w:val="-13"/>
        </w:rPr>
        <w:t> </w:t>
      </w:r>
      <w:r>
        <w:rPr/>
        <w:t>greater</w:t>
      </w:r>
      <w:r>
        <w:rPr>
          <w:spacing w:val="-13"/>
        </w:rPr>
        <w:t> </w:t>
      </w:r>
      <w:r>
        <w:rPr/>
        <w:t>clarity</w:t>
      </w:r>
      <w:r>
        <w:rPr>
          <w:spacing w:val="-15"/>
        </w:rPr>
        <w:t> </w:t>
      </w:r>
      <w:r>
        <w:rPr/>
        <w:t>and structure</w:t>
      </w:r>
      <w:r>
        <w:rPr>
          <w:spacing w:val="-1"/>
        </w:rPr>
        <w:t> </w:t>
      </w:r>
      <w:r>
        <w:rPr/>
        <w:t>to the</w:t>
      </w:r>
      <w:r>
        <w:rPr>
          <w:spacing w:val="-1"/>
        </w:rPr>
        <w:t> </w:t>
      </w:r>
      <w:r>
        <w:rPr/>
        <w:t>private</w:t>
      </w:r>
      <w:r>
        <w:rPr>
          <w:spacing w:val="-1"/>
        </w:rPr>
        <w:t> </w:t>
      </w:r>
      <w:r>
        <w:rPr/>
        <w:t>equity ecosystem.</w:t>
      </w:r>
      <w:r>
        <w:rPr>
          <w:spacing w:val="-4"/>
        </w:rPr>
        <w:t> </w:t>
      </w:r>
      <w:r>
        <w:rPr/>
        <w:t>The</w:t>
      </w:r>
      <w:r>
        <w:rPr>
          <w:spacing w:val="-1"/>
        </w:rPr>
        <w:t> </w:t>
      </w:r>
      <w:r>
        <w:rPr/>
        <w:t>Securities and Exchange</w:t>
      </w:r>
      <w:r>
        <w:rPr>
          <w:spacing w:val="-1"/>
        </w:rPr>
        <w:t> </w:t>
      </w:r>
      <w:r>
        <w:rPr/>
        <w:t>Board</w:t>
      </w:r>
      <w:r>
        <w:rPr>
          <w:spacing w:val="-1"/>
        </w:rPr>
        <w:t> </w:t>
      </w:r>
      <w:r>
        <w:rPr/>
        <w:t>of</w:t>
      </w:r>
      <w:r>
        <w:rPr>
          <w:spacing w:val="-1"/>
        </w:rPr>
        <w:t> </w:t>
      </w:r>
      <w:r>
        <w:rPr/>
        <w:t>India</w:t>
      </w:r>
      <w:r>
        <w:rPr>
          <w:spacing w:val="-1"/>
        </w:rPr>
        <w:t> </w:t>
      </w:r>
      <w:r>
        <w:rPr/>
        <w:t>(SEBI) introduced the Alternative Investment Funds (AIF) framework, which standardized fund structures, enhanced disclosure requirements, and improved investor protection mechanisms. These regulatory developments, coupled with India's robust economic growth and expanding startup ecosystem, have contributed to the sustained expansion of the private equity market(Kumar</w:t>
      </w:r>
      <w:r>
        <w:rPr>
          <w:spacing w:val="-10"/>
        </w:rPr>
        <w:t> </w:t>
      </w:r>
      <w:r>
        <w:rPr/>
        <w:t>&amp;</w:t>
      </w:r>
      <w:r>
        <w:rPr>
          <w:spacing w:val="-9"/>
        </w:rPr>
        <w:t> </w:t>
      </w:r>
      <w:r>
        <w:rPr/>
        <w:t>Firoz,</w:t>
      </w:r>
      <w:r>
        <w:rPr>
          <w:spacing w:val="-10"/>
        </w:rPr>
        <w:t> </w:t>
      </w:r>
      <w:r>
        <w:rPr/>
        <w:t>2020).</w:t>
      </w:r>
      <w:r>
        <w:rPr>
          <w:spacing w:val="-10"/>
        </w:rPr>
        <w:t> </w:t>
      </w:r>
      <w:r>
        <w:rPr/>
        <w:t>Government</w:t>
      </w:r>
      <w:r>
        <w:rPr>
          <w:spacing w:val="-9"/>
        </w:rPr>
        <w:t> </w:t>
      </w:r>
      <w:r>
        <w:rPr/>
        <w:t>policy</w:t>
      </w:r>
      <w:r>
        <w:rPr>
          <w:spacing w:val="-8"/>
        </w:rPr>
        <w:t> </w:t>
      </w:r>
      <w:r>
        <w:rPr/>
        <w:t>initiatives</w:t>
      </w:r>
      <w:r>
        <w:rPr>
          <w:spacing w:val="-9"/>
        </w:rPr>
        <w:t> </w:t>
      </w:r>
      <w:r>
        <w:rPr/>
        <w:t>have</w:t>
      </w:r>
      <w:r>
        <w:rPr>
          <w:spacing w:val="-11"/>
        </w:rPr>
        <w:t> </w:t>
      </w:r>
      <w:r>
        <w:rPr/>
        <w:t>also</w:t>
      </w:r>
      <w:r>
        <w:rPr>
          <w:spacing w:val="-9"/>
        </w:rPr>
        <w:t> </w:t>
      </w:r>
      <w:r>
        <w:rPr/>
        <w:t>played</w:t>
      </w:r>
      <w:r>
        <w:rPr>
          <w:spacing w:val="-10"/>
        </w:rPr>
        <w:t> </w:t>
      </w:r>
      <w:r>
        <w:rPr/>
        <w:t>a</w:t>
      </w:r>
      <w:r>
        <w:rPr>
          <w:spacing w:val="-8"/>
        </w:rPr>
        <w:t> </w:t>
      </w:r>
      <w:r>
        <w:rPr/>
        <w:t>crucial</w:t>
      </w:r>
      <w:r>
        <w:rPr>
          <w:spacing w:val="-9"/>
        </w:rPr>
        <w:t> </w:t>
      </w:r>
      <w:r>
        <w:rPr/>
        <w:t>role</w:t>
      </w:r>
      <w:r>
        <w:rPr>
          <w:spacing w:val="-11"/>
        </w:rPr>
        <w:t> </w:t>
      </w:r>
      <w:r>
        <w:rPr/>
        <w:t>in shaping the private equity landscape. Programs such as "Startup India," "Make in India," and "Digital</w:t>
      </w:r>
      <w:r>
        <w:rPr>
          <w:spacing w:val="-12"/>
        </w:rPr>
        <w:t> </w:t>
      </w:r>
      <w:r>
        <w:rPr/>
        <w:t>India"</w:t>
      </w:r>
      <w:r>
        <w:rPr>
          <w:spacing w:val="-11"/>
        </w:rPr>
        <w:t> </w:t>
      </w:r>
      <w:r>
        <w:rPr/>
        <w:t>have</w:t>
      </w:r>
      <w:r>
        <w:rPr>
          <w:spacing w:val="-13"/>
        </w:rPr>
        <w:t> </w:t>
      </w:r>
      <w:r>
        <w:rPr/>
        <w:t>created</w:t>
      </w:r>
      <w:r>
        <w:rPr>
          <w:spacing w:val="-12"/>
        </w:rPr>
        <w:t> </w:t>
      </w:r>
      <w:r>
        <w:rPr/>
        <w:t>supportive</w:t>
      </w:r>
      <w:r>
        <w:rPr>
          <w:spacing w:val="-12"/>
        </w:rPr>
        <w:t> </w:t>
      </w:r>
      <w:r>
        <w:rPr/>
        <w:t>ecosystems</w:t>
      </w:r>
      <w:r>
        <w:rPr>
          <w:spacing w:val="-9"/>
        </w:rPr>
        <w:t> </w:t>
      </w:r>
      <w:r>
        <w:rPr/>
        <w:t>for</w:t>
      </w:r>
      <w:r>
        <w:rPr>
          <w:spacing w:val="-13"/>
        </w:rPr>
        <w:t> </w:t>
      </w:r>
      <w:r>
        <w:rPr/>
        <w:t>entrepreneurship</w:t>
      </w:r>
      <w:r>
        <w:rPr>
          <w:spacing w:val="-12"/>
        </w:rPr>
        <w:t> </w:t>
      </w:r>
      <w:r>
        <w:rPr/>
        <w:t>and</w:t>
      </w:r>
      <w:r>
        <w:rPr>
          <w:spacing w:val="-12"/>
        </w:rPr>
        <w:t> </w:t>
      </w:r>
      <w:r>
        <w:rPr/>
        <w:t>innovation.</w:t>
      </w:r>
      <w:r>
        <w:rPr>
          <w:spacing w:val="-15"/>
        </w:rPr>
        <w:t> </w:t>
      </w:r>
      <w:r>
        <w:rPr/>
        <w:t>These initiatives, combined with regulatory reforms in sectors such as foreign direct investment, bankruptcy</w:t>
      </w:r>
      <w:r>
        <w:rPr>
          <w:spacing w:val="-4"/>
        </w:rPr>
        <w:t> </w:t>
      </w:r>
      <w:r>
        <w:rPr/>
        <w:t>resolution,</w:t>
      </w:r>
      <w:r>
        <w:rPr>
          <w:spacing w:val="-4"/>
        </w:rPr>
        <w:t> </w:t>
      </w:r>
      <w:r>
        <w:rPr/>
        <w:t>and</w:t>
      </w:r>
      <w:r>
        <w:rPr>
          <w:spacing w:val="-4"/>
        </w:rPr>
        <w:t> </w:t>
      </w:r>
      <w:r>
        <w:rPr/>
        <w:t>corporate</w:t>
      </w:r>
      <w:r>
        <w:rPr>
          <w:spacing w:val="-4"/>
        </w:rPr>
        <w:t> </w:t>
      </w:r>
      <w:r>
        <w:rPr/>
        <w:t>governance,</w:t>
      </w:r>
      <w:r>
        <w:rPr>
          <w:spacing w:val="-2"/>
        </w:rPr>
        <w:t> </w:t>
      </w:r>
      <w:r>
        <w:rPr/>
        <w:t>have</w:t>
      </w:r>
      <w:r>
        <w:rPr>
          <w:spacing w:val="-5"/>
        </w:rPr>
        <w:t> </w:t>
      </w:r>
      <w:r>
        <w:rPr/>
        <w:t>enhanced</w:t>
      </w:r>
      <w:r>
        <w:rPr>
          <w:spacing w:val="-4"/>
        </w:rPr>
        <w:t> </w:t>
      </w:r>
      <w:r>
        <w:rPr/>
        <w:t>the</w:t>
      </w:r>
      <w:r>
        <w:rPr>
          <w:spacing w:val="-3"/>
        </w:rPr>
        <w:t> </w:t>
      </w:r>
      <w:r>
        <w:rPr/>
        <w:t>attractiveness</w:t>
      </w:r>
      <w:r>
        <w:rPr>
          <w:spacing w:val="-5"/>
        </w:rPr>
        <w:t> </w:t>
      </w:r>
      <w:r>
        <w:rPr/>
        <w:t>of</w:t>
      </w:r>
      <w:r>
        <w:rPr>
          <w:spacing w:val="-4"/>
        </w:rPr>
        <w:t> </w:t>
      </w:r>
      <w:r>
        <w:rPr/>
        <w:t>India</w:t>
      </w:r>
      <w:r>
        <w:rPr>
          <w:spacing w:val="-4"/>
        </w:rPr>
        <w:t> </w:t>
      </w:r>
      <w:r>
        <w:rPr/>
        <w:t>as a private equity destination</w:t>
      </w:r>
    </w:p>
    <w:p>
      <w:pPr>
        <w:pStyle w:val="BodyText"/>
        <w:spacing w:line="360" w:lineRule="auto" w:before="162"/>
        <w:ind w:left="23" w:right="18"/>
        <w:jc w:val="both"/>
      </w:pPr>
      <w:r>
        <w:rPr/>
        <w:t>Recent data highlights this growth clearly. According to Bain &amp; Company’s </w:t>
      </w:r>
      <w:r>
        <w:rPr>
          <w:i/>
        </w:rPr>
        <w:t>India Private Equity</w:t>
      </w:r>
      <w:r>
        <w:rPr>
          <w:i/>
          <w:spacing w:val="-1"/>
        </w:rPr>
        <w:t> </w:t>
      </w:r>
      <w:r>
        <w:rPr>
          <w:i/>
        </w:rPr>
        <w:t>Report 2025</w:t>
      </w:r>
      <w:r>
        <w:rPr/>
        <w:t>, India</w:t>
      </w:r>
      <w:r>
        <w:rPr>
          <w:spacing w:val="-1"/>
        </w:rPr>
        <w:t> </w:t>
      </w:r>
      <w:r>
        <w:rPr/>
        <w:t>received</w:t>
      </w:r>
      <w:r>
        <w:rPr>
          <w:spacing w:val="-1"/>
        </w:rPr>
        <w:t> </w:t>
      </w:r>
      <w:r>
        <w:rPr/>
        <w:t>about USD 43 billion</w:t>
      </w:r>
      <w:r>
        <w:rPr>
          <w:spacing w:val="-3"/>
        </w:rPr>
        <w:t> </w:t>
      </w:r>
      <w:r>
        <w:rPr/>
        <w:t>in private</w:t>
      </w:r>
      <w:r>
        <w:rPr>
          <w:spacing w:val="-1"/>
        </w:rPr>
        <w:t> </w:t>
      </w:r>
      <w:r>
        <w:rPr/>
        <w:t>equity</w:t>
      </w:r>
      <w:r>
        <w:rPr>
          <w:spacing w:val="-2"/>
        </w:rPr>
        <w:t> </w:t>
      </w:r>
      <w:r>
        <w:rPr/>
        <w:t>and venture</w:t>
      </w:r>
      <w:r>
        <w:rPr>
          <w:spacing w:val="-1"/>
        </w:rPr>
        <w:t> </w:t>
      </w:r>
      <w:r>
        <w:rPr/>
        <w:t>capital funding in 2024 through nearly 1,600 deals, with private equity alone contributing USD 29 billion.</w:t>
      </w:r>
      <w:r>
        <w:rPr>
          <w:spacing w:val="38"/>
        </w:rPr>
        <w:t> </w:t>
      </w:r>
      <w:r>
        <w:rPr/>
        <w:t>India</w:t>
      </w:r>
      <w:r>
        <w:rPr>
          <w:spacing w:val="38"/>
        </w:rPr>
        <w:t> </w:t>
      </w:r>
      <w:r>
        <w:rPr/>
        <w:t>now</w:t>
      </w:r>
      <w:r>
        <w:rPr>
          <w:spacing w:val="37"/>
        </w:rPr>
        <w:t> </w:t>
      </w:r>
      <w:r>
        <w:rPr/>
        <w:t>accounts</w:t>
      </w:r>
      <w:r>
        <w:rPr>
          <w:spacing w:val="40"/>
        </w:rPr>
        <w:t> </w:t>
      </w:r>
      <w:r>
        <w:rPr/>
        <w:t>for</w:t>
      </w:r>
      <w:r>
        <w:rPr>
          <w:spacing w:val="38"/>
        </w:rPr>
        <w:t> </w:t>
      </w:r>
      <w:r>
        <w:rPr/>
        <w:t>roughly</w:t>
      </w:r>
      <w:r>
        <w:rPr>
          <w:spacing w:val="41"/>
        </w:rPr>
        <w:t> </w:t>
      </w:r>
      <w:r>
        <w:rPr/>
        <w:t>20%</w:t>
      </w:r>
      <w:r>
        <w:rPr>
          <w:spacing w:val="38"/>
        </w:rPr>
        <w:t> </w:t>
      </w:r>
      <w:r>
        <w:rPr/>
        <w:t>of</w:t>
      </w:r>
      <w:r>
        <w:rPr>
          <w:spacing w:val="36"/>
        </w:rPr>
        <w:t> </w:t>
      </w:r>
      <w:r>
        <w:rPr/>
        <w:t>all</w:t>
      </w:r>
      <w:r>
        <w:rPr>
          <w:spacing w:val="19"/>
        </w:rPr>
        <w:t> </w:t>
      </w:r>
      <w:r>
        <w:rPr/>
        <w:t>Asia-Pacific</w:t>
      </w:r>
      <w:r>
        <w:rPr>
          <w:spacing w:val="38"/>
        </w:rPr>
        <w:t> </w:t>
      </w:r>
      <w:r>
        <w:rPr/>
        <w:t>deal</w:t>
      </w:r>
      <w:r>
        <w:rPr>
          <w:spacing w:val="40"/>
        </w:rPr>
        <w:t> </w:t>
      </w:r>
      <w:r>
        <w:rPr/>
        <w:t>value,</w:t>
      </w:r>
      <w:r>
        <w:rPr>
          <w:spacing w:val="40"/>
        </w:rPr>
        <w:t> </w:t>
      </w:r>
      <w:r>
        <w:rPr/>
        <w:t>making</w:t>
      </w:r>
      <w:r>
        <w:rPr>
          <w:spacing w:val="39"/>
        </w:rPr>
        <w:t> </w:t>
      </w:r>
      <w:r>
        <w:rPr/>
        <w:t>it</w:t>
      </w:r>
      <w:r>
        <w:rPr>
          <w:spacing w:val="39"/>
        </w:rPr>
        <w:t> </w:t>
      </w:r>
      <w:r>
        <w:rPr>
          <w:spacing w:val="-5"/>
        </w:rPr>
        <w:t>the</w:t>
      </w:r>
    </w:p>
    <w:p>
      <w:pPr>
        <w:pStyle w:val="BodyText"/>
        <w:spacing w:after="0" w:line="360" w:lineRule="auto"/>
        <w:jc w:val="both"/>
        <w:sectPr>
          <w:footerReference w:type="default" r:id="rId8"/>
          <w:pgSz w:w="11910" w:h="16840"/>
          <w:pgMar w:header="0" w:footer="1009" w:top="1360" w:bottom="1280" w:left="1417" w:right="1417"/>
        </w:sectPr>
      </w:pPr>
    </w:p>
    <w:p>
      <w:pPr>
        <w:pStyle w:val="BodyText"/>
        <w:spacing w:line="360" w:lineRule="auto" w:before="61"/>
        <w:ind w:left="23" w:right="22"/>
        <w:jc w:val="both"/>
      </w:pPr>
      <w:r>
        <w:rPr/>
        <w:t>region’s second-largest private equity destination. The report also highlights a clear shift toward control and buyout transactions, which increased from 37% in 2022 to 51% in 2024, reflecting the growing maturity of India’s market.</w:t>
      </w:r>
      <w:r>
        <w:rPr>
          <w:spacing w:val="-2"/>
        </w:rPr>
        <w:t> </w:t>
      </w:r>
      <w:r>
        <w:rPr/>
        <w:t>Additionally, exits value reached USD 33 billion,</w:t>
      </w:r>
      <w:r>
        <w:rPr>
          <w:spacing w:val="-15"/>
        </w:rPr>
        <w:t> </w:t>
      </w:r>
      <w:r>
        <w:rPr/>
        <w:t>signalling</w:t>
      </w:r>
      <w:r>
        <w:rPr>
          <w:spacing w:val="-15"/>
        </w:rPr>
        <w:t> </w:t>
      </w:r>
      <w:r>
        <w:rPr/>
        <w:t>enhanced</w:t>
      </w:r>
      <w:r>
        <w:rPr>
          <w:spacing w:val="-15"/>
        </w:rPr>
        <w:t> </w:t>
      </w:r>
      <w:r>
        <w:rPr/>
        <w:t>liquidity</w:t>
      </w:r>
      <w:r>
        <w:rPr>
          <w:spacing w:val="-15"/>
        </w:rPr>
        <w:t> </w:t>
      </w:r>
      <w:r>
        <w:rPr/>
        <w:t>and</w:t>
      </w:r>
      <w:r>
        <w:rPr>
          <w:spacing w:val="-15"/>
        </w:rPr>
        <w:t> </w:t>
      </w:r>
      <w:r>
        <w:rPr/>
        <w:t>reinforcing</w:t>
      </w:r>
      <w:r>
        <w:rPr>
          <w:spacing w:val="-15"/>
        </w:rPr>
        <w:t> </w:t>
      </w:r>
      <w:r>
        <w:rPr/>
        <w:t>India's</w:t>
      </w:r>
      <w:r>
        <w:rPr>
          <w:spacing w:val="-15"/>
        </w:rPr>
        <w:t> </w:t>
      </w:r>
      <w:r>
        <w:rPr/>
        <w:t>reputation</w:t>
      </w:r>
      <w:r>
        <w:rPr>
          <w:spacing w:val="-15"/>
        </w:rPr>
        <w:t> </w:t>
      </w:r>
      <w:r>
        <w:rPr/>
        <w:t>as</w:t>
      </w:r>
      <w:r>
        <w:rPr>
          <w:spacing w:val="-15"/>
        </w:rPr>
        <w:t> </w:t>
      </w:r>
      <w:r>
        <w:rPr/>
        <w:t>a</w:t>
      </w:r>
      <w:r>
        <w:rPr>
          <w:spacing w:val="-15"/>
        </w:rPr>
        <w:t> </w:t>
      </w:r>
      <w:r>
        <w:rPr/>
        <w:t>thriving</w:t>
      </w:r>
      <w:r>
        <w:rPr>
          <w:spacing w:val="-15"/>
        </w:rPr>
        <w:t> </w:t>
      </w:r>
      <w:r>
        <w:rPr/>
        <w:t>exit</w:t>
      </w:r>
      <w:r>
        <w:rPr>
          <w:spacing w:val="-15"/>
        </w:rPr>
        <w:t> </w:t>
      </w:r>
      <w:r>
        <w:rPr/>
        <w:t>market for global investors (Bain &amp; Company, 2025).</w:t>
      </w:r>
    </w:p>
    <w:p>
      <w:pPr>
        <w:pStyle w:val="BodyText"/>
        <w:spacing w:line="360" w:lineRule="auto" w:before="160"/>
        <w:ind w:left="23" w:right="16"/>
        <w:jc w:val="both"/>
      </w:pPr>
      <w:r>
        <w:rPr/>
        <w:t>A notable feature of today’s private equity market in India is the large pool of money, often called “dry powder,” that firms have raised but not yet invested (Malik &amp; Motwani, 2024). While this gives investors plenty of flexibility and shows their strong belief in India’s growth story at the same time, it also points to deeper structural issues within the market, including valuation</w:t>
      </w:r>
      <w:r>
        <w:rPr>
          <w:spacing w:val="-13"/>
        </w:rPr>
        <w:t> </w:t>
      </w:r>
      <w:r>
        <w:rPr/>
        <w:t>uncertainties,</w:t>
      </w:r>
      <w:r>
        <w:rPr>
          <w:spacing w:val="-13"/>
        </w:rPr>
        <w:t> </w:t>
      </w:r>
      <w:r>
        <w:rPr/>
        <w:t>constrained</w:t>
      </w:r>
      <w:r>
        <w:rPr>
          <w:spacing w:val="-14"/>
        </w:rPr>
        <w:t> </w:t>
      </w:r>
      <w:r>
        <w:rPr/>
        <w:t>exit</w:t>
      </w:r>
      <w:r>
        <w:rPr>
          <w:spacing w:val="-12"/>
        </w:rPr>
        <w:t> </w:t>
      </w:r>
      <w:r>
        <w:rPr/>
        <w:t>windows,</w:t>
      </w:r>
      <w:r>
        <w:rPr>
          <w:spacing w:val="-9"/>
        </w:rPr>
        <w:t> </w:t>
      </w:r>
      <w:r>
        <w:rPr/>
        <w:t>and</w:t>
      </w:r>
      <w:r>
        <w:rPr>
          <w:spacing w:val="-13"/>
        </w:rPr>
        <w:t> </w:t>
      </w:r>
      <w:r>
        <w:rPr/>
        <w:t>the</w:t>
      </w:r>
      <w:r>
        <w:rPr>
          <w:spacing w:val="-14"/>
        </w:rPr>
        <w:t> </w:t>
      </w:r>
      <w:r>
        <w:rPr/>
        <w:t>impact</w:t>
      </w:r>
      <w:r>
        <w:rPr>
          <w:spacing w:val="-10"/>
        </w:rPr>
        <w:t> </w:t>
      </w:r>
      <w:r>
        <w:rPr/>
        <w:t>of</w:t>
      </w:r>
      <w:r>
        <w:rPr>
          <w:spacing w:val="-14"/>
        </w:rPr>
        <w:t> </w:t>
      </w:r>
      <w:r>
        <w:rPr/>
        <w:t>global</w:t>
      </w:r>
      <w:r>
        <w:rPr>
          <w:spacing w:val="-11"/>
        </w:rPr>
        <w:t> </w:t>
      </w:r>
      <w:r>
        <w:rPr/>
        <w:t>economic</w:t>
      </w:r>
      <w:r>
        <w:rPr>
          <w:spacing w:val="-14"/>
        </w:rPr>
        <w:t> </w:t>
      </w:r>
      <w:r>
        <w:rPr/>
        <w:t>volatility on investment timing decisions.</w:t>
      </w:r>
      <w:r>
        <w:rPr>
          <w:spacing w:val="-2"/>
        </w:rPr>
        <w:t> </w:t>
      </w:r>
      <w:r>
        <w:rPr/>
        <w:t>This unused capital shows that India will likely remain a key destination for future investments. However, private equity firms must carefully manage challenges</w:t>
      </w:r>
      <w:r>
        <w:rPr>
          <w:spacing w:val="-4"/>
        </w:rPr>
        <w:t> </w:t>
      </w:r>
      <w:r>
        <w:rPr/>
        <w:t>such</w:t>
      </w:r>
      <w:r>
        <w:rPr>
          <w:spacing w:val="-2"/>
        </w:rPr>
        <w:t> </w:t>
      </w:r>
      <w:r>
        <w:rPr/>
        <w:t>as</w:t>
      </w:r>
      <w:r>
        <w:rPr>
          <w:spacing w:val="-4"/>
        </w:rPr>
        <w:t> </w:t>
      </w:r>
      <w:r>
        <w:rPr/>
        <w:t>rising</w:t>
      </w:r>
      <w:r>
        <w:rPr>
          <w:spacing w:val="-1"/>
        </w:rPr>
        <w:t> </w:t>
      </w:r>
      <w:r>
        <w:rPr/>
        <w:t>company</w:t>
      </w:r>
      <w:r>
        <w:rPr>
          <w:spacing w:val="-3"/>
        </w:rPr>
        <w:t> </w:t>
      </w:r>
      <w:r>
        <w:rPr/>
        <w:t>valuations</w:t>
      </w:r>
      <w:r>
        <w:rPr>
          <w:spacing w:val="-4"/>
        </w:rPr>
        <w:t> </w:t>
      </w:r>
      <w:r>
        <w:rPr/>
        <w:t>and</w:t>
      </w:r>
      <w:r>
        <w:rPr>
          <w:spacing w:val="-2"/>
        </w:rPr>
        <w:t> </w:t>
      </w:r>
      <w:r>
        <w:rPr/>
        <w:t>broader</w:t>
      </w:r>
      <w:r>
        <w:rPr>
          <w:spacing w:val="-2"/>
        </w:rPr>
        <w:t> </w:t>
      </w:r>
      <w:r>
        <w:rPr/>
        <w:t>economic</w:t>
      </w:r>
      <w:r>
        <w:rPr>
          <w:spacing w:val="-4"/>
        </w:rPr>
        <w:t> </w:t>
      </w:r>
      <w:r>
        <w:rPr/>
        <w:t>uncertainties to</w:t>
      </w:r>
      <w:r>
        <w:rPr>
          <w:spacing w:val="-3"/>
        </w:rPr>
        <w:t> </w:t>
      </w:r>
      <w:r>
        <w:rPr/>
        <w:t>make</w:t>
      </w:r>
      <w:r>
        <w:rPr>
          <w:spacing w:val="-4"/>
        </w:rPr>
        <w:t> </w:t>
      </w:r>
      <w:r>
        <w:rPr/>
        <w:t>the most of these opportunities.</w:t>
      </w:r>
    </w:p>
    <w:p>
      <w:pPr>
        <w:pStyle w:val="BodyText"/>
        <w:spacing w:line="360" w:lineRule="auto" w:before="161"/>
        <w:ind w:left="23" w:right="25"/>
        <w:jc w:val="both"/>
      </w:pPr>
      <w:r>
        <w:rPr/>
        <w:t>This research examines the future outlook and opportunities of India’s private equity market, with a focus on growth drivers, risks, and policy implications for investors and regulators.</w:t>
      </w:r>
    </w:p>
    <w:p>
      <w:pPr>
        <w:pStyle w:val="Heading2"/>
        <w:numPr>
          <w:ilvl w:val="1"/>
          <w:numId w:val="3"/>
        </w:numPr>
        <w:tabs>
          <w:tab w:pos="411" w:val="left" w:leader="none"/>
        </w:tabs>
        <w:spacing w:line="240" w:lineRule="auto" w:before="161" w:after="0"/>
        <w:ind w:left="411" w:right="0" w:hanging="388"/>
        <w:jc w:val="both"/>
      </w:pPr>
      <w:bookmarkStart w:name="_bookmark2" w:id="3"/>
      <w:bookmarkEnd w:id="3"/>
      <w:r>
        <w:rPr>
          <w:b w:val="0"/>
        </w:rPr>
      </w:r>
      <w:r>
        <w:rPr/>
        <w:t>Research</w:t>
      </w:r>
      <w:r>
        <w:rPr>
          <w:spacing w:val="-15"/>
        </w:rPr>
        <w:t> </w:t>
      </w:r>
      <w:r>
        <w:rPr>
          <w:spacing w:val="-2"/>
        </w:rPr>
        <w:t>Objectives</w:t>
      </w:r>
    </w:p>
    <w:p>
      <w:pPr>
        <w:pStyle w:val="BodyText"/>
        <w:spacing w:line="360" w:lineRule="auto" w:before="228"/>
        <w:ind w:left="23" w:right="22"/>
        <w:jc w:val="both"/>
      </w:pPr>
      <w:r>
        <w:rPr/>
        <w:t>The</w:t>
      </w:r>
      <w:r>
        <w:rPr>
          <w:spacing w:val="-1"/>
        </w:rPr>
        <w:t> </w:t>
      </w:r>
      <w:r>
        <w:rPr/>
        <w:t>primary</w:t>
      </w:r>
      <w:r>
        <w:rPr>
          <w:spacing w:val="-1"/>
        </w:rPr>
        <w:t> </w:t>
      </w:r>
      <w:r>
        <w:rPr/>
        <w:t>objective</w:t>
      </w:r>
      <w:r>
        <w:rPr>
          <w:spacing w:val="-1"/>
        </w:rPr>
        <w:t> </w:t>
      </w:r>
      <w:r>
        <w:rPr/>
        <w:t>of this study is</w:t>
      </w:r>
      <w:r>
        <w:rPr>
          <w:spacing w:val="-2"/>
        </w:rPr>
        <w:t> </w:t>
      </w:r>
      <w:r>
        <w:rPr/>
        <w:t>to evaluate</w:t>
      </w:r>
      <w:r>
        <w:rPr>
          <w:spacing w:val="-1"/>
        </w:rPr>
        <w:t> </w:t>
      </w:r>
      <w:r>
        <w:rPr/>
        <w:t>the outlook and opportunities within</w:t>
      </w:r>
      <w:r>
        <w:rPr>
          <w:spacing w:val="-2"/>
        </w:rPr>
        <w:t> </w:t>
      </w:r>
      <w:r>
        <w:rPr/>
        <w:t>India’s private equity (PE) market by examining its evolution, identifying key growth drivers, assessing challenges, and exploring its prospects. Existing literature on the Indian PE market suggests a dynamic environment shaped by regulatory reforms, economic growth, and changing investor preferences. While previous studies have highlighted the significant potential of India as a destination for private equity, there is still limited research that comprehensively addresses the future trajectory of the market. This research, therefore, aims to bridge this gap by offering a detailed analysis of both the opportunities and the challenges currently shaping the Indian private equity landscape.</w:t>
      </w:r>
    </w:p>
    <w:p>
      <w:pPr>
        <w:pStyle w:val="BodyText"/>
        <w:spacing w:line="360" w:lineRule="auto" w:before="161"/>
        <w:ind w:left="23" w:right="18"/>
        <w:jc w:val="both"/>
      </w:pPr>
      <w:r>
        <w:rPr/>
        <w:t>In</w:t>
      </w:r>
      <w:r>
        <w:rPr>
          <w:spacing w:val="-13"/>
        </w:rPr>
        <w:t> </w:t>
      </w:r>
      <w:r>
        <w:rPr/>
        <w:t>addition</w:t>
      </w:r>
      <w:r>
        <w:rPr>
          <w:spacing w:val="-12"/>
        </w:rPr>
        <w:t> </w:t>
      </w:r>
      <w:r>
        <w:rPr/>
        <w:t>to</w:t>
      </w:r>
      <w:r>
        <w:rPr>
          <w:spacing w:val="-12"/>
        </w:rPr>
        <w:t> </w:t>
      </w:r>
      <w:r>
        <w:rPr/>
        <w:t>this</w:t>
      </w:r>
      <w:r>
        <w:rPr>
          <w:spacing w:val="-12"/>
        </w:rPr>
        <w:t> </w:t>
      </w:r>
      <w:r>
        <w:rPr/>
        <w:t>core</w:t>
      </w:r>
      <w:r>
        <w:rPr>
          <w:spacing w:val="-14"/>
        </w:rPr>
        <w:t> </w:t>
      </w:r>
      <w:r>
        <w:rPr/>
        <w:t>aim,</w:t>
      </w:r>
      <w:r>
        <w:rPr>
          <w:spacing w:val="-12"/>
        </w:rPr>
        <w:t> </w:t>
      </w:r>
      <w:r>
        <w:rPr/>
        <w:t>the</w:t>
      </w:r>
      <w:r>
        <w:rPr>
          <w:spacing w:val="-13"/>
        </w:rPr>
        <w:t> </w:t>
      </w:r>
      <w:r>
        <w:rPr/>
        <w:t>study</w:t>
      </w:r>
      <w:r>
        <w:rPr>
          <w:spacing w:val="-12"/>
        </w:rPr>
        <w:t> </w:t>
      </w:r>
      <w:r>
        <w:rPr/>
        <w:t>seeks</w:t>
      </w:r>
      <w:r>
        <w:rPr>
          <w:spacing w:val="-12"/>
        </w:rPr>
        <w:t> </w:t>
      </w:r>
      <w:r>
        <w:rPr/>
        <w:t>to</w:t>
      </w:r>
      <w:r>
        <w:rPr>
          <w:spacing w:val="-12"/>
        </w:rPr>
        <w:t> </w:t>
      </w:r>
      <w:r>
        <w:rPr/>
        <w:t>explore</w:t>
      </w:r>
      <w:r>
        <w:rPr>
          <w:spacing w:val="-14"/>
        </w:rPr>
        <w:t> </w:t>
      </w:r>
      <w:r>
        <w:rPr/>
        <w:t>the</w:t>
      </w:r>
      <w:r>
        <w:rPr>
          <w:spacing w:val="-13"/>
        </w:rPr>
        <w:t> </w:t>
      </w:r>
      <w:r>
        <w:rPr/>
        <w:t>historical</w:t>
      </w:r>
      <w:r>
        <w:rPr>
          <w:spacing w:val="-12"/>
        </w:rPr>
        <w:t> </w:t>
      </w:r>
      <w:r>
        <w:rPr/>
        <w:t>and</w:t>
      </w:r>
      <w:r>
        <w:rPr>
          <w:spacing w:val="-12"/>
        </w:rPr>
        <w:t> </w:t>
      </w:r>
      <w:r>
        <w:rPr/>
        <w:t>emerging</w:t>
      </w:r>
      <w:r>
        <w:rPr>
          <w:spacing w:val="-12"/>
        </w:rPr>
        <w:t> </w:t>
      </w:r>
      <w:r>
        <w:rPr/>
        <w:t>trends</w:t>
      </w:r>
      <w:r>
        <w:rPr>
          <w:spacing w:val="-12"/>
        </w:rPr>
        <w:t> </w:t>
      </w:r>
      <w:r>
        <w:rPr/>
        <w:t>within the PE market, focusing on how these trends influence investor behavior and sectoral investment preferences. It will also identify the main drivers of private equity investment in India,</w:t>
      </w:r>
      <w:r>
        <w:rPr>
          <w:spacing w:val="-15"/>
        </w:rPr>
        <w:t> </w:t>
      </w:r>
      <w:r>
        <w:rPr/>
        <w:t>with</w:t>
      </w:r>
      <w:r>
        <w:rPr>
          <w:spacing w:val="-15"/>
        </w:rPr>
        <w:t> </w:t>
      </w:r>
      <w:r>
        <w:rPr/>
        <w:t>a</w:t>
      </w:r>
      <w:r>
        <w:rPr>
          <w:spacing w:val="-15"/>
        </w:rPr>
        <w:t> </w:t>
      </w:r>
      <w:r>
        <w:rPr/>
        <w:t>particular</w:t>
      </w:r>
      <w:r>
        <w:rPr>
          <w:spacing w:val="-15"/>
        </w:rPr>
        <w:t> </w:t>
      </w:r>
      <w:r>
        <w:rPr/>
        <w:t>emphasis</w:t>
      </w:r>
      <w:r>
        <w:rPr>
          <w:spacing w:val="-15"/>
        </w:rPr>
        <w:t> </w:t>
      </w:r>
      <w:r>
        <w:rPr/>
        <w:t>on</w:t>
      </w:r>
      <w:r>
        <w:rPr>
          <w:spacing w:val="-15"/>
        </w:rPr>
        <w:t> </w:t>
      </w:r>
      <w:r>
        <w:rPr/>
        <w:t>how</w:t>
      </w:r>
      <w:r>
        <w:rPr>
          <w:spacing w:val="-15"/>
        </w:rPr>
        <w:t> </w:t>
      </w:r>
      <w:r>
        <w:rPr/>
        <w:t>these</w:t>
      </w:r>
      <w:r>
        <w:rPr>
          <w:spacing w:val="-15"/>
        </w:rPr>
        <w:t> </w:t>
      </w:r>
      <w:r>
        <w:rPr/>
        <w:t>drivers</w:t>
      </w:r>
      <w:r>
        <w:rPr>
          <w:spacing w:val="-15"/>
        </w:rPr>
        <w:t> </w:t>
      </w:r>
      <w:r>
        <w:rPr/>
        <w:t>interact</w:t>
      </w:r>
      <w:r>
        <w:rPr>
          <w:spacing w:val="-15"/>
        </w:rPr>
        <w:t> </w:t>
      </w:r>
      <w:r>
        <w:rPr/>
        <w:t>with</w:t>
      </w:r>
      <w:r>
        <w:rPr>
          <w:spacing w:val="-15"/>
        </w:rPr>
        <w:t> </w:t>
      </w:r>
      <w:r>
        <w:rPr/>
        <w:t>the</w:t>
      </w:r>
      <w:r>
        <w:rPr>
          <w:spacing w:val="-15"/>
        </w:rPr>
        <w:t> </w:t>
      </w:r>
      <w:r>
        <w:rPr/>
        <w:t>challenges</w:t>
      </w:r>
      <w:r>
        <w:rPr>
          <w:spacing w:val="-15"/>
        </w:rPr>
        <w:t> </w:t>
      </w:r>
      <w:r>
        <w:rPr/>
        <w:t>that</w:t>
      </w:r>
      <w:r>
        <w:rPr>
          <w:spacing w:val="-15"/>
        </w:rPr>
        <w:t> </w:t>
      </w:r>
      <w:r>
        <w:rPr/>
        <w:t>investors face in the market. Furthermore, the research intends to conduct a detailed sectoral analysis, highlighting</w:t>
      </w:r>
      <w:r>
        <w:rPr>
          <w:spacing w:val="-4"/>
        </w:rPr>
        <w:t> </w:t>
      </w:r>
      <w:r>
        <w:rPr/>
        <w:t>which</w:t>
      </w:r>
      <w:r>
        <w:rPr>
          <w:spacing w:val="-2"/>
        </w:rPr>
        <w:t> </w:t>
      </w:r>
      <w:r>
        <w:rPr/>
        <w:t>areas</w:t>
      </w:r>
      <w:r>
        <w:rPr>
          <w:spacing w:val="-3"/>
        </w:rPr>
        <w:t> </w:t>
      </w:r>
      <w:r>
        <w:rPr/>
        <w:t>of</w:t>
      </w:r>
      <w:r>
        <w:rPr>
          <w:spacing w:val="-2"/>
        </w:rPr>
        <w:t> </w:t>
      </w:r>
      <w:r>
        <w:rPr/>
        <w:t>the</w:t>
      </w:r>
      <w:r>
        <w:rPr>
          <w:spacing w:val="-2"/>
        </w:rPr>
        <w:t> </w:t>
      </w:r>
      <w:r>
        <w:rPr/>
        <w:t>Indian</w:t>
      </w:r>
      <w:r>
        <w:rPr>
          <w:spacing w:val="-2"/>
        </w:rPr>
        <w:t> </w:t>
      </w:r>
      <w:r>
        <w:rPr/>
        <w:t>economy</w:t>
      </w:r>
      <w:r>
        <w:rPr>
          <w:spacing w:val="-2"/>
        </w:rPr>
        <w:t> </w:t>
      </w:r>
      <w:r>
        <w:rPr/>
        <w:t>offer</w:t>
      </w:r>
      <w:r>
        <w:rPr>
          <w:spacing w:val="-2"/>
        </w:rPr>
        <w:t> </w:t>
      </w:r>
      <w:r>
        <w:rPr/>
        <w:t>the</w:t>
      </w:r>
      <w:r>
        <w:rPr>
          <w:spacing w:val="-3"/>
        </w:rPr>
        <w:t> </w:t>
      </w:r>
      <w:r>
        <w:rPr/>
        <w:t>most</w:t>
      </w:r>
      <w:r>
        <w:rPr>
          <w:spacing w:val="-1"/>
        </w:rPr>
        <w:t> </w:t>
      </w:r>
      <w:r>
        <w:rPr/>
        <w:t>promising</w:t>
      </w:r>
      <w:r>
        <w:rPr>
          <w:spacing w:val="-5"/>
        </w:rPr>
        <w:t> </w:t>
      </w:r>
      <w:r>
        <w:rPr/>
        <w:t>opportunities</w:t>
      </w:r>
      <w:r>
        <w:rPr>
          <w:spacing w:val="-3"/>
        </w:rPr>
        <w:t> </w:t>
      </w:r>
      <w:r>
        <w:rPr/>
        <w:t>for</w:t>
      </w:r>
      <w:r>
        <w:rPr>
          <w:spacing w:val="-1"/>
        </w:rPr>
        <w:t> </w:t>
      </w:r>
      <w:r>
        <w:rPr>
          <w:spacing w:val="-5"/>
        </w:rPr>
        <w:t>PE</w:t>
      </w:r>
    </w:p>
    <w:p>
      <w:pPr>
        <w:pStyle w:val="BodyText"/>
        <w:spacing w:after="0" w:line="360" w:lineRule="auto"/>
        <w:jc w:val="both"/>
        <w:sectPr>
          <w:pgSz w:w="11910" w:h="16840"/>
          <w:pgMar w:header="0" w:footer="1009" w:top="1360" w:bottom="1280" w:left="1417" w:right="1417"/>
        </w:sectPr>
      </w:pPr>
    </w:p>
    <w:p>
      <w:pPr>
        <w:pStyle w:val="BodyText"/>
        <w:spacing w:line="360" w:lineRule="auto" w:before="61"/>
        <w:ind w:left="23" w:right="20"/>
        <w:jc w:val="both"/>
      </w:pPr>
      <w:r>
        <w:rPr/>
        <w:t>investment. A key component of this study is to assess the effectiveness of various exit strategies</w:t>
      </w:r>
      <w:r>
        <w:rPr>
          <w:spacing w:val="-15"/>
        </w:rPr>
        <w:t> </w:t>
      </w:r>
      <w:r>
        <w:rPr/>
        <w:t>in</w:t>
      </w:r>
      <w:r>
        <w:rPr>
          <w:spacing w:val="-15"/>
        </w:rPr>
        <w:t> </w:t>
      </w:r>
      <w:r>
        <w:rPr/>
        <w:t>the</w:t>
      </w:r>
      <w:r>
        <w:rPr>
          <w:spacing w:val="-15"/>
        </w:rPr>
        <w:t> </w:t>
      </w:r>
      <w:r>
        <w:rPr/>
        <w:t>Indian</w:t>
      </w:r>
      <w:r>
        <w:rPr>
          <w:spacing w:val="-15"/>
        </w:rPr>
        <w:t> </w:t>
      </w:r>
      <w:r>
        <w:rPr/>
        <w:t>context,</w:t>
      </w:r>
      <w:r>
        <w:rPr>
          <w:spacing w:val="-15"/>
        </w:rPr>
        <w:t> </w:t>
      </w:r>
      <w:r>
        <w:rPr/>
        <w:t>considering</w:t>
      </w:r>
      <w:r>
        <w:rPr>
          <w:spacing w:val="-15"/>
        </w:rPr>
        <w:t> </w:t>
      </w:r>
      <w:r>
        <w:rPr/>
        <w:t>the</w:t>
      </w:r>
      <w:r>
        <w:rPr>
          <w:spacing w:val="-15"/>
        </w:rPr>
        <w:t> </w:t>
      </w:r>
      <w:r>
        <w:rPr/>
        <w:t>unique</w:t>
      </w:r>
      <w:r>
        <w:rPr>
          <w:spacing w:val="-15"/>
        </w:rPr>
        <w:t> </w:t>
      </w:r>
      <w:r>
        <w:rPr/>
        <w:t>market</w:t>
      </w:r>
      <w:r>
        <w:rPr>
          <w:spacing w:val="-15"/>
        </w:rPr>
        <w:t> </w:t>
      </w:r>
      <w:r>
        <w:rPr/>
        <w:t>dynamics.</w:t>
      </w:r>
      <w:r>
        <w:rPr>
          <w:spacing w:val="-13"/>
        </w:rPr>
        <w:t> </w:t>
      </w:r>
      <w:r>
        <w:rPr/>
        <w:t>Finally,</w:t>
      </w:r>
      <w:r>
        <w:rPr>
          <w:spacing w:val="-15"/>
        </w:rPr>
        <w:t> </w:t>
      </w:r>
      <w:r>
        <w:rPr/>
        <w:t>the</w:t>
      </w:r>
      <w:r>
        <w:rPr>
          <w:spacing w:val="-15"/>
        </w:rPr>
        <w:t> </w:t>
      </w:r>
      <w:r>
        <w:rPr/>
        <w:t>study</w:t>
      </w:r>
      <w:r>
        <w:rPr>
          <w:spacing w:val="-15"/>
        </w:rPr>
        <w:t> </w:t>
      </w:r>
      <w:r>
        <w:rPr/>
        <w:t>will examine</w:t>
      </w:r>
      <w:r>
        <w:rPr>
          <w:spacing w:val="-9"/>
        </w:rPr>
        <w:t> </w:t>
      </w:r>
      <w:r>
        <w:rPr/>
        <w:t>the</w:t>
      </w:r>
      <w:r>
        <w:rPr>
          <w:spacing w:val="-9"/>
        </w:rPr>
        <w:t> </w:t>
      </w:r>
      <w:r>
        <w:rPr/>
        <w:t>future</w:t>
      </w:r>
      <w:r>
        <w:rPr>
          <w:spacing w:val="-9"/>
        </w:rPr>
        <w:t> </w:t>
      </w:r>
      <w:r>
        <w:rPr/>
        <w:t>outlook</w:t>
      </w:r>
      <w:r>
        <w:rPr>
          <w:spacing w:val="-8"/>
        </w:rPr>
        <w:t> </w:t>
      </w:r>
      <w:r>
        <w:rPr/>
        <w:t>of</w:t>
      </w:r>
      <w:r>
        <w:rPr>
          <w:spacing w:val="-9"/>
        </w:rPr>
        <w:t> </w:t>
      </w:r>
      <w:r>
        <w:rPr/>
        <w:t>India’s</w:t>
      </w:r>
      <w:r>
        <w:rPr>
          <w:spacing w:val="-8"/>
        </w:rPr>
        <w:t> </w:t>
      </w:r>
      <w:r>
        <w:rPr/>
        <w:t>PE</w:t>
      </w:r>
      <w:r>
        <w:rPr>
          <w:spacing w:val="-8"/>
        </w:rPr>
        <w:t> </w:t>
      </w:r>
      <w:r>
        <w:rPr/>
        <w:t>market</w:t>
      </w:r>
      <w:r>
        <w:rPr>
          <w:spacing w:val="-8"/>
        </w:rPr>
        <w:t> </w:t>
      </w:r>
      <w:r>
        <w:rPr/>
        <w:t>and</w:t>
      </w:r>
      <w:r>
        <w:rPr>
          <w:spacing w:val="-8"/>
        </w:rPr>
        <w:t> </w:t>
      </w:r>
      <w:r>
        <w:rPr/>
        <w:t>provide</w:t>
      </w:r>
      <w:r>
        <w:rPr>
          <w:spacing w:val="-9"/>
        </w:rPr>
        <w:t> </w:t>
      </w:r>
      <w:r>
        <w:rPr/>
        <w:t>policy</w:t>
      </w:r>
      <w:r>
        <w:rPr>
          <w:spacing w:val="-8"/>
        </w:rPr>
        <w:t> </w:t>
      </w:r>
      <w:r>
        <w:rPr/>
        <w:t>recommendations</w:t>
      </w:r>
      <w:r>
        <w:rPr>
          <w:spacing w:val="-8"/>
        </w:rPr>
        <w:t> </w:t>
      </w:r>
      <w:r>
        <w:rPr/>
        <w:t>for</w:t>
      </w:r>
      <w:r>
        <w:rPr>
          <w:spacing w:val="-10"/>
        </w:rPr>
        <w:t> </w:t>
      </w:r>
      <w:r>
        <w:rPr/>
        <w:t>both investors and regulators, addressing the evolving needs of this critical sector.</w:t>
      </w:r>
    </w:p>
    <w:p>
      <w:pPr>
        <w:pStyle w:val="BodyText"/>
        <w:spacing w:before="161"/>
        <w:ind w:left="23"/>
        <w:jc w:val="both"/>
      </w:pPr>
      <w:r>
        <w:rPr/>
        <w:t>To</w:t>
      </w:r>
      <w:r>
        <w:rPr>
          <w:spacing w:val="-5"/>
        </w:rPr>
        <w:t> </w:t>
      </w:r>
      <w:r>
        <w:rPr/>
        <w:t>guide</w:t>
      </w:r>
      <w:r>
        <w:rPr>
          <w:spacing w:val="-2"/>
        </w:rPr>
        <w:t> </w:t>
      </w:r>
      <w:r>
        <w:rPr/>
        <w:t>this</w:t>
      </w:r>
      <w:r>
        <w:rPr>
          <w:spacing w:val="-2"/>
        </w:rPr>
        <w:t> </w:t>
      </w:r>
      <w:r>
        <w:rPr/>
        <w:t>analysis,</w:t>
      </w:r>
      <w:r>
        <w:rPr>
          <w:spacing w:val="-2"/>
        </w:rPr>
        <w:t> </w:t>
      </w:r>
      <w:r>
        <w:rPr/>
        <w:t>the</w:t>
      </w:r>
      <w:r>
        <w:rPr>
          <w:spacing w:val="-2"/>
        </w:rPr>
        <w:t> </w:t>
      </w:r>
      <w:r>
        <w:rPr/>
        <w:t>study</w:t>
      </w:r>
      <w:r>
        <w:rPr>
          <w:spacing w:val="-2"/>
        </w:rPr>
        <w:t> </w:t>
      </w:r>
      <w:r>
        <w:rPr/>
        <w:t>will</w:t>
      </w:r>
      <w:r>
        <w:rPr>
          <w:spacing w:val="-3"/>
        </w:rPr>
        <w:t> </w:t>
      </w:r>
      <w:r>
        <w:rPr/>
        <w:t>seek</w:t>
      </w:r>
      <w:r>
        <w:rPr>
          <w:spacing w:val="-2"/>
        </w:rPr>
        <w:t> </w:t>
      </w:r>
      <w:r>
        <w:rPr/>
        <w:t>to</w:t>
      </w:r>
      <w:r>
        <w:rPr>
          <w:spacing w:val="-2"/>
        </w:rPr>
        <w:t> </w:t>
      </w:r>
      <w:r>
        <w:rPr/>
        <w:t>answer</w:t>
      </w:r>
      <w:r>
        <w:rPr>
          <w:spacing w:val="-2"/>
        </w:rPr>
        <w:t> </w:t>
      </w:r>
      <w:r>
        <w:rPr/>
        <w:t>the</w:t>
      </w:r>
      <w:r>
        <w:rPr>
          <w:spacing w:val="-4"/>
        </w:rPr>
        <w:t> </w:t>
      </w:r>
      <w:r>
        <w:rPr/>
        <w:t>following</w:t>
      </w:r>
      <w:r>
        <w:rPr>
          <w:spacing w:val="-2"/>
        </w:rPr>
        <w:t> </w:t>
      </w:r>
      <w:r>
        <w:rPr/>
        <w:t>research </w:t>
      </w:r>
      <w:r>
        <w:rPr>
          <w:spacing w:val="-2"/>
        </w:rPr>
        <w:t>questions:</w:t>
      </w:r>
    </w:p>
    <w:p>
      <w:pPr>
        <w:pStyle w:val="BodyText"/>
        <w:spacing w:before="23"/>
      </w:pPr>
    </w:p>
    <w:p>
      <w:pPr>
        <w:pStyle w:val="ListParagraph"/>
        <w:numPr>
          <w:ilvl w:val="0"/>
          <w:numId w:val="4"/>
        </w:numPr>
        <w:tabs>
          <w:tab w:pos="743" w:val="left" w:leader="none"/>
        </w:tabs>
        <w:spacing w:line="240" w:lineRule="auto" w:before="0" w:after="0"/>
        <w:ind w:left="743" w:right="0" w:hanging="360"/>
        <w:jc w:val="left"/>
        <w:rPr>
          <w:sz w:val="24"/>
        </w:rPr>
      </w:pPr>
      <w:r>
        <w:rPr>
          <w:sz w:val="24"/>
        </w:rPr>
        <w:t>What</w:t>
      </w:r>
      <w:r>
        <w:rPr>
          <w:spacing w:val="-3"/>
          <w:sz w:val="24"/>
        </w:rPr>
        <w:t> </w:t>
      </w:r>
      <w:r>
        <w:rPr>
          <w:sz w:val="24"/>
        </w:rPr>
        <w:t>are</w:t>
      </w:r>
      <w:r>
        <w:rPr>
          <w:spacing w:val="-3"/>
          <w:sz w:val="24"/>
        </w:rPr>
        <w:t> </w:t>
      </w:r>
      <w:r>
        <w:rPr>
          <w:sz w:val="24"/>
        </w:rPr>
        <w:t>the</w:t>
      </w:r>
      <w:r>
        <w:rPr>
          <w:spacing w:val="-3"/>
          <w:sz w:val="24"/>
        </w:rPr>
        <w:t> </w:t>
      </w:r>
      <w:r>
        <w:rPr>
          <w:sz w:val="24"/>
        </w:rPr>
        <w:t>key</w:t>
      </w:r>
      <w:r>
        <w:rPr>
          <w:spacing w:val="-2"/>
          <w:sz w:val="24"/>
        </w:rPr>
        <w:t> </w:t>
      </w:r>
      <w:r>
        <w:rPr>
          <w:sz w:val="24"/>
        </w:rPr>
        <w:t>trends</w:t>
      </w:r>
      <w:r>
        <w:rPr>
          <w:spacing w:val="-4"/>
          <w:sz w:val="24"/>
        </w:rPr>
        <w:t> </w:t>
      </w:r>
      <w:r>
        <w:rPr>
          <w:sz w:val="24"/>
        </w:rPr>
        <w:t>shaping</w:t>
      </w:r>
      <w:r>
        <w:rPr>
          <w:spacing w:val="-1"/>
          <w:sz w:val="24"/>
        </w:rPr>
        <w:t> </w:t>
      </w:r>
      <w:r>
        <w:rPr>
          <w:sz w:val="24"/>
        </w:rPr>
        <w:t>India’s</w:t>
      </w:r>
      <w:r>
        <w:rPr>
          <w:spacing w:val="-3"/>
          <w:sz w:val="24"/>
        </w:rPr>
        <w:t> </w:t>
      </w:r>
      <w:r>
        <w:rPr>
          <w:sz w:val="24"/>
        </w:rPr>
        <w:t>private</w:t>
      </w:r>
      <w:r>
        <w:rPr>
          <w:spacing w:val="-2"/>
          <w:sz w:val="24"/>
        </w:rPr>
        <w:t> </w:t>
      </w:r>
      <w:r>
        <w:rPr>
          <w:sz w:val="24"/>
        </w:rPr>
        <w:t>equity</w:t>
      </w:r>
      <w:r>
        <w:rPr>
          <w:spacing w:val="-2"/>
          <w:sz w:val="24"/>
        </w:rPr>
        <w:t> market?</w:t>
      </w:r>
    </w:p>
    <w:p>
      <w:pPr>
        <w:pStyle w:val="ListParagraph"/>
        <w:numPr>
          <w:ilvl w:val="0"/>
          <w:numId w:val="4"/>
        </w:numPr>
        <w:tabs>
          <w:tab w:pos="743" w:val="left" w:leader="none"/>
        </w:tabs>
        <w:spacing w:line="350" w:lineRule="auto" w:before="136" w:after="0"/>
        <w:ind w:left="743" w:right="27" w:hanging="360"/>
        <w:jc w:val="left"/>
        <w:rPr>
          <w:sz w:val="24"/>
        </w:rPr>
      </w:pPr>
      <w:r>
        <w:rPr>
          <w:sz w:val="24"/>
        </w:rPr>
        <w:t>What are the main drivers of private equity investment in India, and what challenges do investors face in this market?</w:t>
      </w:r>
    </w:p>
    <w:p>
      <w:pPr>
        <w:pStyle w:val="ListParagraph"/>
        <w:numPr>
          <w:ilvl w:val="0"/>
          <w:numId w:val="4"/>
        </w:numPr>
        <w:tabs>
          <w:tab w:pos="743" w:val="left" w:leader="none"/>
        </w:tabs>
        <w:spacing w:line="348" w:lineRule="auto" w:before="16" w:after="0"/>
        <w:ind w:left="743" w:right="25" w:hanging="360"/>
        <w:jc w:val="left"/>
        <w:rPr>
          <w:sz w:val="24"/>
        </w:rPr>
      </w:pPr>
      <w:r>
        <w:rPr>
          <w:sz w:val="24"/>
        </w:rPr>
        <w:t>Which sectors offer the most attractive opportunities for PE investment in India, and </w:t>
      </w:r>
      <w:r>
        <w:rPr>
          <w:spacing w:val="-4"/>
          <w:sz w:val="24"/>
        </w:rPr>
        <w:t>why?</w:t>
      </w:r>
    </w:p>
    <w:p>
      <w:pPr>
        <w:pStyle w:val="ListParagraph"/>
        <w:numPr>
          <w:ilvl w:val="0"/>
          <w:numId w:val="4"/>
        </w:numPr>
        <w:tabs>
          <w:tab w:pos="743" w:val="left" w:leader="none"/>
        </w:tabs>
        <w:spacing w:line="240" w:lineRule="auto" w:before="18" w:after="0"/>
        <w:ind w:left="743" w:right="0" w:hanging="360"/>
        <w:jc w:val="left"/>
        <w:rPr>
          <w:sz w:val="24"/>
        </w:rPr>
      </w:pPr>
      <w:r>
        <w:rPr>
          <w:sz w:val="24"/>
        </w:rPr>
        <w:t>How</w:t>
      </w:r>
      <w:r>
        <w:rPr>
          <w:spacing w:val="-3"/>
          <w:sz w:val="24"/>
        </w:rPr>
        <w:t> </w:t>
      </w:r>
      <w:r>
        <w:rPr>
          <w:sz w:val="24"/>
        </w:rPr>
        <w:t>effective</w:t>
      </w:r>
      <w:r>
        <w:rPr>
          <w:spacing w:val="-1"/>
          <w:sz w:val="24"/>
        </w:rPr>
        <w:t> </w:t>
      </w:r>
      <w:r>
        <w:rPr>
          <w:sz w:val="24"/>
        </w:rPr>
        <w:t>are</w:t>
      </w:r>
      <w:r>
        <w:rPr>
          <w:spacing w:val="-3"/>
          <w:sz w:val="24"/>
        </w:rPr>
        <w:t> </w:t>
      </w:r>
      <w:r>
        <w:rPr>
          <w:sz w:val="24"/>
        </w:rPr>
        <w:t>different</w:t>
      </w:r>
      <w:r>
        <w:rPr>
          <w:spacing w:val="-2"/>
          <w:sz w:val="24"/>
        </w:rPr>
        <w:t> </w:t>
      </w:r>
      <w:r>
        <w:rPr>
          <w:sz w:val="24"/>
        </w:rPr>
        <w:t>exit</w:t>
      </w:r>
      <w:r>
        <w:rPr>
          <w:spacing w:val="-1"/>
          <w:sz w:val="24"/>
        </w:rPr>
        <w:t> </w:t>
      </w:r>
      <w:r>
        <w:rPr>
          <w:sz w:val="24"/>
        </w:rPr>
        <w:t>strategies</w:t>
      </w:r>
      <w:r>
        <w:rPr>
          <w:spacing w:val="-3"/>
          <w:sz w:val="24"/>
        </w:rPr>
        <w:t> </w:t>
      </w:r>
      <w:r>
        <w:rPr>
          <w:sz w:val="24"/>
        </w:rPr>
        <w:t>in</w:t>
      </w:r>
      <w:r>
        <w:rPr>
          <w:spacing w:val="-2"/>
          <w:sz w:val="24"/>
        </w:rPr>
        <w:t> </w:t>
      </w:r>
      <w:r>
        <w:rPr>
          <w:sz w:val="24"/>
        </w:rPr>
        <w:t>the</w:t>
      </w:r>
      <w:r>
        <w:rPr>
          <w:spacing w:val="-2"/>
          <w:sz w:val="24"/>
        </w:rPr>
        <w:t> </w:t>
      </w:r>
      <w:r>
        <w:rPr>
          <w:sz w:val="24"/>
        </w:rPr>
        <w:t>Indian</w:t>
      </w:r>
      <w:r>
        <w:rPr>
          <w:spacing w:val="-2"/>
          <w:sz w:val="24"/>
        </w:rPr>
        <w:t> </w:t>
      </w:r>
      <w:r>
        <w:rPr>
          <w:sz w:val="24"/>
        </w:rPr>
        <w:t>PE</w:t>
      </w:r>
      <w:r>
        <w:rPr>
          <w:spacing w:val="-1"/>
          <w:sz w:val="24"/>
        </w:rPr>
        <w:t> </w:t>
      </w:r>
      <w:r>
        <w:rPr>
          <w:spacing w:val="-2"/>
          <w:sz w:val="24"/>
        </w:rPr>
        <w:t>market?</w:t>
      </w:r>
    </w:p>
    <w:p>
      <w:pPr>
        <w:pStyle w:val="ListParagraph"/>
        <w:numPr>
          <w:ilvl w:val="0"/>
          <w:numId w:val="4"/>
        </w:numPr>
        <w:tabs>
          <w:tab w:pos="743" w:val="left" w:leader="none"/>
        </w:tabs>
        <w:spacing w:line="350" w:lineRule="auto" w:before="135" w:after="0"/>
        <w:ind w:left="743" w:right="26" w:hanging="360"/>
        <w:jc w:val="left"/>
        <w:rPr>
          <w:sz w:val="24"/>
        </w:rPr>
      </w:pPr>
      <w:r>
        <w:rPr>
          <w:sz w:val="24"/>
        </w:rPr>
        <w:t>What</w:t>
      </w:r>
      <w:r>
        <w:rPr>
          <w:spacing w:val="26"/>
          <w:sz w:val="24"/>
        </w:rPr>
        <w:t> </w:t>
      </w:r>
      <w:r>
        <w:rPr>
          <w:sz w:val="24"/>
        </w:rPr>
        <w:t>are</w:t>
      </w:r>
      <w:r>
        <w:rPr>
          <w:spacing w:val="24"/>
          <w:sz w:val="24"/>
        </w:rPr>
        <w:t> </w:t>
      </w:r>
      <w:r>
        <w:rPr>
          <w:sz w:val="24"/>
        </w:rPr>
        <w:t>the</w:t>
      </w:r>
      <w:r>
        <w:rPr>
          <w:spacing w:val="25"/>
          <w:sz w:val="24"/>
        </w:rPr>
        <w:t> </w:t>
      </w:r>
      <w:r>
        <w:rPr>
          <w:sz w:val="24"/>
        </w:rPr>
        <w:t>key</w:t>
      </w:r>
      <w:r>
        <w:rPr>
          <w:spacing w:val="25"/>
          <w:sz w:val="24"/>
        </w:rPr>
        <w:t> </w:t>
      </w:r>
      <w:r>
        <w:rPr>
          <w:sz w:val="24"/>
        </w:rPr>
        <w:t>challenges</w:t>
      </w:r>
      <w:r>
        <w:rPr>
          <w:spacing w:val="25"/>
          <w:sz w:val="24"/>
        </w:rPr>
        <w:t> </w:t>
      </w:r>
      <w:r>
        <w:rPr>
          <w:sz w:val="24"/>
        </w:rPr>
        <w:t>and</w:t>
      </w:r>
      <w:r>
        <w:rPr>
          <w:spacing w:val="25"/>
          <w:sz w:val="24"/>
        </w:rPr>
        <w:t> </w:t>
      </w:r>
      <w:r>
        <w:rPr>
          <w:sz w:val="24"/>
        </w:rPr>
        <w:t>opportunities</w:t>
      </w:r>
      <w:r>
        <w:rPr>
          <w:spacing w:val="25"/>
          <w:sz w:val="24"/>
        </w:rPr>
        <w:t> </w:t>
      </w:r>
      <w:r>
        <w:rPr>
          <w:sz w:val="24"/>
        </w:rPr>
        <w:t>facing</w:t>
      </w:r>
      <w:r>
        <w:rPr>
          <w:spacing w:val="26"/>
          <w:sz w:val="24"/>
        </w:rPr>
        <w:t> </w:t>
      </w:r>
      <w:r>
        <w:rPr>
          <w:sz w:val="24"/>
        </w:rPr>
        <w:t>India's</w:t>
      </w:r>
      <w:r>
        <w:rPr>
          <w:spacing w:val="25"/>
          <w:sz w:val="24"/>
        </w:rPr>
        <w:t> </w:t>
      </w:r>
      <w:r>
        <w:rPr>
          <w:sz w:val="24"/>
        </w:rPr>
        <w:t>PE</w:t>
      </w:r>
      <w:r>
        <w:rPr>
          <w:spacing w:val="25"/>
          <w:sz w:val="24"/>
        </w:rPr>
        <w:t> </w:t>
      </w:r>
      <w:r>
        <w:rPr>
          <w:sz w:val="24"/>
        </w:rPr>
        <w:t>market</w:t>
      </w:r>
      <w:r>
        <w:rPr>
          <w:spacing w:val="28"/>
          <w:sz w:val="24"/>
        </w:rPr>
        <w:t> </w:t>
      </w:r>
      <w:r>
        <w:rPr>
          <w:sz w:val="24"/>
        </w:rPr>
        <w:t>in</w:t>
      </w:r>
      <w:r>
        <w:rPr>
          <w:spacing w:val="26"/>
          <w:sz w:val="24"/>
        </w:rPr>
        <w:t> </w:t>
      </w:r>
      <w:r>
        <w:rPr>
          <w:sz w:val="24"/>
        </w:rPr>
        <w:t>the</w:t>
      </w:r>
      <w:r>
        <w:rPr>
          <w:spacing w:val="25"/>
          <w:sz w:val="24"/>
        </w:rPr>
        <w:t> </w:t>
      </w:r>
      <w:r>
        <w:rPr>
          <w:sz w:val="24"/>
        </w:rPr>
        <w:t>next </w:t>
      </w:r>
      <w:r>
        <w:rPr>
          <w:spacing w:val="-2"/>
          <w:sz w:val="24"/>
        </w:rPr>
        <w:t>decade?</w:t>
      </w:r>
    </w:p>
    <w:p>
      <w:pPr>
        <w:pStyle w:val="BodyText"/>
      </w:pPr>
    </w:p>
    <w:p>
      <w:pPr>
        <w:pStyle w:val="BodyText"/>
        <w:spacing w:before="36"/>
      </w:pPr>
    </w:p>
    <w:p>
      <w:pPr>
        <w:pStyle w:val="Heading2"/>
        <w:numPr>
          <w:ilvl w:val="1"/>
          <w:numId w:val="3"/>
        </w:numPr>
        <w:tabs>
          <w:tab w:pos="411" w:val="left" w:leader="none"/>
        </w:tabs>
        <w:spacing w:line="240" w:lineRule="auto" w:before="0" w:after="0"/>
        <w:ind w:left="411" w:right="0" w:hanging="388"/>
        <w:jc w:val="left"/>
      </w:pPr>
      <w:bookmarkStart w:name="_bookmark3" w:id="4"/>
      <w:bookmarkEnd w:id="4"/>
      <w:r>
        <w:rPr>
          <w:b w:val="0"/>
        </w:rPr>
      </w:r>
      <w:r>
        <w:rPr/>
        <w:t>Significance</w:t>
      </w:r>
      <w:r>
        <w:rPr>
          <w:spacing w:val="-5"/>
        </w:rPr>
        <w:t> </w:t>
      </w:r>
      <w:r>
        <w:rPr/>
        <w:t>of</w:t>
      </w:r>
      <w:r>
        <w:rPr>
          <w:spacing w:val="-6"/>
        </w:rPr>
        <w:t> </w:t>
      </w:r>
      <w:r>
        <w:rPr/>
        <w:t>the</w:t>
      </w:r>
      <w:r>
        <w:rPr>
          <w:spacing w:val="-5"/>
        </w:rPr>
        <w:t> </w:t>
      </w:r>
      <w:r>
        <w:rPr>
          <w:spacing w:val="-2"/>
        </w:rPr>
        <w:t>Study</w:t>
      </w:r>
    </w:p>
    <w:p>
      <w:pPr>
        <w:pStyle w:val="BodyText"/>
        <w:spacing w:line="360" w:lineRule="auto" w:before="229"/>
        <w:ind w:left="23" w:right="22"/>
        <w:jc w:val="both"/>
      </w:pPr>
      <w:r>
        <w:rPr/>
        <w:t>This study addresses gaps in understanding the opportunities and constraints shaping India’s private equity landscape. It examines investment dynamics in light of historical performance, institutional capacity, and exit strategies. The research is both justified and timely: it offers valuable insights for investors, who can use the findings to optimise returnsfor policymakers, who can strengthen regulatory frameworks, and for entrepreneurs, who can better identify sources of growth capital</w:t>
      </w:r>
      <w:r>
        <w:rPr>
          <w:b/>
        </w:rPr>
        <w:t>. </w:t>
      </w:r>
      <w:r>
        <w:rPr/>
        <w:t>Beyond its practical contributions, this study adds to academic scholarship by illustrating India’s evolving role within the global private equity ecosystem. Overall, it provides a focused and balanced analysis of the opportunities and challenges involved in attracting and sustaining private equity investment in India.</w:t>
      </w:r>
    </w:p>
    <w:p>
      <w:pPr>
        <w:pStyle w:val="BodyText"/>
        <w:spacing w:after="0" w:line="360" w:lineRule="auto"/>
        <w:jc w:val="both"/>
        <w:sectPr>
          <w:pgSz w:w="11910" w:h="16840"/>
          <w:pgMar w:header="0" w:footer="1009" w:top="1360" w:bottom="1200" w:left="1417" w:right="1417"/>
        </w:sectPr>
      </w:pPr>
    </w:p>
    <w:p>
      <w:pPr>
        <w:pStyle w:val="Heading1"/>
        <w:numPr>
          <w:ilvl w:val="0"/>
          <w:numId w:val="3"/>
        </w:numPr>
        <w:tabs>
          <w:tab w:pos="298" w:val="left" w:leader="none"/>
        </w:tabs>
        <w:spacing w:line="240" w:lineRule="auto" w:before="64" w:after="0"/>
        <w:ind w:left="298" w:right="0" w:hanging="275"/>
        <w:jc w:val="both"/>
      </w:pPr>
      <w:bookmarkStart w:name="_bookmark4" w:id="5"/>
      <w:bookmarkEnd w:id="5"/>
      <w:r>
        <w:rPr>
          <w:b w:val="0"/>
        </w:rPr>
      </w:r>
      <w:r>
        <w:rPr/>
        <w:t>Theoretical</w:t>
      </w:r>
      <w:r>
        <w:rPr>
          <w:spacing w:val="-11"/>
        </w:rPr>
        <w:t> </w:t>
      </w:r>
      <w:r>
        <w:rPr/>
        <w:t>Background</w:t>
      </w:r>
      <w:r>
        <w:rPr>
          <w:spacing w:val="-14"/>
        </w:rPr>
        <w:t> </w:t>
      </w:r>
      <w:r>
        <w:rPr/>
        <w:t>and</w:t>
      </w:r>
      <w:r>
        <w:rPr>
          <w:spacing w:val="-12"/>
        </w:rPr>
        <w:t> </w:t>
      </w:r>
      <w:r>
        <w:rPr/>
        <w:t>Literature</w:t>
      </w:r>
      <w:r>
        <w:rPr>
          <w:spacing w:val="-11"/>
        </w:rPr>
        <w:t> </w:t>
      </w:r>
      <w:r>
        <w:rPr>
          <w:spacing w:val="-2"/>
        </w:rPr>
        <w:t>Review</w:t>
      </w:r>
    </w:p>
    <w:p>
      <w:pPr>
        <w:pStyle w:val="Heading2"/>
        <w:numPr>
          <w:ilvl w:val="1"/>
          <w:numId w:val="3"/>
        </w:numPr>
        <w:tabs>
          <w:tab w:pos="411" w:val="left" w:leader="none"/>
        </w:tabs>
        <w:spacing w:line="240" w:lineRule="auto" w:before="321" w:after="0"/>
        <w:ind w:left="411" w:right="0" w:hanging="388"/>
        <w:jc w:val="both"/>
      </w:pPr>
      <w:bookmarkStart w:name="_bookmark5" w:id="6"/>
      <w:bookmarkEnd w:id="6"/>
      <w:r>
        <w:rPr>
          <w:b w:val="0"/>
        </w:rPr>
      </w:r>
      <w:r>
        <w:rPr>
          <w:spacing w:val="-2"/>
        </w:rPr>
        <w:t>Introduction</w:t>
      </w:r>
    </w:p>
    <w:p>
      <w:pPr>
        <w:pStyle w:val="BodyText"/>
        <w:spacing w:line="360" w:lineRule="auto" w:before="226"/>
        <w:ind w:left="23" w:right="17"/>
        <w:jc w:val="both"/>
      </w:pPr>
      <w:r>
        <w:rPr/>
        <w:t>This chapter expounds on the background laid in Chapter 1 and seeks to explore the legal, theoretical and empirical background of the Indian Private Equity (PE) market. First, this chapter gives an overview of the most important developments in regulations and institutions that have influenced the country’s investment environment before presenting the theoretical framework</w:t>
      </w:r>
      <w:r>
        <w:rPr>
          <w:spacing w:val="-15"/>
        </w:rPr>
        <w:t> </w:t>
      </w:r>
      <w:r>
        <w:rPr/>
        <w:t>that</w:t>
      </w:r>
      <w:r>
        <w:rPr>
          <w:spacing w:val="-15"/>
        </w:rPr>
        <w:t> </w:t>
      </w:r>
      <w:r>
        <w:rPr/>
        <w:t>guides</w:t>
      </w:r>
      <w:r>
        <w:rPr>
          <w:spacing w:val="-15"/>
        </w:rPr>
        <w:t> </w:t>
      </w:r>
      <w:r>
        <w:rPr/>
        <w:t>the</w:t>
      </w:r>
      <w:r>
        <w:rPr>
          <w:spacing w:val="-15"/>
        </w:rPr>
        <w:t> </w:t>
      </w:r>
      <w:r>
        <w:rPr/>
        <w:t>analysis.</w:t>
      </w:r>
      <w:r>
        <w:rPr>
          <w:spacing w:val="-15"/>
        </w:rPr>
        <w:t> </w:t>
      </w:r>
      <w:r>
        <w:rPr/>
        <w:t>The</w:t>
      </w:r>
      <w:r>
        <w:rPr>
          <w:spacing w:val="-15"/>
        </w:rPr>
        <w:t> </w:t>
      </w:r>
      <w:r>
        <w:rPr/>
        <w:t>chapter</w:t>
      </w:r>
      <w:r>
        <w:rPr>
          <w:spacing w:val="-15"/>
        </w:rPr>
        <w:t> </w:t>
      </w:r>
      <w:r>
        <w:rPr/>
        <w:t>then</w:t>
      </w:r>
      <w:r>
        <w:rPr>
          <w:spacing w:val="-15"/>
        </w:rPr>
        <w:t> </w:t>
      </w:r>
      <w:r>
        <w:rPr/>
        <w:t>integrates</w:t>
      </w:r>
      <w:r>
        <w:rPr>
          <w:spacing w:val="-15"/>
        </w:rPr>
        <w:t> </w:t>
      </w:r>
      <w:r>
        <w:rPr/>
        <w:t>pertinent</w:t>
      </w:r>
      <w:r>
        <w:rPr>
          <w:spacing w:val="-15"/>
        </w:rPr>
        <w:t> </w:t>
      </w:r>
      <w:r>
        <w:rPr/>
        <w:t>scholarly</w:t>
      </w:r>
      <w:r>
        <w:rPr>
          <w:spacing w:val="-15"/>
        </w:rPr>
        <w:t> </w:t>
      </w:r>
      <w:r>
        <w:rPr/>
        <w:t>and</w:t>
      </w:r>
      <w:r>
        <w:rPr>
          <w:spacing w:val="-15"/>
        </w:rPr>
        <w:t> </w:t>
      </w:r>
      <w:r>
        <w:rPr/>
        <w:t>industry studies to identify gaps in the literature. These sections together form the conceptual background</w:t>
      </w:r>
      <w:r>
        <w:rPr>
          <w:spacing w:val="-8"/>
        </w:rPr>
        <w:t> </w:t>
      </w:r>
      <w:r>
        <w:rPr/>
        <w:t>of</w:t>
      </w:r>
      <w:r>
        <w:rPr>
          <w:spacing w:val="-8"/>
        </w:rPr>
        <w:t> </w:t>
      </w:r>
      <w:r>
        <w:rPr/>
        <w:t>analysing</w:t>
      </w:r>
      <w:r>
        <w:rPr>
          <w:spacing w:val="-7"/>
        </w:rPr>
        <w:t> </w:t>
      </w:r>
      <w:r>
        <w:rPr/>
        <w:t>India’s</w:t>
      </w:r>
      <w:r>
        <w:rPr>
          <w:spacing w:val="-9"/>
        </w:rPr>
        <w:t> </w:t>
      </w:r>
      <w:r>
        <w:rPr/>
        <w:t>changing</w:t>
      </w:r>
      <w:r>
        <w:rPr>
          <w:spacing w:val="-8"/>
        </w:rPr>
        <w:t> </w:t>
      </w:r>
      <w:r>
        <w:rPr/>
        <w:t>PE</w:t>
      </w:r>
      <w:r>
        <w:rPr>
          <w:spacing w:val="-9"/>
        </w:rPr>
        <w:t> </w:t>
      </w:r>
      <w:r>
        <w:rPr/>
        <w:t>ecosystem,</w:t>
      </w:r>
      <w:r>
        <w:rPr>
          <w:spacing w:val="-9"/>
        </w:rPr>
        <w:t> </w:t>
      </w:r>
      <w:r>
        <w:rPr/>
        <w:t>investment</w:t>
      </w:r>
      <w:r>
        <w:rPr>
          <w:spacing w:val="-9"/>
        </w:rPr>
        <w:t> </w:t>
      </w:r>
      <w:r>
        <w:rPr/>
        <w:t>drivers,</w:t>
      </w:r>
      <w:r>
        <w:rPr>
          <w:spacing w:val="-9"/>
        </w:rPr>
        <w:t> </w:t>
      </w:r>
      <w:r>
        <w:rPr/>
        <w:t>and</w:t>
      </w:r>
      <w:r>
        <w:rPr>
          <w:spacing w:val="-9"/>
        </w:rPr>
        <w:t> </w:t>
      </w:r>
      <w:r>
        <w:rPr/>
        <w:t>performance </w:t>
      </w:r>
      <w:r>
        <w:rPr>
          <w:spacing w:val="-2"/>
        </w:rPr>
        <w:t>outcomes.</w:t>
      </w:r>
    </w:p>
    <w:p>
      <w:pPr>
        <w:pStyle w:val="Heading2"/>
        <w:numPr>
          <w:ilvl w:val="1"/>
          <w:numId w:val="3"/>
        </w:numPr>
        <w:tabs>
          <w:tab w:pos="411" w:val="left" w:leader="none"/>
        </w:tabs>
        <w:spacing w:line="240" w:lineRule="auto" w:before="162" w:after="0"/>
        <w:ind w:left="411" w:right="0" w:hanging="388"/>
        <w:jc w:val="both"/>
      </w:pPr>
      <w:bookmarkStart w:name="_bookmark6" w:id="7"/>
      <w:bookmarkEnd w:id="7"/>
      <w:r>
        <w:rPr>
          <w:b w:val="0"/>
        </w:rPr>
      </w:r>
      <w:r>
        <w:rPr/>
        <w:t>Evolution</w:t>
      </w:r>
      <w:r>
        <w:rPr>
          <w:spacing w:val="-8"/>
        </w:rPr>
        <w:t> </w:t>
      </w:r>
      <w:r>
        <w:rPr/>
        <w:t>of</w:t>
      </w:r>
      <w:r>
        <w:rPr>
          <w:spacing w:val="-6"/>
        </w:rPr>
        <w:t> </w:t>
      </w:r>
      <w:r>
        <w:rPr/>
        <w:t>the</w:t>
      </w:r>
      <w:r>
        <w:rPr>
          <w:spacing w:val="-8"/>
        </w:rPr>
        <w:t> </w:t>
      </w:r>
      <w:r>
        <w:rPr/>
        <w:t>Legal</w:t>
      </w:r>
      <w:r>
        <w:rPr>
          <w:spacing w:val="-7"/>
        </w:rPr>
        <w:t> </w:t>
      </w:r>
      <w:r>
        <w:rPr>
          <w:spacing w:val="-2"/>
        </w:rPr>
        <w:t>Framework</w:t>
      </w:r>
    </w:p>
    <w:p>
      <w:pPr>
        <w:pStyle w:val="BodyText"/>
        <w:spacing w:line="360" w:lineRule="auto" w:before="229"/>
        <w:ind w:left="23" w:right="21"/>
        <w:jc w:val="both"/>
      </w:pPr>
      <w:r>
        <w:rPr/>
        <w:t>Over the past three decades, India’s private equity (PE) industry has undergone a major transformation</w:t>
      </w:r>
      <w:r>
        <w:rPr>
          <w:spacing w:val="-11"/>
        </w:rPr>
        <w:t> </w:t>
      </w:r>
      <w:r>
        <w:rPr/>
        <w:t>from</w:t>
      </w:r>
      <w:r>
        <w:rPr>
          <w:spacing w:val="-9"/>
        </w:rPr>
        <w:t> </w:t>
      </w:r>
      <w:r>
        <w:rPr/>
        <w:t>an</w:t>
      </w:r>
      <w:r>
        <w:rPr>
          <w:spacing w:val="-12"/>
        </w:rPr>
        <w:t> </w:t>
      </w:r>
      <w:r>
        <w:rPr/>
        <w:t>unregulated</w:t>
      </w:r>
      <w:r>
        <w:rPr>
          <w:spacing w:val="-12"/>
        </w:rPr>
        <w:t> </w:t>
      </w:r>
      <w:r>
        <w:rPr/>
        <w:t>space</w:t>
      </w:r>
      <w:r>
        <w:rPr>
          <w:spacing w:val="-13"/>
        </w:rPr>
        <w:t> </w:t>
      </w:r>
      <w:r>
        <w:rPr/>
        <w:t>to</w:t>
      </w:r>
      <w:r>
        <w:rPr>
          <w:spacing w:val="-9"/>
        </w:rPr>
        <w:t> </w:t>
      </w:r>
      <w:r>
        <w:rPr/>
        <w:t>a</w:t>
      </w:r>
      <w:r>
        <w:rPr>
          <w:spacing w:val="-13"/>
        </w:rPr>
        <w:t> </w:t>
      </w:r>
      <w:r>
        <w:rPr/>
        <w:t>more</w:t>
      </w:r>
      <w:r>
        <w:rPr>
          <w:spacing w:val="-13"/>
        </w:rPr>
        <w:t> </w:t>
      </w:r>
      <w:r>
        <w:rPr/>
        <w:t>structured</w:t>
      </w:r>
      <w:r>
        <w:rPr>
          <w:spacing w:val="-9"/>
        </w:rPr>
        <w:t> </w:t>
      </w:r>
      <w:r>
        <w:rPr/>
        <w:t>and</w:t>
      </w:r>
      <w:r>
        <w:rPr>
          <w:spacing w:val="-12"/>
        </w:rPr>
        <w:t> </w:t>
      </w:r>
      <w:r>
        <w:rPr/>
        <w:t>transparent</w:t>
      </w:r>
      <w:r>
        <w:rPr>
          <w:spacing w:val="-11"/>
        </w:rPr>
        <w:t> </w:t>
      </w:r>
      <w:r>
        <w:rPr/>
        <w:t>financial</w:t>
      </w:r>
      <w:r>
        <w:rPr>
          <w:spacing w:val="-12"/>
        </w:rPr>
        <w:t> </w:t>
      </w:r>
      <w:r>
        <w:rPr/>
        <w:t>sector. According</w:t>
      </w:r>
      <w:r>
        <w:rPr>
          <w:spacing w:val="-4"/>
        </w:rPr>
        <w:t> </w:t>
      </w:r>
      <w:r>
        <w:rPr/>
        <w:t>to</w:t>
      </w:r>
      <w:r>
        <w:rPr>
          <w:spacing w:val="-2"/>
        </w:rPr>
        <w:t> </w:t>
      </w:r>
      <w:r>
        <w:rPr/>
        <w:t>(Chinchwadkar</w:t>
      </w:r>
      <w:r>
        <w:rPr>
          <w:spacing w:val="-4"/>
        </w:rPr>
        <w:t> </w:t>
      </w:r>
      <w:r>
        <w:rPr/>
        <w:t>&amp;</w:t>
      </w:r>
      <w:r>
        <w:rPr>
          <w:spacing w:val="-4"/>
        </w:rPr>
        <w:t> </w:t>
      </w:r>
      <w:r>
        <w:rPr/>
        <w:t>Shekhar,</w:t>
      </w:r>
      <w:r>
        <w:rPr>
          <w:spacing w:val="-4"/>
        </w:rPr>
        <w:t> </w:t>
      </w:r>
      <w:r>
        <w:rPr/>
        <w:t>2016)</w:t>
      </w:r>
      <w:r>
        <w:rPr>
          <w:spacing w:val="-3"/>
        </w:rPr>
        <w:t> </w:t>
      </w:r>
      <w:r>
        <w:rPr/>
        <w:t>PE</w:t>
      </w:r>
      <w:r>
        <w:rPr>
          <w:spacing w:val="-4"/>
        </w:rPr>
        <w:t> </w:t>
      </w:r>
      <w:r>
        <w:rPr/>
        <w:t>activity</w:t>
      </w:r>
      <w:r>
        <w:rPr>
          <w:spacing w:val="-4"/>
        </w:rPr>
        <w:t> </w:t>
      </w:r>
      <w:r>
        <w:rPr/>
        <w:t>before</w:t>
      </w:r>
      <w:r>
        <w:rPr>
          <w:spacing w:val="-5"/>
        </w:rPr>
        <w:t> </w:t>
      </w:r>
      <w:r>
        <w:rPr/>
        <w:t>the</w:t>
      </w:r>
      <w:r>
        <w:rPr>
          <w:spacing w:val="-4"/>
        </w:rPr>
        <w:t> </w:t>
      </w:r>
      <w:r>
        <w:rPr/>
        <w:t>1990s</w:t>
      </w:r>
      <w:r>
        <w:rPr>
          <w:spacing w:val="-5"/>
        </w:rPr>
        <w:t> </w:t>
      </w:r>
      <w:r>
        <w:rPr/>
        <w:t>operated</w:t>
      </w:r>
      <w:r>
        <w:rPr>
          <w:spacing w:val="-3"/>
        </w:rPr>
        <w:t> </w:t>
      </w:r>
      <w:r>
        <w:rPr/>
        <w:t>without a dedicated legal framework and relied mainly on general company and contract law, which offered limited investor protection. Similarly, (Tripathi, 2015) observed that early regulatory measures were largely reactive, with policymakers responding to emerging issues rather than anticipating market needs.</w:t>
      </w:r>
    </w:p>
    <w:p>
      <w:pPr>
        <w:pStyle w:val="BodyText"/>
        <w:spacing w:line="360" w:lineRule="auto" w:before="160"/>
        <w:ind w:left="23" w:right="21"/>
        <w:jc w:val="both"/>
      </w:pPr>
      <w:r>
        <w:rPr/>
        <w:t>The</w:t>
      </w:r>
      <w:r>
        <w:rPr>
          <w:spacing w:val="-14"/>
        </w:rPr>
        <w:t> </w:t>
      </w:r>
      <w:r>
        <w:rPr/>
        <w:t>gradual</w:t>
      </w:r>
      <w:r>
        <w:rPr>
          <w:spacing w:val="-13"/>
        </w:rPr>
        <w:t> </w:t>
      </w:r>
      <w:r>
        <w:rPr/>
        <w:t>liberalisation</w:t>
      </w:r>
      <w:r>
        <w:rPr>
          <w:spacing w:val="-13"/>
        </w:rPr>
        <w:t> </w:t>
      </w:r>
      <w:r>
        <w:rPr/>
        <w:t>of</w:t>
      </w:r>
      <w:r>
        <w:rPr>
          <w:spacing w:val="-14"/>
        </w:rPr>
        <w:t> </w:t>
      </w:r>
      <w:r>
        <w:rPr/>
        <w:t>foreign</w:t>
      </w:r>
      <w:r>
        <w:rPr>
          <w:spacing w:val="-13"/>
        </w:rPr>
        <w:t> </w:t>
      </w:r>
      <w:r>
        <w:rPr/>
        <w:t>direct</w:t>
      </w:r>
      <w:r>
        <w:rPr>
          <w:spacing w:val="-13"/>
        </w:rPr>
        <w:t> </w:t>
      </w:r>
      <w:r>
        <w:rPr/>
        <w:t>investment</w:t>
      </w:r>
      <w:r>
        <w:rPr>
          <w:spacing w:val="-13"/>
        </w:rPr>
        <w:t> </w:t>
      </w:r>
      <w:r>
        <w:rPr/>
        <w:t>(FDI)</w:t>
      </w:r>
      <w:r>
        <w:rPr>
          <w:spacing w:val="-14"/>
        </w:rPr>
        <w:t> </w:t>
      </w:r>
      <w:r>
        <w:rPr/>
        <w:t>policies</w:t>
      </w:r>
      <w:r>
        <w:rPr>
          <w:spacing w:val="-13"/>
        </w:rPr>
        <w:t> </w:t>
      </w:r>
      <w:r>
        <w:rPr/>
        <w:t>during</w:t>
      </w:r>
      <w:r>
        <w:rPr>
          <w:spacing w:val="-11"/>
        </w:rPr>
        <w:t> </w:t>
      </w:r>
      <w:r>
        <w:rPr/>
        <w:t>the</w:t>
      </w:r>
      <w:r>
        <w:rPr>
          <w:spacing w:val="-14"/>
        </w:rPr>
        <w:t> </w:t>
      </w:r>
      <w:r>
        <w:rPr/>
        <w:t>2000s</w:t>
      </w:r>
      <w:r>
        <w:rPr>
          <w:spacing w:val="-13"/>
        </w:rPr>
        <w:t> </w:t>
      </w:r>
      <w:r>
        <w:rPr/>
        <w:t>signaled a more proactive approach. (Tripathi, 2015) noted that the easing of FDI restrictions allowed greater foreign participation across sectors, attracting global investors and accelerating the growth of private equity in India.</w:t>
      </w:r>
      <w:r>
        <w:rPr>
          <w:spacing w:val="-14"/>
        </w:rPr>
        <w:t> </w:t>
      </w:r>
      <w:r>
        <w:rPr/>
        <w:t>A</w:t>
      </w:r>
      <w:r>
        <w:rPr>
          <w:spacing w:val="-11"/>
        </w:rPr>
        <w:t> </w:t>
      </w:r>
      <w:r>
        <w:rPr/>
        <w:t>significant regulatory shift occurred with the introduction of the Securities and Exchange Board of India (Alternative Investment Funds) Regulations in 2012. (Dhankar &amp; Malik, 2016; Dugar &amp; Pandit, 2017a) emphasized that these regulations formalized fund structures, strengthened disclosure norms, and improved investor protection, thereby enhancing institutional participation in the market.</w:t>
      </w:r>
    </w:p>
    <w:p>
      <w:pPr>
        <w:pStyle w:val="BodyText"/>
        <w:spacing w:line="360" w:lineRule="auto" w:before="159"/>
        <w:ind w:left="23" w:right="21"/>
        <w:jc w:val="both"/>
      </w:pPr>
      <w:r>
        <w:rPr/>
        <w:t>Further reforms under the Companies Act of 2013 reinforced corporate governance and transparency standards, which improved investor confidence and accountability within portfolio firms (Rithvik Lakhotia, 2023). The enactment of the Insolvency and Bankruptcy Code</w:t>
      </w:r>
      <w:r>
        <w:rPr>
          <w:spacing w:val="10"/>
        </w:rPr>
        <w:t> </w:t>
      </w:r>
      <w:r>
        <w:rPr/>
        <w:t>(IBC)</w:t>
      </w:r>
      <w:r>
        <w:rPr>
          <w:spacing w:val="12"/>
        </w:rPr>
        <w:t> </w:t>
      </w:r>
      <w:r>
        <w:rPr/>
        <w:t>in</w:t>
      </w:r>
      <w:r>
        <w:rPr>
          <w:spacing w:val="15"/>
        </w:rPr>
        <w:t> </w:t>
      </w:r>
      <w:r>
        <w:rPr/>
        <w:t>2016</w:t>
      </w:r>
      <w:r>
        <w:rPr>
          <w:spacing w:val="15"/>
        </w:rPr>
        <w:t> </w:t>
      </w:r>
      <w:r>
        <w:rPr/>
        <w:t>represented</w:t>
      </w:r>
      <w:r>
        <w:rPr>
          <w:spacing w:val="15"/>
        </w:rPr>
        <w:t> </w:t>
      </w:r>
      <w:r>
        <w:rPr/>
        <w:t>another</w:t>
      </w:r>
      <w:r>
        <w:rPr>
          <w:spacing w:val="14"/>
        </w:rPr>
        <w:t> </w:t>
      </w:r>
      <w:r>
        <w:rPr/>
        <w:t>major</w:t>
      </w:r>
      <w:r>
        <w:rPr>
          <w:spacing w:val="15"/>
        </w:rPr>
        <w:t> </w:t>
      </w:r>
      <w:r>
        <w:rPr/>
        <w:t>milestone.</w:t>
      </w:r>
      <w:r>
        <w:rPr>
          <w:spacing w:val="13"/>
        </w:rPr>
        <w:t> </w:t>
      </w:r>
      <w:r>
        <w:rPr/>
        <w:t>The</w:t>
      </w:r>
      <w:r>
        <w:rPr>
          <w:spacing w:val="14"/>
        </w:rPr>
        <w:t> </w:t>
      </w:r>
      <w:r>
        <w:rPr/>
        <w:t>IBC</w:t>
      </w:r>
      <w:r>
        <w:rPr>
          <w:spacing w:val="13"/>
        </w:rPr>
        <w:t> </w:t>
      </w:r>
      <w:r>
        <w:rPr/>
        <w:t>introduced</w:t>
      </w:r>
      <w:r>
        <w:rPr>
          <w:spacing w:val="15"/>
        </w:rPr>
        <w:t> </w:t>
      </w:r>
      <w:r>
        <w:rPr/>
        <w:t>a</w:t>
      </w:r>
      <w:r>
        <w:rPr>
          <w:spacing w:val="13"/>
        </w:rPr>
        <w:t> </w:t>
      </w:r>
      <w:r>
        <w:rPr/>
        <w:t>time-</w:t>
      </w:r>
      <w:r>
        <w:rPr>
          <w:spacing w:val="-2"/>
        </w:rPr>
        <w:t>bound</w:t>
      </w:r>
    </w:p>
    <w:p>
      <w:pPr>
        <w:pStyle w:val="BodyText"/>
        <w:spacing w:after="0" w:line="360" w:lineRule="auto"/>
        <w:jc w:val="both"/>
        <w:sectPr>
          <w:pgSz w:w="11910" w:h="16840"/>
          <w:pgMar w:header="0" w:footer="1009" w:top="1360" w:bottom="1200" w:left="1417" w:right="1417"/>
        </w:sectPr>
      </w:pPr>
    </w:p>
    <w:p>
      <w:pPr>
        <w:pStyle w:val="BodyText"/>
        <w:spacing w:line="360" w:lineRule="auto" w:before="61"/>
        <w:ind w:left="23" w:right="21"/>
        <w:jc w:val="both"/>
      </w:pPr>
      <w:r>
        <w:rPr/>
        <w:t>mechanism</w:t>
      </w:r>
      <w:r>
        <w:rPr>
          <w:spacing w:val="-10"/>
        </w:rPr>
        <w:t> </w:t>
      </w:r>
      <w:r>
        <w:rPr/>
        <w:t>for</w:t>
      </w:r>
      <w:r>
        <w:rPr>
          <w:spacing w:val="-12"/>
        </w:rPr>
        <w:t> </w:t>
      </w:r>
      <w:r>
        <w:rPr/>
        <w:t>resolving</w:t>
      </w:r>
      <w:r>
        <w:rPr>
          <w:spacing w:val="-11"/>
        </w:rPr>
        <w:t> </w:t>
      </w:r>
      <w:r>
        <w:rPr/>
        <w:t>insolvencies</w:t>
      </w:r>
      <w:r>
        <w:rPr>
          <w:spacing w:val="-11"/>
        </w:rPr>
        <w:t> </w:t>
      </w:r>
      <w:r>
        <w:rPr/>
        <w:t>and</w:t>
      </w:r>
      <w:r>
        <w:rPr>
          <w:spacing w:val="-11"/>
        </w:rPr>
        <w:t> </w:t>
      </w:r>
      <w:r>
        <w:rPr/>
        <w:t>improved</w:t>
      </w:r>
      <w:r>
        <w:rPr>
          <w:spacing w:val="-11"/>
        </w:rPr>
        <w:t> </w:t>
      </w:r>
      <w:r>
        <w:rPr/>
        <w:t>exit</w:t>
      </w:r>
      <w:r>
        <w:rPr>
          <w:spacing w:val="-11"/>
        </w:rPr>
        <w:t> </w:t>
      </w:r>
      <w:r>
        <w:rPr/>
        <w:t>processes,</w:t>
      </w:r>
      <w:r>
        <w:rPr>
          <w:spacing w:val="-11"/>
        </w:rPr>
        <w:t> </w:t>
      </w:r>
      <w:r>
        <w:rPr/>
        <w:t>making</w:t>
      </w:r>
      <w:r>
        <w:rPr>
          <w:spacing w:val="-13"/>
        </w:rPr>
        <w:t> </w:t>
      </w:r>
      <w:r>
        <w:rPr/>
        <w:t>India’s</w:t>
      </w:r>
      <w:r>
        <w:rPr>
          <w:spacing w:val="-11"/>
        </w:rPr>
        <w:t> </w:t>
      </w:r>
      <w:r>
        <w:rPr/>
        <w:t>investment environment more predictable and investor-friendly.</w:t>
      </w:r>
    </w:p>
    <w:p>
      <w:pPr>
        <w:pStyle w:val="BodyText"/>
        <w:spacing w:line="360" w:lineRule="auto" w:before="161"/>
        <w:ind w:left="23" w:right="19"/>
        <w:jc w:val="both"/>
      </w:pPr>
      <w:r>
        <w:rPr/>
        <w:t>However, despite these advances, several studies highlight ongoing legal and procedural challenges. (Rithvik Lakhotia, 2023) and (Majumdar, 2020) pointed out that weak contract enforcement, tax complexities, and lengthy judicial processes continue to constrain the efficiency of private equity operations. Consequently, while the regulatory framework has strengthened considerably, the need for consistent enforcement and simplification of legal processes remains crucial for sustaining investor confidence and aligning India’s PE market with global best practices.</w:t>
      </w:r>
    </w:p>
    <w:p>
      <w:pPr>
        <w:pStyle w:val="Heading2"/>
        <w:numPr>
          <w:ilvl w:val="1"/>
          <w:numId w:val="3"/>
        </w:numPr>
        <w:tabs>
          <w:tab w:pos="406" w:val="left" w:leader="none"/>
        </w:tabs>
        <w:spacing w:line="240" w:lineRule="auto" w:before="161" w:after="0"/>
        <w:ind w:left="406" w:right="0" w:hanging="383"/>
        <w:jc w:val="both"/>
      </w:pPr>
      <w:bookmarkStart w:name="_bookmark7" w:id="8"/>
      <w:bookmarkEnd w:id="8"/>
      <w:r>
        <w:rPr>
          <w:b w:val="0"/>
        </w:rPr>
      </w:r>
      <w:r>
        <w:rPr>
          <w:spacing w:val="-2"/>
        </w:rPr>
        <w:t>Theoretical</w:t>
      </w:r>
      <w:r>
        <w:rPr>
          <w:spacing w:val="5"/>
        </w:rPr>
        <w:t> </w:t>
      </w:r>
      <w:r>
        <w:rPr>
          <w:spacing w:val="-2"/>
        </w:rPr>
        <w:t>Background</w:t>
      </w:r>
    </w:p>
    <w:p>
      <w:pPr>
        <w:pStyle w:val="BodyText"/>
        <w:spacing w:line="360" w:lineRule="auto" w:before="228"/>
        <w:ind w:left="23" w:right="19"/>
        <w:jc w:val="both"/>
      </w:pPr>
      <w:r>
        <w:rPr/>
        <w:t>Private</w:t>
      </w:r>
      <w:r>
        <w:rPr>
          <w:spacing w:val="-8"/>
        </w:rPr>
        <w:t> </w:t>
      </w:r>
      <w:r>
        <w:rPr/>
        <w:t>equity</w:t>
      </w:r>
      <w:r>
        <w:rPr>
          <w:spacing w:val="-7"/>
        </w:rPr>
        <w:t> </w:t>
      </w:r>
      <w:r>
        <w:rPr/>
        <w:t>(PE)</w:t>
      </w:r>
      <w:r>
        <w:rPr>
          <w:spacing w:val="-8"/>
        </w:rPr>
        <w:t> </w:t>
      </w:r>
      <w:r>
        <w:rPr/>
        <w:t>theory</w:t>
      </w:r>
      <w:r>
        <w:rPr>
          <w:spacing w:val="-7"/>
        </w:rPr>
        <w:t> </w:t>
      </w:r>
      <w:r>
        <w:rPr/>
        <w:t>has</w:t>
      </w:r>
      <w:r>
        <w:rPr>
          <w:spacing w:val="-7"/>
        </w:rPr>
        <w:t> </w:t>
      </w:r>
      <w:r>
        <w:rPr/>
        <w:t>evolved</w:t>
      </w:r>
      <w:r>
        <w:rPr>
          <w:spacing w:val="-6"/>
        </w:rPr>
        <w:t> </w:t>
      </w:r>
      <w:r>
        <w:rPr/>
        <w:t>significantly</w:t>
      </w:r>
      <w:r>
        <w:rPr>
          <w:spacing w:val="-7"/>
        </w:rPr>
        <w:t> </w:t>
      </w:r>
      <w:r>
        <w:rPr/>
        <w:t>since</w:t>
      </w:r>
      <w:r>
        <w:rPr>
          <w:spacing w:val="-8"/>
        </w:rPr>
        <w:t> </w:t>
      </w:r>
      <w:r>
        <w:rPr/>
        <w:t>the</w:t>
      </w:r>
      <w:r>
        <w:rPr>
          <w:spacing w:val="-8"/>
        </w:rPr>
        <w:t> </w:t>
      </w:r>
      <w:r>
        <w:rPr/>
        <w:t>pioneering</w:t>
      </w:r>
      <w:r>
        <w:rPr>
          <w:spacing w:val="-5"/>
        </w:rPr>
        <w:t> </w:t>
      </w:r>
      <w:r>
        <w:rPr/>
        <w:t>work</w:t>
      </w:r>
      <w:r>
        <w:rPr>
          <w:spacing w:val="-8"/>
        </w:rPr>
        <w:t> </w:t>
      </w:r>
      <w:r>
        <w:rPr/>
        <w:t>of</w:t>
      </w:r>
      <w:r>
        <w:rPr>
          <w:spacing w:val="-5"/>
        </w:rPr>
        <w:t> </w:t>
      </w:r>
      <w:r>
        <w:rPr/>
        <w:t>(Jensen</w:t>
      </w:r>
      <w:r>
        <w:rPr>
          <w:spacing w:val="-7"/>
        </w:rPr>
        <w:t> </w:t>
      </w:r>
      <w:r>
        <w:rPr/>
        <w:t>&amp;</w:t>
      </w:r>
      <w:r>
        <w:rPr>
          <w:spacing w:val="-7"/>
        </w:rPr>
        <w:t> </w:t>
      </w:r>
      <w:r>
        <w:rPr/>
        <w:t>C, 1999), who articulated the fundamental mechanisms through which PE firms generate value. Jensen emphasized that concentrated ownership, active governance, and aligning managerial incentives are central to PE’s success in enhancing firm performance. Building on this foundation, (Kaplan &amp; Strömberg, 2009) identified three key sources of PE value creation: financial engineering, operational improvements, and multiple expansion. and demonstrated that operational enhancements offer the most sustainable returns, particularly in emerging markets with common inefficiencies.</w:t>
      </w:r>
    </w:p>
    <w:p>
      <w:pPr>
        <w:pStyle w:val="BodyText"/>
        <w:spacing w:line="360" w:lineRule="auto" w:before="159"/>
        <w:ind w:left="23" w:right="19"/>
        <w:jc w:val="both"/>
      </w:pPr>
      <w:r>
        <w:rPr/>
        <w:t>The</w:t>
      </w:r>
      <w:r>
        <w:rPr>
          <w:spacing w:val="-14"/>
        </w:rPr>
        <w:t> </w:t>
      </w:r>
      <w:r>
        <w:rPr/>
        <w:t>agency</w:t>
      </w:r>
      <w:r>
        <w:rPr>
          <w:spacing w:val="-13"/>
        </w:rPr>
        <w:t> </w:t>
      </w:r>
      <w:r>
        <w:rPr/>
        <w:t>theory</w:t>
      </w:r>
      <w:r>
        <w:rPr>
          <w:spacing w:val="-11"/>
        </w:rPr>
        <w:t> </w:t>
      </w:r>
      <w:r>
        <w:rPr/>
        <w:t>perspective</w:t>
      </w:r>
      <w:r>
        <w:rPr>
          <w:spacing w:val="-14"/>
        </w:rPr>
        <w:t> </w:t>
      </w:r>
      <w:r>
        <w:rPr/>
        <w:t>developed</w:t>
      </w:r>
      <w:r>
        <w:rPr>
          <w:spacing w:val="-11"/>
        </w:rPr>
        <w:t> </w:t>
      </w:r>
      <w:r>
        <w:rPr/>
        <w:t>by</w:t>
      </w:r>
      <w:r>
        <w:rPr>
          <w:spacing w:val="-11"/>
        </w:rPr>
        <w:t> </w:t>
      </w:r>
      <w:r>
        <w:rPr/>
        <w:t>(Jensen</w:t>
      </w:r>
      <w:r>
        <w:rPr>
          <w:spacing w:val="-13"/>
        </w:rPr>
        <w:t> </w:t>
      </w:r>
      <w:r>
        <w:rPr/>
        <w:t>&amp;</w:t>
      </w:r>
      <w:r>
        <w:rPr>
          <w:spacing w:val="-13"/>
        </w:rPr>
        <w:t> </w:t>
      </w:r>
      <w:r>
        <w:rPr/>
        <w:t>Meckling,</w:t>
      </w:r>
      <w:r>
        <w:rPr>
          <w:spacing w:val="-13"/>
        </w:rPr>
        <w:t> </w:t>
      </w:r>
      <w:r>
        <w:rPr/>
        <w:t>1976)</w:t>
      </w:r>
      <w:r>
        <w:rPr>
          <w:spacing w:val="-12"/>
        </w:rPr>
        <w:t> </w:t>
      </w:r>
      <w:r>
        <w:rPr/>
        <w:t>provides</w:t>
      </w:r>
      <w:r>
        <w:rPr>
          <w:spacing w:val="-13"/>
        </w:rPr>
        <w:t> </w:t>
      </w:r>
      <w:r>
        <w:rPr/>
        <w:t>an</w:t>
      </w:r>
      <w:r>
        <w:rPr>
          <w:spacing w:val="-13"/>
        </w:rPr>
        <w:t> </w:t>
      </w:r>
      <w:r>
        <w:rPr/>
        <w:t>important framework for understanding the Private Equity market in India. It explains how conflicts of interest arise between principals (investors or limited partners) and agents (fund managers or portfolio</w:t>
      </w:r>
      <w:r>
        <w:rPr>
          <w:spacing w:val="-1"/>
        </w:rPr>
        <w:t> </w:t>
      </w:r>
      <w:r>
        <w:rPr/>
        <w:t>executives)</w:t>
      </w:r>
      <w:r>
        <w:rPr>
          <w:spacing w:val="-2"/>
        </w:rPr>
        <w:t> </w:t>
      </w:r>
      <w:r>
        <w:rPr/>
        <w:t>due to</w:t>
      </w:r>
      <w:r>
        <w:rPr>
          <w:spacing w:val="-1"/>
        </w:rPr>
        <w:t> </w:t>
      </w:r>
      <w:r>
        <w:rPr/>
        <w:t>information</w:t>
      </w:r>
      <w:r>
        <w:rPr>
          <w:spacing w:val="-1"/>
        </w:rPr>
        <w:t> </w:t>
      </w:r>
      <w:r>
        <w:rPr/>
        <w:t>asymmetry</w:t>
      </w:r>
      <w:r>
        <w:rPr>
          <w:spacing w:val="-2"/>
        </w:rPr>
        <w:t> </w:t>
      </w:r>
      <w:r>
        <w:rPr/>
        <w:t>and</w:t>
      </w:r>
      <w:r>
        <w:rPr>
          <w:spacing w:val="-1"/>
        </w:rPr>
        <w:t> </w:t>
      </w:r>
      <w:r>
        <w:rPr/>
        <w:t>differing</w:t>
      </w:r>
      <w:r>
        <w:rPr>
          <w:spacing w:val="-2"/>
        </w:rPr>
        <w:t> </w:t>
      </w:r>
      <w:r>
        <w:rPr/>
        <w:t>objectives.</w:t>
      </w:r>
      <w:r>
        <w:rPr>
          <w:spacing w:val="-1"/>
        </w:rPr>
        <w:t> </w:t>
      </w:r>
      <w:r>
        <w:rPr/>
        <w:t>In</w:t>
      </w:r>
      <w:r>
        <w:rPr>
          <w:spacing w:val="-2"/>
        </w:rPr>
        <w:t> </w:t>
      </w:r>
      <w:r>
        <w:rPr/>
        <w:t>the</w:t>
      </w:r>
      <w:r>
        <w:rPr>
          <w:spacing w:val="-2"/>
        </w:rPr>
        <w:t> </w:t>
      </w:r>
      <w:r>
        <w:rPr/>
        <w:t>context</w:t>
      </w:r>
      <w:r>
        <w:rPr>
          <w:spacing w:val="-1"/>
        </w:rPr>
        <w:t> </w:t>
      </w:r>
      <w:r>
        <w:rPr/>
        <w:t>of private</w:t>
      </w:r>
      <w:r>
        <w:rPr>
          <w:spacing w:val="-13"/>
        </w:rPr>
        <w:t> </w:t>
      </w:r>
      <w:r>
        <w:rPr/>
        <w:t>equity,</w:t>
      </w:r>
      <w:r>
        <w:rPr>
          <w:spacing w:val="-13"/>
        </w:rPr>
        <w:t> </w:t>
      </w:r>
      <w:r>
        <w:rPr/>
        <w:t>fund</w:t>
      </w:r>
      <w:r>
        <w:rPr>
          <w:spacing w:val="-13"/>
        </w:rPr>
        <w:t> </w:t>
      </w:r>
      <w:r>
        <w:rPr/>
        <w:t>managers</w:t>
      </w:r>
      <w:r>
        <w:rPr>
          <w:spacing w:val="-13"/>
        </w:rPr>
        <w:t> </w:t>
      </w:r>
      <w:r>
        <w:rPr/>
        <w:t>often</w:t>
      </w:r>
      <w:r>
        <w:rPr>
          <w:spacing w:val="-13"/>
        </w:rPr>
        <w:t> </w:t>
      </w:r>
      <w:r>
        <w:rPr/>
        <w:t>make</w:t>
      </w:r>
      <w:r>
        <w:rPr>
          <w:spacing w:val="-14"/>
        </w:rPr>
        <w:t> </w:t>
      </w:r>
      <w:r>
        <w:rPr/>
        <w:t>investment,</w:t>
      </w:r>
      <w:r>
        <w:rPr>
          <w:spacing w:val="-12"/>
        </w:rPr>
        <w:t> </w:t>
      </w:r>
      <w:r>
        <w:rPr/>
        <w:t>supervision,</w:t>
      </w:r>
      <w:r>
        <w:rPr>
          <w:spacing w:val="-12"/>
        </w:rPr>
        <w:t> </w:t>
      </w:r>
      <w:r>
        <w:rPr/>
        <w:t>and</w:t>
      </w:r>
      <w:r>
        <w:rPr>
          <w:spacing w:val="-13"/>
        </w:rPr>
        <w:t> </w:t>
      </w:r>
      <w:r>
        <w:rPr/>
        <w:t>exit</w:t>
      </w:r>
      <w:r>
        <w:rPr>
          <w:spacing w:val="-12"/>
        </w:rPr>
        <w:t> </w:t>
      </w:r>
      <w:r>
        <w:rPr/>
        <w:t>decisions</w:t>
      </w:r>
      <w:r>
        <w:rPr>
          <w:spacing w:val="-12"/>
        </w:rPr>
        <w:t> </w:t>
      </w:r>
      <w:r>
        <w:rPr/>
        <w:t>on</w:t>
      </w:r>
      <w:r>
        <w:rPr>
          <w:spacing w:val="-13"/>
        </w:rPr>
        <w:t> </w:t>
      </w:r>
      <w:r>
        <w:rPr/>
        <w:t>behalf of investors, who possess limited control over these actions. As a result, agency costs may emerge through excessive risk-taking, inefficient monitoring, or misaligned incentive structures (Naz et al., 2021).</w:t>
      </w:r>
    </w:p>
    <w:p>
      <w:pPr>
        <w:pStyle w:val="BodyText"/>
        <w:spacing w:line="360" w:lineRule="auto" w:before="162"/>
        <w:ind w:left="23" w:right="17"/>
        <w:jc w:val="both"/>
      </w:pPr>
      <w:r>
        <w:rPr/>
        <w:t>The applicability of agency theory to India’s PE market lies in its capacity to explain how governance reforms such as those introduced through the SEBI</w:t>
      </w:r>
      <w:r>
        <w:rPr>
          <w:spacing w:val="-5"/>
        </w:rPr>
        <w:t> </w:t>
      </w:r>
      <w:r>
        <w:rPr/>
        <w:t>Alternative Investment Fund (AIF) Regulations and the Insolvency and Bankruptcy Code (IBC) aim to reduce agency conflicts. These regulatory frameworks promote transparency, disclosure, and accountability by enforcing fiduciary duties and performance-linked compensation structures, thereby aligning</w:t>
      </w:r>
      <w:r>
        <w:rPr>
          <w:spacing w:val="-11"/>
        </w:rPr>
        <w:t> </w:t>
      </w:r>
      <w:r>
        <w:rPr/>
        <w:t>fund</w:t>
      </w:r>
      <w:r>
        <w:rPr>
          <w:spacing w:val="-9"/>
        </w:rPr>
        <w:t> </w:t>
      </w:r>
      <w:r>
        <w:rPr/>
        <w:t>manager</w:t>
      </w:r>
      <w:r>
        <w:rPr>
          <w:spacing w:val="-9"/>
        </w:rPr>
        <w:t> </w:t>
      </w:r>
      <w:r>
        <w:rPr/>
        <w:t>behavior</w:t>
      </w:r>
      <w:r>
        <w:rPr>
          <w:spacing w:val="-9"/>
        </w:rPr>
        <w:t> </w:t>
      </w:r>
      <w:r>
        <w:rPr/>
        <w:t>with</w:t>
      </w:r>
      <w:r>
        <w:rPr>
          <w:spacing w:val="-8"/>
        </w:rPr>
        <w:t> </w:t>
      </w:r>
      <w:r>
        <w:rPr/>
        <w:t>investor</w:t>
      </w:r>
      <w:r>
        <w:rPr>
          <w:spacing w:val="-9"/>
        </w:rPr>
        <w:t> </w:t>
      </w:r>
      <w:r>
        <w:rPr/>
        <w:t>interests</w:t>
      </w:r>
      <w:r>
        <w:rPr>
          <w:spacing w:val="-6"/>
        </w:rPr>
        <w:t> </w:t>
      </w:r>
      <w:r>
        <w:rPr/>
        <w:t>(Bagdi</w:t>
      </w:r>
      <w:r>
        <w:rPr>
          <w:spacing w:val="-8"/>
        </w:rPr>
        <w:t> </w:t>
      </w:r>
      <w:r>
        <w:rPr/>
        <w:t>&amp;</w:t>
      </w:r>
      <w:r>
        <w:rPr>
          <w:spacing w:val="-8"/>
        </w:rPr>
        <w:t> </w:t>
      </w:r>
      <w:r>
        <w:rPr/>
        <w:t>Pragnyath,</w:t>
      </w:r>
      <w:r>
        <w:rPr>
          <w:spacing w:val="-6"/>
        </w:rPr>
        <w:t> </w:t>
      </w:r>
      <w:r>
        <w:rPr/>
        <w:t>2023).</w:t>
      </w:r>
      <w:r>
        <w:rPr>
          <w:spacing w:val="-13"/>
        </w:rPr>
        <w:t> </w:t>
      </w:r>
      <w:r>
        <w:rPr/>
        <w:t>Within</w:t>
      </w:r>
      <w:r>
        <w:rPr>
          <w:spacing w:val="-8"/>
        </w:rPr>
        <w:t> </w:t>
      </w:r>
      <w:r>
        <w:rPr>
          <w:spacing w:val="-4"/>
        </w:rPr>
        <w:t>this</w:t>
      </w:r>
    </w:p>
    <w:p>
      <w:pPr>
        <w:pStyle w:val="BodyText"/>
        <w:spacing w:after="0" w:line="360" w:lineRule="auto"/>
        <w:jc w:val="both"/>
        <w:sectPr>
          <w:pgSz w:w="11910" w:h="16840"/>
          <w:pgMar w:header="0" w:footer="1009" w:top="1360" w:bottom="1280" w:left="1417" w:right="1417"/>
        </w:sectPr>
      </w:pPr>
    </w:p>
    <w:p>
      <w:pPr>
        <w:pStyle w:val="BodyText"/>
        <w:spacing w:line="360" w:lineRule="auto" w:before="61"/>
        <w:ind w:left="23" w:right="23"/>
        <w:jc w:val="both"/>
      </w:pPr>
      <w:r>
        <w:rPr/>
        <w:t>framework,</w:t>
      </w:r>
      <w:r>
        <w:rPr>
          <w:spacing w:val="-2"/>
        </w:rPr>
        <w:t> </w:t>
      </w:r>
      <w:r>
        <w:rPr/>
        <w:t>the</w:t>
      </w:r>
      <w:r>
        <w:rPr>
          <w:spacing w:val="-1"/>
        </w:rPr>
        <w:t> </w:t>
      </w:r>
      <w:r>
        <w:rPr/>
        <w:t>study explores</w:t>
      </w:r>
      <w:r>
        <w:rPr>
          <w:spacing w:val="-1"/>
        </w:rPr>
        <w:t> </w:t>
      </w:r>
      <w:r>
        <w:rPr/>
        <w:t>how</w:t>
      </w:r>
      <w:r>
        <w:rPr>
          <w:spacing w:val="-1"/>
        </w:rPr>
        <w:t> </w:t>
      </w:r>
      <w:r>
        <w:rPr/>
        <w:t>India’s</w:t>
      </w:r>
      <w:r>
        <w:rPr>
          <w:spacing w:val="-1"/>
        </w:rPr>
        <w:t> </w:t>
      </w:r>
      <w:r>
        <w:rPr/>
        <w:t>evolving</w:t>
      </w:r>
      <w:r>
        <w:rPr>
          <w:spacing w:val="-1"/>
        </w:rPr>
        <w:t> </w:t>
      </w:r>
      <w:r>
        <w:rPr/>
        <w:t>legal and</w:t>
      </w:r>
      <w:r>
        <w:rPr>
          <w:spacing w:val="-1"/>
        </w:rPr>
        <w:t> </w:t>
      </w:r>
      <w:r>
        <w:rPr/>
        <w:t>institutional</w:t>
      </w:r>
      <w:r>
        <w:rPr>
          <w:spacing w:val="-3"/>
        </w:rPr>
        <w:t> </w:t>
      </w:r>
      <w:r>
        <w:rPr/>
        <w:t>structures</w:t>
      </w:r>
      <w:r>
        <w:rPr>
          <w:spacing w:val="-1"/>
        </w:rPr>
        <w:t> </w:t>
      </w:r>
      <w:r>
        <w:rPr/>
        <w:t>mitigate agency conflicts and enhance value creation in portfolio companies.</w:t>
      </w:r>
    </w:p>
    <w:p>
      <w:pPr>
        <w:pStyle w:val="BodyText"/>
        <w:spacing w:line="360" w:lineRule="auto" w:before="161"/>
        <w:ind w:left="23" w:right="21"/>
        <w:jc w:val="both"/>
      </w:pPr>
      <w:r>
        <w:rPr/>
        <w:t>The relevance of agency theory in emerging markets has also been discussed by (D. J. Cumming &amp; Johan, 2009), who noted that agency relationships are shaped by cultural and institutional contexts. In</w:t>
      </w:r>
      <w:r>
        <w:rPr>
          <w:spacing w:val="-2"/>
        </w:rPr>
        <w:t> </w:t>
      </w:r>
      <w:r>
        <w:rPr/>
        <w:t>India, where</w:t>
      </w:r>
      <w:r>
        <w:rPr>
          <w:spacing w:val="-1"/>
        </w:rPr>
        <w:t> </w:t>
      </w:r>
      <w:r>
        <w:rPr/>
        <w:t>family-owned and founder-led enterprises dominate the corporate landscape, agency conflicts differ markedly from those in developed markets. The alignment of incentives and monitoring mechanisms is thus influenced not only by market forces but also by social norms and governance maturity.</w:t>
      </w:r>
    </w:p>
    <w:p>
      <w:pPr>
        <w:pStyle w:val="BodyText"/>
        <w:spacing w:line="360" w:lineRule="auto" w:before="159"/>
        <w:ind w:left="23" w:right="17"/>
        <w:jc w:val="both"/>
      </w:pPr>
      <w:r>
        <w:rPr/>
        <w:t>While agency theory provides the principal analytical foundation for this research, alternative theoretical perspectives were also reviewed for completeness. The Resource-Based View (RBV) emphasizes firm-level competitive advantages derived from internal capabilities and </w:t>
      </w:r>
      <w:r>
        <w:rPr>
          <w:spacing w:val="-2"/>
        </w:rPr>
        <w:t>resources</w:t>
      </w:r>
      <w:r>
        <w:rPr>
          <w:spacing w:val="-5"/>
        </w:rPr>
        <w:t> </w:t>
      </w:r>
      <w:r>
        <w:rPr>
          <w:spacing w:val="-2"/>
        </w:rPr>
        <w:t>(Barney,</w:t>
      </w:r>
      <w:r>
        <w:rPr>
          <w:spacing w:val="-5"/>
        </w:rPr>
        <w:t> </w:t>
      </w:r>
      <w:r>
        <w:rPr>
          <w:spacing w:val="-2"/>
        </w:rPr>
        <w:t>1991). However,</w:t>
      </w:r>
      <w:r>
        <w:rPr>
          <w:spacing w:val="-5"/>
        </w:rPr>
        <w:t> </w:t>
      </w:r>
      <w:r>
        <w:rPr>
          <w:spacing w:val="-2"/>
        </w:rPr>
        <w:t>because</w:t>
      </w:r>
      <w:r>
        <w:rPr>
          <w:spacing w:val="-6"/>
        </w:rPr>
        <w:t> </w:t>
      </w:r>
      <w:r>
        <w:rPr>
          <w:spacing w:val="-2"/>
        </w:rPr>
        <w:t>the</w:t>
      </w:r>
      <w:r>
        <w:rPr>
          <w:spacing w:val="-6"/>
        </w:rPr>
        <w:t> </w:t>
      </w:r>
      <w:r>
        <w:rPr>
          <w:spacing w:val="-2"/>
        </w:rPr>
        <w:t>RBV</w:t>
      </w:r>
      <w:r>
        <w:rPr>
          <w:spacing w:val="-12"/>
        </w:rPr>
        <w:t> </w:t>
      </w:r>
      <w:r>
        <w:rPr>
          <w:spacing w:val="-2"/>
        </w:rPr>
        <w:t>primarily</w:t>
      </w:r>
      <w:r>
        <w:rPr>
          <w:spacing w:val="-5"/>
        </w:rPr>
        <w:t> </w:t>
      </w:r>
      <w:r>
        <w:rPr>
          <w:spacing w:val="-2"/>
        </w:rPr>
        <w:t>operates</w:t>
      </w:r>
      <w:r>
        <w:rPr>
          <w:spacing w:val="-6"/>
        </w:rPr>
        <w:t> </w:t>
      </w:r>
      <w:r>
        <w:rPr>
          <w:spacing w:val="-2"/>
        </w:rPr>
        <w:t>at</w:t>
      </w:r>
      <w:r>
        <w:rPr>
          <w:spacing w:val="-5"/>
        </w:rPr>
        <w:t> </w:t>
      </w:r>
      <w:r>
        <w:rPr>
          <w:spacing w:val="-2"/>
        </w:rPr>
        <w:t>the</w:t>
      </w:r>
      <w:r>
        <w:rPr>
          <w:spacing w:val="-6"/>
        </w:rPr>
        <w:t> </w:t>
      </w:r>
      <w:r>
        <w:rPr>
          <w:spacing w:val="-2"/>
        </w:rPr>
        <w:t>firm</w:t>
      </w:r>
      <w:r>
        <w:rPr>
          <w:spacing w:val="-5"/>
        </w:rPr>
        <w:t> </w:t>
      </w:r>
      <w:r>
        <w:rPr>
          <w:spacing w:val="-2"/>
        </w:rPr>
        <w:t>level</w:t>
      </w:r>
      <w:r>
        <w:rPr>
          <w:spacing w:val="-5"/>
        </w:rPr>
        <w:t> </w:t>
      </w:r>
      <w:r>
        <w:rPr>
          <w:spacing w:val="-2"/>
        </w:rPr>
        <w:t>rather </w:t>
      </w:r>
      <w:r>
        <w:rPr/>
        <w:t>than the fund or market level, it offers limited applicability to this study’s broader focus on India’s private equity ecosystem. Similarly, Information Asymmetry Theory explains investment behaviour in the context of deal screening and signalling during early investment stages, but contributes less to understanding long-term governance and exit processes within private equity structures (D. Cumming &amp; Johan, 2008).</w:t>
      </w:r>
    </w:p>
    <w:p>
      <w:pPr>
        <w:pStyle w:val="BodyText"/>
        <w:spacing w:line="360" w:lineRule="auto" w:before="160"/>
        <w:ind w:left="23" w:right="19"/>
        <w:jc w:val="both"/>
      </w:pPr>
      <w:r>
        <w:rPr/>
        <w:t>Recent</w:t>
      </w:r>
      <w:r>
        <w:rPr>
          <w:spacing w:val="-10"/>
        </w:rPr>
        <w:t> </w:t>
      </w:r>
      <w:r>
        <w:rPr/>
        <w:t>studies</w:t>
      </w:r>
      <w:r>
        <w:rPr>
          <w:spacing w:val="-9"/>
        </w:rPr>
        <w:t> </w:t>
      </w:r>
      <w:r>
        <w:rPr/>
        <w:t>reaffirm</w:t>
      </w:r>
      <w:r>
        <w:rPr>
          <w:spacing w:val="-9"/>
        </w:rPr>
        <w:t> </w:t>
      </w:r>
      <w:r>
        <w:rPr/>
        <w:t>that</w:t>
      </w:r>
      <w:r>
        <w:rPr>
          <w:spacing w:val="-11"/>
        </w:rPr>
        <w:t> </w:t>
      </w:r>
      <w:r>
        <w:rPr/>
        <w:t>effective</w:t>
      </w:r>
      <w:r>
        <w:rPr>
          <w:spacing w:val="-12"/>
        </w:rPr>
        <w:t> </w:t>
      </w:r>
      <w:r>
        <w:rPr/>
        <w:t>governance</w:t>
      </w:r>
      <w:r>
        <w:rPr>
          <w:spacing w:val="-10"/>
        </w:rPr>
        <w:t> </w:t>
      </w:r>
      <w:r>
        <w:rPr/>
        <w:t>remains</w:t>
      </w:r>
      <w:r>
        <w:rPr>
          <w:spacing w:val="-10"/>
        </w:rPr>
        <w:t> </w:t>
      </w:r>
      <w:r>
        <w:rPr/>
        <w:t>central</w:t>
      </w:r>
      <w:r>
        <w:rPr>
          <w:spacing w:val="-10"/>
        </w:rPr>
        <w:t> </w:t>
      </w:r>
      <w:r>
        <w:rPr/>
        <w:t>to</w:t>
      </w:r>
      <w:r>
        <w:rPr>
          <w:spacing w:val="-9"/>
        </w:rPr>
        <w:t> </w:t>
      </w:r>
      <w:r>
        <w:rPr/>
        <w:t>sustainable</w:t>
      </w:r>
      <w:r>
        <w:rPr>
          <w:spacing w:val="-11"/>
        </w:rPr>
        <w:t> </w:t>
      </w:r>
      <w:r>
        <w:rPr/>
        <w:t>value</w:t>
      </w:r>
      <w:r>
        <w:rPr>
          <w:spacing w:val="-12"/>
        </w:rPr>
        <w:t> </w:t>
      </w:r>
      <w:r>
        <w:rPr/>
        <w:t>creation, particularly</w:t>
      </w:r>
      <w:r>
        <w:rPr>
          <w:spacing w:val="-2"/>
        </w:rPr>
        <w:t> </w:t>
      </w:r>
      <w:r>
        <w:rPr/>
        <w:t>in emerging economies</w:t>
      </w:r>
      <w:r>
        <w:rPr>
          <w:spacing w:val="-2"/>
        </w:rPr>
        <w:t> </w:t>
      </w:r>
      <w:r>
        <w:rPr/>
        <w:t>with</w:t>
      </w:r>
      <w:r>
        <w:rPr>
          <w:spacing w:val="-2"/>
        </w:rPr>
        <w:t> </w:t>
      </w:r>
      <w:r>
        <w:rPr/>
        <w:t>evolving institutional</w:t>
      </w:r>
      <w:r>
        <w:rPr>
          <w:spacing w:val="-2"/>
        </w:rPr>
        <w:t> </w:t>
      </w:r>
      <w:r>
        <w:rPr/>
        <w:t>frameworks (Naz</w:t>
      </w:r>
      <w:r>
        <w:rPr>
          <w:spacing w:val="-3"/>
        </w:rPr>
        <w:t> </w:t>
      </w:r>
      <w:r>
        <w:rPr/>
        <w:t>et al.,</w:t>
      </w:r>
      <w:r>
        <w:rPr>
          <w:spacing w:val="-2"/>
        </w:rPr>
        <w:t> </w:t>
      </w:r>
      <w:r>
        <w:rPr/>
        <w:t>2021). As India’s PE market continues to mature, governance reforms and investor–agent alignment mechanisms</w:t>
      </w:r>
      <w:r>
        <w:rPr>
          <w:spacing w:val="-11"/>
        </w:rPr>
        <w:t> </w:t>
      </w:r>
      <w:r>
        <w:rPr/>
        <w:t>are</w:t>
      </w:r>
      <w:r>
        <w:rPr>
          <w:spacing w:val="-11"/>
        </w:rPr>
        <w:t> </w:t>
      </w:r>
      <w:r>
        <w:rPr/>
        <w:t>increasingly</w:t>
      </w:r>
      <w:r>
        <w:rPr>
          <w:spacing w:val="-9"/>
        </w:rPr>
        <w:t> </w:t>
      </w:r>
      <w:r>
        <w:rPr/>
        <w:t>viewed</w:t>
      </w:r>
      <w:r>
        <w:rPr>
          <w:spacing w:val="-7"/>
        </w:rPr>
        <w:t> </w:t>
      </w:r>
      <w:r>
        <w:rPr/>
        <w:t>as</w:t>
      </w:r>
      <w:r>
        <w:rPr>
          <w:spacing w:val="-9"/>
        </w:rPr>
        <w:t> </w:t>
      </w:r>
      <w:r>
        <w:rPr/>
        <w:t>critical</w:t>
      </w:r>
      <w:r>
        <w:rPr>
          <w:spacing w:val="-8"/>
        </w:rPr>
        <w:t> </w:t>
      </w:r>
      <w:r>
        <w:rPr/>
        <w:t>determinants</w:t>
      </w:r>
      <w:r>
        <w:rPr>
          <w:spacing w:val="-9"/>
        </w:rPr>
        <w:t> </w:t>
      </w:r>
      <w:r>
        <w:rPr/>
        <w:t>of</w:t>
      </w:r>
      <w:r>
        <w:rPr>
          <w:spacing w:val="-10"/>
        </w:rPr>
        <w:t> </w:t>
      </w:r>
      <w:r>
        <w:rPr/>
        <w:t>market</w:t>
      </w:r>
      <w:r>
        <w:rPr>
          <w:spacing w:val="-7"/>
        </w:rPr>
        <w:t> </w:t>
      </w:r>
      <w:r>
        <w:rPr/>
        <w:t>efficiency</w:t>
      </w:r>
      <w:r>
        <w:rPr>
          <w:spacing w:val="-10"/>
        </w:rPr>
        <w:t> </w:t>
      </w:r>
      <w:r>
        <w:rPr/>
        <w:t>and</w:t>
      </w:r>
      <w:r>
        <w:rPr>
          <w:spacing w:val="-7"/>
        </w:rPr>
        <w:t> </w:t>
      </w:r>
      <w:r>
        <w:rPr>
          <w:spacing w:val="-2"/>
        </w:rPr>
        <w:t>stability.</w:t>
      </w:r>
    </w:p>
    <w:p>
      <w:pPr>
        <w:pStyle w:val="BodyText"/>
        <w:spacing w:line="360" w:lineRule="auto" w:before="162"/>
        <w:ind w:left="23" w:right="21"/>
        <w:jc w:val="both"/>
      </w:pPr>
      <w:r>
        <w:rPr/>
        <w:t>Collectively, these theoretical perspectives provide the conceptual foundation for this study. While Jensen’s and Kaplan and Strömberg’s frameworks explain how private equity creates value through operational and governance mechanisms, agency theory explains why specific governance structures and contractual arrangements are necessary to align stakeholder interests.</w:t>
      </w:r>
      <w:r>
        <w:rPr>
          <w:spacing w:val="-14"/>
        </w:rPr>
        <w:t> </w:t>
      </w:r>
      <w:r>
        <w:rPr/>
        <w:t>This</w:t>
      </w:r>
      <w:r>
        <w:rPr>
          <w:spacing w:val="-11"/>
        </w:rPr>
        <w:t> </w:t>
      </w:r>
      <w:r>
        <w:rPr/>
        <w:t>integration</w:t>
      </w:r>
      <w:r>
        <w:rPr>
          <w:spacing w:val="-10"/>
        </w:rPr>
        <w:t> </w:t>
      </w:r>
      <w:r>
        <w:rPr/>
        <w:t>enables</w:t>
      </w:r>
      <w:r>
        <w:rPr>
          <w:spacing w:val="-10"/>
        </w:rPr>
        <w:t> </w:t>
      </w:r>
      <w:r>
        <w:rPr/>
        <w:t>a</w:t>
      </w:r>
      <w:r>
        <w:rPr>
          <w:spacing w:val="-10"/>
        </w:rPr>
        <w:t> </w:t>
      </w:r>
      <w:r>
        <w:rPr/>
        <w:t>nuanced</w:t>
      </w:r>
      <w:r>
        <w:rPr>
          <w:spacing w:val="-12"/>
        </w:rPr>
        <w:t> </w:t>
      </w:r>
      <w:r>
        <w:rPr/>
        <w:t>understanding</w:t>
      </w:r>
      <w:r>
        <w:rPr>
          <w:spacing w:val="-11"/>
        </w:rPr>
        <w:t> </w:t>
      </w:r>
      <w:r>
        <w:rPr/>
        <w:t>of</w:t>
      </w:r>
      <w:r>
        <w:rPr>
          <w:spacing w:val="-12"/>
        </w:rPr>
        <w:t> </w:t>
      </w:r>
      <w:r>
        <w:rPr/>
        <w:t>India’s</w:t>
      </w:r>
      <w:r>
        <w:rPr>
          <w:spacing w:val="-11"/>
        </w:rPr>
        <w:t> </w:t>
      </w:r>
      <w:r>
        <w:rPr/>
        <w:t>private</w:t>
      </w:r>
      <w:r>
        <w:rPr>
          <w:spacing w:val="-13"/>
        </w:rPr>
        <w:t> </w:t>
      </w:r>
      <w:r>
        <w:rPr/>
        <w:t>equity</w:t>
      </w:r>
      <w:r>
        <w:rPr>
          <w:spacing w:val="-12"/>
        </w:rPr>
        <w:t> </w:t>
      </w:r>
      <w:r>
        <w:rPr/>
        <w:t>landscape, where institutional evolution, policy reforms, and market behaviour intersect to influence investment performance and long-term value creation. 2.4</w:t>
      </w:r>
      <w:r>
        <w:rPr>
          <w:spacing w:val="-7"/>
        </w:rPr>
        <w:t> </w:t>
      </w:r>
      <w:r>
        <w:rPr/>
        <w:t>Analysis of Relevant Publications</w:t>
      </w:r>
    </w:p>
    <w:p>
      <w:pPr>
        <w:pStyle w:val="Heading2"/>
        <w:numPr>
          <w:ilvl w:val="1"/>
          <w:numId w:val="3"/>
        </w:numPr>
        <w:tabs>
          <w:tab w:pos="397" w:val="left" w:leader="none"/>
        </w:tabs>
        <w:spacing w:line="240" w:lineRule="auto" w:before="161" w:after="0"/>
        <w:ind w:left="397" w:right="0" w:hanging="374"/>
        <w:jc w:val="both"/>
      </w:pPr>
      <w:bookmarkStart w:name="_bookmark8" w:id="9"/>
      <w:bookmarkEnd w:id="9"/>
      <w:r>
        <w:rPr>
          <w:b w:val="0"/>
        </w:rPr>
      </w:r>
      <w:r>
        <w:rPr/>
        <w:t>Analysis</w:t>
      </w:r>
      <w:r>
        <w:rPr>
          <w:spacing w:val="-8"/>
        </w:rPr>
        <w:t> </w:t>
      </w:r>
      <w:r>
        <w:rPr/>
        <w:t>of</w:t>
      </w:r>
      <w:r>
        <w:rPr>
          <w:spacing w:val="-5"/>
        </w:rPr>
        <w:t> </w:t>
      </w:r>
      <w:r>
        <w:rPr/>
        <w:t>Relevant</w:t>
      </w:r>
      <w:r>
        <w:rPr>
          <w:spacing w:val="-8"/>
        </w:rPr>
        <w:t> </w:t>
      </w:r>
      <w:r>
        <w:rPr>
          <w:spacing w:val="-2"/>
        </w:rPr>
        <w:t>Publications</w:t>
      </w:r>
    </w:p>
    <w:p>
      <w:pPr>
        <w:pStyle w:val="BodyText"/>
        <w:spacing w:line="360" w:lineRule="auto" w:before="228"/>
        <w:ind w:left="23" w:right="18"/>
        <w:jc w:val="both"/>
      </w:pPr>
      <w:r>
        <w:rPr/>
        <w:t>India’s</w:t>
      </w:r>
      <w:r>
        <w:rPr>
          <w:spacing w:val="-6"/>
        </w:rPr>
        <w:t> </w:t>
      </w:r>
      <w:r>
        <w:rPr/>
        <w:t>private</w:t>
      </w:r>
      <w:r>
        <w:rPr>
          <w:spacing w:val="-5"/>
        </w:rPr>
        <w:t> </w:t>
      </w:r>
      <w:r>
        <w:rPr/>
        <w:t>equity</w:t>
      </w:r>
      <w:r>
        <w:rPr>
          <w:spacing w:val="-5"/>
        </w:rPr>
        <w:t> </w:t>
      </w:r>
      <w:r>
        <w:rPr/>
        <w:t>(PE)</w:t>
      </w:r>
      <w:r>
        <w:rPr>
          <w:spacing w:val="-6"/>
        </w:rPr>
        <w:t> </w:t>
      </w:r>
      <w:r>
        <w:rPr/>
        <w:t>Market</w:t>
      </w:r>
      <w:r>
        <w:rPr>
          <w:spacing w:val="-5"/>
        </w:rPr>
        <w:t> </w:t>
      </w:r>
      <w:r>
        <w:rPr/>
        <w:t>has</w:t>
      </w:r>
      <w:r>
        <w:rPr>
          <w:spacing w:val="-6"/>
        </w:rPr>
        <w:t> </w:t>
      </w:r>
      <w:r>
        <w:rPr/>
        <w:t>attracted</w:t>
      </w:r>
      <w:r>
        <w:rPr>
          <w:spacing w:val="-5"/>
        </w:rPr>
        <w:t> </w:t>
      </w:r>
      <w:r>
        <w:rPr/>
        <w:t>growing</w:t>
      </w:r>
      <w:r>
        <w:rPr>
          <w:spacing w:val="-5"/>
        </w:rPr>
        <w:t> </w:t>
      </w:r>
      <w:r>
        <w:rPr/>
        <w:t>attention</w:t>
      </w:r>
      <w:r>
        <w:rPr>
          <w:spacing w:val="-5"/>
        </w:rPr>
        <w:t> </w:t>
      </w:r>
      <w:r>
        <w:rPr/>
        <w:t>from</w:t>
      </w:r>
      <w:r>
        <w:rPr>
          <w:spacing w:val="-5"/>
        </w:rPr>
        <w:t> </w:t>
      </w:r>
      <w:r>
        <w:rPr/>
        <w:t>academics</w:t>
      </w:r>
      <w:r>
        <w:rPr>
          <w:spacing w:val="-6"/>
        </w:rPr>
        <w:t> </w:t>
      </w:r>
      <w:r>
        <w:rPr/>
        <w:t>and</w:t>
      </w:r>
      <w:r>
        <w:rPr>
          <w:spacing w:val="-5"/>
        </w:rPr>
        <w:t> </w:t>
      </w:r>
      <w:r>
        <w:rPr/>
        <w:t>market analysts.</w:t>
      </w:r>
      <w:r>
        <w:rPr>
          <w:spacing w:val="3"/>
        </w:rPr>
        <w:t> </w:t>
      </w:r>
      <w:r>
        <w:rPr/>
        <w:t>The</w:t>
      </w:r>
      <w:r>
        <w:rPr>
          <w:spacing w:val="12"/>
        </w:rPr>
        <w:t> </w:t>
      </w:r>
      <w:r>
        <w:rPr/>
        <w:t>research</w:t>
      </w:r>
      <w:r>
        <w:rPr>
          <w:spacing w:val="13"/>
        </w:rPr>
        <w:t> </w:t>
      </w:r>
      <w:r>
        <w:rPr/>
        <w:t>reflects</w:t>
      </w:r>
      <w:r>
        <w:rPr>
          <w:spacing w:val="13"/>
        </w:rPr>
        <w:t> </w:t>
      </w:r>
      <w:r>
        <w:rPr/>
        <w:t>how</w:t>
      </w:r>
      <w:r>
        <w:rPr>
          <w:spacing w:val="12"/>
        </w:rPr>
        <w:t> </w:t>
      </w:r>
      <w:r>
        <w:rPr/>
        <w:t>quickly</w:t>
      </w:r>
      <w:r>
        <w:rPr>
          <w:spacing w:val="13"/>
        </w:rPr>
        <w:t> </w:t>
      </w:r>
      <w:r>
        <w:rPr/>
        <w:t>the</w:t>
      </w:r>
      <w:r>
        <w:rPr>
          <w:spacing w:val="11"/>
        </w:rPr>
        <w:t> </w:t>
      </w:r>
      <w:r>
        <w:rPr/>
        <w:t>industry</w:t>
      </w:r>
      <w:r>
        <w:rPr>
          <w:spacing w:val="12"/>
        </w:rPr>
        <w:t> </w:t>
      </w:r>
      <w:r>
        <w:rPr/>
        <w:t>has</w:t>
      </w:r>
      <w:r>
        <w:rPr>
          <w:spacing w:val="13"/>
        </w:rPr>
        <w:t> </w:t>
      </w:r>
      <w:r>
        <w:rPr/>
        <w:t>matured</w:t>
      </w:r>
      <w:r>
        <w:rPr>
          <w:spacing w:val="13"/>
        </w:rPr>
        <w:t> </w:t>
      </w:r>
      <w:r>
        <w:rPr/>
        <w:t>from</w:t>
      </w:r>
      <w:r>
        <w:rPr>
          <w:spacing w:val="15"/>
        </w:rPr>
        <w:t> </w:t>
      </w:r>
      <w:r>
        <w:rPr/>
        <w:t>small,</w:t>
      </w:r>
      <w:r>
        <w:rPr>
          <w:spacing w:val="13"/>
        </w:rPr>
        <w:t> </w:t>
      </w:r>
      <w:r>
        <w:rPr/>
        <w:t>foreign-</w:t>
      </w:r>
      <w:r>
        <w:rPr>
          <w:spacing w:val="-5"/>
        </w:rPr>
        <w:t>led</w:t>
      </w:r>
    </w:p>
    <w:p>
      <w:pPr>
        <w:pStyle w:val="BodyText"/>
        <w:spacing w:after="0" w:line="360" w:lineRule="auto"/>
        <w:jc w:val="both"/>
        <w:sectPr>
          <w:pgSz w:w="11910" w:h="16840"/>
          <w:pgMar w:header="0" w:footer="1009" w:top="1360" w:bottom="1200" w:left="1417" w:right="1417"/>
        </w:sectPr>
      </w:pPr>
    </w:p>
    <w:p>
      <w:pPr>
        <w:pStyle w:val="BodyText"/>
        <w:spacing w:line="360" w:lineRule="auto" w:before="61"/>
        <w:ind w:left="23" w:right="17"/>
        <w:jc w:val="both"/>
      </w:pPr>
      <w:r>
        <w:rPr/>
        <w:t>growth</w:t>
      </w:r>
      <w:r>
        <w:rPr>
          <w:spacing w:val="-4"/>
        </w:rPr>
        <w:t> </w:t>
      </w:r>
      <w:r>
        <w:rPr/>
        <w:t>capital</w:t>
      </w:r>
      <w:r>
        <w:rPr>
          <w:spacing w:val="-4"/>
        </w:rPr>
        <w:t> </w:t>
      </w:r>
      <w:r>
        <w:rPr/>
        <w:t>investments</w:t>
      </w:r>
      <w:r>
        <w:rPr>
          <w:spacing w:val="-4"/>
        </w:rPr>
        <w:t> </w:t>
      </w:r>
      <w:r>
        <w:rPr/>
        <w:t>in</w:t>
      </w:r>
      <w:r>
        <w:rPr>
          <w:spacing w:val="-4"/>
        </w:rPr>
        <w:t> </w:t>
      </w:r>
      <w:r>
        <w:rPr/>
        <w:t>the</w:t>
      </w:r>
      <w:r>
        <w:rPr>
          <w:spacing w:val="-5"/>
        </w:rPr>
        <w:t> </w:t>
      </w:r>
      <w:r>
        <w:rPr/>
        <w:t>1990s</w:t>
      </w:r>
      <w:r>
        <w:rPr>
          <w:spacing w:val="-5"/>
        </w:rPr>
        <w:t> </w:t>
      </w:r>
      <w:r>
        <w:rPr/>
        <w:t>to</w:t>
      </w:r>
      <w:r>
        <w:rPr>
          <w:spacing w:val="-2"/>
        </w:rPr>
        <w:t> </w:t>
      </w:r>
      <w:r>
        <w:rPr/>
        <w:t>a</w:t>
      </w:r>
      <w:r>
        <w:rPr>
          <w:spacing w:val="-2"/>
        </w:rPr>
        <w:t> </w:t>
      </w:r>
      <w:r>
        <w:rPr/>
        <w:t>complex</w:t>
      </w:r>
      <w:r>
        <w:rPr>
          <w:spacing w:val="-5"/>
        </w:rPr>
        <w:t> </w:t>
      </w:r>
      <w:r>
        <w:rPr/>
        <w:t>ecosystem</w:t>
      </w:r>
      <w:r>
        <w:rPr>
          <w:spacing w:val="-2"/>
        </w:rPr>
        <w:t> </w:t>
      </w:r>
      <w:r>
        <w:rPr/>
        <w:t>of</w:t>
      </w:r>
      <w:r>
        <w:rPr>
          <w:spacing w:val="-6"/>
        </w:rPr>
        <w:t> </w:t>
      </w:r>
      <w:r>
        <w:rPr/>
        <w:t>domestic</w:t>
      </w:r>
      <w:r>
        <w:rPr>
          <w:spacing w:val="-6"/>
        </w:rPr>
        <w:t> </w:t>
      </w:r>
      <w:r>
        <w:rPr/>
        <w:t>and</w:t>
      </w:r>
      <w:r>
        <w:rPr>
          <w:spacing w:val="-3"/>
        </w:rPr>
        <w:t> </w:t>
      </w:r>
      <w:r>
        <w:rPr/>
        <w:t>international funds today. Across this literature, three theoretical ideas often appear. First, agency theory explains how investors reduce information and control problems through monitoring, negotiated</w:t>
      </w:r>
      <w:r>
        <w:rPr>
          <w:spacing w:val="-7"/>
        </w:rPr>
        <w:t> </w:t>
      </w:r>
      <w:r>
        <w:rPr/>
        <w:t>rights,</w:t>
      </w:r>
      <w:r>
        <w:rPr>
          <w:spacing w:val="-6"/>
        </w:rPr>
        <w:t> </w:t>
      </w:r>
      <w:r>
        <w:rPr/>
        <w:t>and</w:t>
      </w:r>
      <w:r>
        <w:rPr>
          <w:spacing w:val="-7"/>
        </w:rPr>
        <w:t> </w:t>
      </w:r>
      <w:r>
        <w:rPr/>
        <w:t>contract</w:t>
      </w:r>
      <w:r>
        <w:rPr>
          <w:spacing w:val="-6"/>
        </w:rPr>
        <w:t> </w:t>
      </w:r>
      <w:r>
        <w:rPr/>
        <w:t>design.</w:t>
      </w:r>
      <w:r>
        <w:rPr>
          <w:spacing w:val="-6"/>
        </w:rPr>
        <w:t> </w:t>
      </w:r>
      <w:r>
        <w:rPr/>
        <w:t>Second,</w:t>
      </w:r>
      <w:r>
        <w:rPr>
          <w:spacing w:val="-7"/>
        </w:rPr>
        <w:t> </w:t>
      </w:r>
      <w:r>
        <w:rPr/>
        <w:t>the</w:t>
      </w:r>
      <w:r>
        <w:rPr>
          <w:spacing w:val="-7"/>
        </w:rPr>
        <w:t> </w:t>
      </w:r>
      <w:r>
        <w:rPr/>
        <w:t>resource-based</w:t>
      </w:r>
      <w:r>
        <w:rPr>
          <w:spacing w:val="-7"/>
        </w:rPr>
        <w:t> </w:t>
      </w:r>
      <w:r>
        <w:rPr/>
        <w:t>view</w:t>
      </w:r>
      <w:r>
        <w:rPr>
          <w:spacing w:val="-8"/>
        </w:rPr>
        <w:t> </w:t>
      </w:r>
      <w:r>
        <w:rPr/>
        <w:t>(RBV)</w:t>
      </w:r>
      <w:r>
        <w:rPr>
          <w:spacing w:val="-8"/>
        </w:rPr>
        <w:t> </w:t>
      </w:r>
      <w:r>
        <w:rPr/>
        <w:t>highlights</w:t>
      </w:r>
      <w:r>
        <w:rPr>
          <w:spacing w:val="-9"/>
        </w:rPr>
        <w:t> </w:t>
      </w:r>
      <w:r>
        <w:rPr/>
        <w:t>how PE investors add strategic and managerial value, not just capital. Third, institutional theory focuses on how regulation and formal market rules shape investor behaviour.</w:t>
      </w:r>
      <w:r>
        <w:rPr>
          <w:spacing w:val="-3"/>
        </w:rPr>
        <w:t> </w:t>
      </w:r>
      <w:r>
        <w:rPr/>
        <w:t>Taken together, these</w:t>
      </w:r>
      <w:r>
        <w:rPr>
          <w:spacing w:val="-14"/>
        </w:rPr>
        <w:t> </w:t>
      </w:r>
      <w:r>
        <w:rPr/>
        <w:t>perspectives</w:t>
      </w:r>
      <w:r>
        <w:rPr>
          <w:spacing w:val="-13"/>
        </w:rPr>
        <w:t> </w:t>
      </w:r>
      <w:r>
        <w:rPr/>
        <w:t>help</w:t>
      </w:r>
      <w:r>
        <w:rPr>
          <w:spacing w:val="-13"/>
        </w:rPr>
        <w:t> </w:t>
      </w:r>
      <w:r>
        <w:rPr/>
        <w:t>explain</w:t>
      </w:r>
      <w:r>
        <w:rPr>
          <w:spacing w:val="-13"/>
        </w:rPr>
        <w:t> </w:t>
      </w:r>
      <w:r>
        <w:rPr/>
        <w:t>how</w:t>
      </w:r>
      <w:r>
        <w:rPr>
          <w:spacing w:val="-14"/>
        </w:rPr>
        <w:t> </w:t>
      </w:r>
      <w:r>
        <w:rPr/>
        <w:t>private</w:t>
      </w:r>
      <w:r>
        <w:rPr>
          <w:spacing w:val="-14"/>
        </w:rPr>
        <w:t> </w:t>
      </w:r>
      <w:r>
        <w:rPr/>
        <w:t>equity</w:t>
      </w:r>
      <w:r>
        <w:rPr>
          <w:spacing w:val="-11"/>
        </w:rPr>
        <w:t> </w:t>
      </w:r>
      <w:r>
        <w:rPr/>
        <w:t>has</w:t>
      </w:r>
      <w:r>
        <w:rPr>
          <w:spacing w:val="-13"/>
        </w:rPr>
        <w:t> </w:t>
      </w:r>
      <w:r>
        <w:rPr/>
        <w:t>evolved</w:t>
      </w:r>
      <w:r>
        <w:rPr>
          <w:spacing w:val="-13"/>
        </w:rPr>
        <w:t> </w:t>
      </w:r>
      <w:r>
        <w:rPr/>
        <w:t>within</w:t>
      </w:r>
      <w:r>
        <w:rPr>
          <w:spacing w:val="-13"/>
        </w:rPr>
        <w:t> </w:t>
      </w:r>
      <w:r>
        <w:rPr/>
        <w:t>India’s</w:t>
      </w:r>
      <w:r>
        <w:rPr>
          <w:spacing w:val="-13"/>
        </w:rPr>
        <w:t> </w:t>
      </w:r>
      <w:r>
        <w:rPr/>
        <w:t>unique</w:t>
      </w:r>
      <w:r>
        <w:rPr>
          <w:spacing w:val="-14"/>
        </w:rPr>
        <w:t> </w:t>
      </w:r>
      <w:r>
        <w:rPr/>
        <w:t>economic and legal setting.</w:t>
      </w:r>
    </w:p>
    <w:p>
      <w:pPr>
        <w:pStyle w:val="Heading3"/>
        <w:numPr>
          <w:ilvl w:val="2"/>
          <w:numId w:val="3"/>
        </w:numPr>
        <w:tabs>
          <w:tab w:pos="563" w:val="left" w:leader="none"/>
        </w:tabs>
        <w:spacing w:line="240" w:lineRule="auto" w:before="162" w:after="0"/>
        <w:ind w:left="563" w:right="0" w:hanging="540"/>
        <w:jc w:val="both"/>
      </w:pPr>
      <w:bookmarkStart w:name="_bookmark9" w:id="10"/>
      <w:bookmarkEnd w:id="10"/>
      <w:r>
        <w:rPr>
          <w:b w:val="0"/>
        </w:rPr>
      </w:r>
      <w:r>
        <w:rPr/>
        <w:t>Early</w:t>
      </w:r>
      <w:r>
        <w:rPr>
          <w:spacing w:val="-3"/>
        </w:rPr>
        <w:t> </w:t>
      </w:r>
      <w:r>
        <w:rPr/>
        <w:t>development</w:t>
      </w:r>
      <w:r>
        <w:rPr>
          <w:spacing w:val="-3"/>
        </w:rPr>
        <w:t> </w:t>
      </w:r>
      <w:r>
        <w:rPr/>
        <w:t>and</w:t>
      </w:r>
      <w:r>
        <w:rPr>
          <w:spacing w:val="-3"/>
        </w:rPr>
        <w:t> </w:t>
      </w:r>
      <w:r>
        <w:rPr/>
        <w:t>structural</w:t>
      </w:r>
      <w:r>
        <w:rPr>
          <w:spacing w:val="-2"/>
        </w:rPr>
        <w:t> evolution</w:t>
      </w:r>
    </w:p>
    <w:p>
      <w:pPr>
        <w:pStyle w:val="BodyText"/>
        <w:spacing w:line="360" w:lineRule="auto" w:before="216"/>
        <w:ind w:left="23" w:right="21"/>
        <w:jc w:val="both"/>
      </w:pPr>
      <w:r>
        <w:rPr/>
        <w:t>Early</w:t>
      </w:r>
      <w:r>
        <w:rPr>
          <w:spacing w:val="-2"/>
        </w:rPr>
        <w:t> </w:t>
      </w:r>
      <w:r>
        <w:rPr/>
        <w:t>studies</w:t>
      </w:r>
      <w:r>
        <w:rPr>
          <w:spacing w:val="-1"/>
        </w:rPr>
        <w:t> </w:t>
      </w:r>
      <w:r>
        <w:rPr/>
        <w:t>link</w:t>
      </w:r>
      <w:r>
        <w:rPr>
          <w:spacing w:val="-1"/>
        </w:rPr>
        <w:t> </w:t>
      </w:r>
      <w:r>
        <w:rPr/>
        <w:t>the</w:t>
      </w:r>
      <w:r>
        <w:rPr>
          <w:spacing w:val="-2"/>
        </w:rPr>
        <w:t> </w:t>
      </w:r>
      <w:r>
        <w:rPr/>
        <w:t>rise of</w:t>
      </w:r>
      <w:r>
        <w:rPr>
          <w:spacing w:val="-2"/>
        </w:rPr>
        <w:t> </w:t>
      </w:r>
      <w:r>
        <w:rPr/>
        <w:t>private</w:t>
      </w:r>
      <w:r>
        <w:rPr>
          <w:spacing w:val="-2"/>
        </w:rPr>
        <w:t> </w:t>
      </w:r>
      <w:r>
        <w:rPr/>
        <w:t>equity</w:t>
      </w:r>
      <w:r>
        <w:rPr>
          <w:spacing w:val="-1"/>
        </w:rPr>
        <w:t> </w:t>
      </w:r>
      <w:r>
        <w:rPr/>
        <w:t>directly to</w:t>
      </w:r>
      <w:r>
        <w:rPr>
          <w:spacing w:val="-1"/>
        </w:rPr>
        <w:t> </w:t>
      </w:r>
      <w:r>
        <w:rPr/>
        <w:t>India’s</w:t>
      </w:r>
      <w:r>
        <w:rPr>
          <w:spacing w:val="-1"/>
        </w:rPr>
        <w:t> </w:t>
      </w:r>
      <w:r>
        <w:rPr/>
        <w:t>economic</w:t>
      </w:r>
      <w:r>
        <w:rPr>
          <w:spacing w:val="-2"/>
        </w:rPr>
        <w:t> </w:t>
      </w:r>
      <w:r>
        <w:rPr/>
        <w:t>liberalisation</w:t>
      </w:r>
      <w:r>
        <w:rPr>
          <w:spacing w:val="-1"/>
        </w:rPr>
        <w:t> </w:t>
      </w:r>
      <w:r>
        <w:rPr/>
        <w:t>in</w:t>
      </w:r>
      <w:r>
        <w:rPr>
          <w:spacing w:val="-1"/>
        </w:rPr>
        <w:t> </w:t>
      </w:r>
      <w:r>
        <w:rPr/>
        <w:t>1991. Ratanpal</w:t>
      </w:r>
      <w:r>
        <w:rPr>
          <w:spacing w:val="-15"/>
        </w:rPr>
        <w:t> </w:t>
      </w:r>
      <w:r>
        <w:rPr/>
        <w:t>(2008)</w:t>
      </w:r>
      <w:r>
        <w:rPr>
          <w:spacing w:val="-15"/>
        </w:rPr>
        <w:t> </w:t>
      </w:r>
      <w:r>
        <w:rPr/>
        <w:t>noted</w:t>
      </w:r>
      <w:r>
        <w:rPr>
          <w:spacing w:val="-15"/>
        </w:rPr>
        <w:t> </w:t>
      </w:r>
      <w:r>
        <w:rPr/>
        <w:t>that</w:t>
      </w:r>
      <w:r>
        <w:rPr>
          <w:spacing w:val="-15"/>
        </w:rPr>
        <w:t> </w:t>
      </w:r>
      <w:r>
        <w:rPr/>
        <w:t>strong</w:t>
      </w:r>
      <w:r>
        <w:rPr>
          <w:spacing w:val="-15"/>
        </w:rPr>
        <w:t> </w:t>
      </w:r>
      <w:r>
        <w:rPr/>
        <w:t>GDP</w:t>
      </w:r>
      <w:r>
        <w:rPr>
          <w:spacing w:val="-15"/>
        </w:rPr>
        <w:t> </w:t>
      </w:r>
      <w:r>
        <w:rPr/>
        <w:t>growth,</w:t>
      </w:r>
      <w:r>
        <w:rPr>
          <w:spacing w:val="-15"/>
        </w:rPr>
        <w:t> </w:t>
      </w:r>
      <w:r>
        <w:rPr/>
        <w:t>a</w:t>
      </w:r>
      <w:r>
        <w:rPr>
          <w:spacing w:val="-15"/>
        </w:rPr>
        <w:t> </w:t>
      </w:r>
      <w:r>
        <w:rPr/>
        <w:t>high</w:t>
      </w:r>
      <w:r>
        <w:rPr>
          <w:spacing w:val="-15"/>
        </w:rPr>
        <w:t> </w:t>
      </w:r>
      <w:r>
        <w:rPr/>
        <w:t>savings</w:t>
      </w:r>
      <w:r>
        <w:rPr>
          <w:spacing w:val="-15"/>
        </w:rPr>
        <w:t> </w:t>
      </w:r>
      <w:r>
        <w:rPr/>
        <w:t>rate,</w:t>
      </w:r>
      <w:r>
        <w:rPr>
          <w:spacing w:val="-15"/>
        </w:rPr>
        <w:t> </w:t>
      </w:r>
      <w:r>
        <w:rPr/>
        <w:t>and</w:t>
      </w:r>
      <w:r>
        <w:rPr>
          <w:spacing w:val="-15"/>
        </w:rPr>
        <w:t> </w:t>
      </w:r>
      <w:r>
        <w:rPr/>
        <w:t>an</w:t>
      </w:r>
      <w:r>
        <w:rPr>
          <w:spacing w:val="-15"/>
        </w:rPr>
        <w:t> </w:t>
      </w:r>
      <w:r>
        <w:rPr/>
        <w:t>expanding</w:t>
      </w:r>
      <w:r>
        <w:rPr>
          <w:spacing w:val="-15"/>
        </w:rPr>
        <w:t> </w:t>
      </w:r>
      <w:r>
        <w:rPr/>
        <w:t>consumer market created fertile ground for new investment channels once capital controls began to loosen. At that time, private equity mainly provided growth capital rather than undertaking leveraged buyouts. Investors typically took minority stakes in family-run or promoter- controlled firms, offering funds for expansion rather than ownership control.</w:t>
      </w:r>
    </w:p>
    <w:p>
      <w:pPr>
        <w:pStyle w:val="BodyText"/>
        <w:spacing w:line="360" w:lineRule="auto" w:before="161"/>
        <w:ind w:left="23" w:right="20"/>
        <w:jc w:val="both"/>
      </w:pPr>
      <w:r>
        <w:rPr/>
        <w:t>Similar observations appear in Tripathi (2015) and in</w:t>
      </w:r>
      <w:r>
        <w:rPr>
          <w:spacing w:val="-11"/>
        </w:rPr>
        <w:t> </w:t>
      </w:r>
      <w:r>
        <w:rPr/>
        <w:t>Annamalai and Deshmukh (2011), who analysed Indian transactions from the mid-2000s and found that most investments were late- stage or growth-stage deals. Exits were dominated by public listings or strategic sales, rather than by highly leveraged buyouts or sponsor-to-sponsor secondaries as seen in more mature Western markets.</w:t>
      </w:r>
    </w:p>
    <w:p>
      <w:pPr>
        <w:pStyle w:val="BodyText"/>
        <w:spacing w:line="360" w:lineRule="auto" w:before="160"/>
        <w:ind w:left="23" w:right="18"/>
        <w:jc w:val="both"/>
      </w:pPr>
      <w:r>
        <w:rPr/>
        <w:t>Afsharipour (2016) later described this as the “Indian private equity model,” where investors relied</w:t>
      </w:r>
      <w:r>
        <w:rPr>
          <w:spacing w:val="-13"/>
        </w:rPr>
        <w:t> </w:t>
      </w:r>
      <w:r>
        <w:rPr/>
        <w:t>on</w:t>
      </w:r>
      <w:r>
        <w:rPr>
          <w:spacing w:val="-13"/>
        </w:rPr>
        <w:t> </w:t>
      </w:r>
      <w:r>
        <w:rPr/>
        <w:t>detailed</w:t>
      </w:r>
      <w:r>
        <w:rPr>
          <w:spacing w:val="-14"/>
        </w:rPr>
        <w:t> </w:t>
      </w:r>
      <w:r>
        <w:rPr/>
        <w:t>shareholder</w:t>
      </w:r>
      <w:r>
        <w:rPr>
          <w:spacing w:val="-14"/>
        </w:rPr>
        <w:t> </w:t>
      </w:r>
      <w:r>
        <w:rPr/>
        <w:t>agreements</w:t>
      </w:r>
      <w:r>
        <w:rPr>
          <w:spacing w:val="-11"/>
        </w:rPr>
        <w:t> </w:t>
      </w:r>
      <w:r>
        <w:rPr/>
        <w:t>-</w:t>
      </w:r>
      <w:r>
        <w:rPr>
          <w:spacing w:val="-14"/>
        </w:rPr>
        <w:t> </w:t>
      </w:r>
      <w:r>
        <w:rPr/>
        <w:t>veto</w:t>
      </w:r>
      <w:r>
        <w:rPr>
          <w:spacing w:val="-13"/>
        </w:rPr>
        <w:t> </w:t>
      </w:r>
      <w:r>
        <w:rPr/>
        <w:t>rights,</w:t>
      </w:r>
      <w:r>
        <w:rPr>
          <w:spacing w:val="-12"/>
        </w:rPr>
        <w:t> </w:t>
      </w:r>
      <w:r>
        <w:rPr/>
        <w:t>board</w:t>
      </w:r>
      <w:r>
        <w:rPr>
          <w:spacing w:val="-14"/>
        </w:rPr>
        <w:t> </w:t>
      </w:r>
      <w:r>
        <w:rPr/>
        <w:t>seats,</w:t>
      </w:r>
      <w:r>
        <w:rPr>
          <w:spacing w:val="-12"/>
        </w:rPr>
        <w:t> </w:t>
      </w:r>
      <w:r>
        <w:rPr/>
        <w:t>information</w:t>
      </w:r>
      <w:r>
        <w:rPr>
          <w:spacing w:val="-13"/>
        </w:rPr>
        <w:t> </w:t>
      </w:r>
      <w:r>
        <w:rPr/>
        <w:t>rights,</w:t>
      </w:r>
      <w:r>
        <w:rPr>
          <w:spacing w:val="-13"/>
        </w:rPr>
        <w:t> </w:t>
      </w:r>
      <w:r>
        <w:rPr/>
        <w:t>and</w:t>
      </w:r>
      <w:r>
        <w:rPr>
          <w:spacing w:val="-13"/>
        </w:rPr>
        <w:t> </w:t>
      </w:r>
      <w:r>
        <w:rPr/>
        <w:t>exit clauses to manage risk because full control was rare. This structure suited a country where promoters preferred to retain ownership but welcomed outside expertise and capital. It also reflected the reality that, before the 2010s, India did not yet have a deep domestic leveraged buyout market or a consistently reliable enforcement regime for aggressive control </w:t>
      </w:r>
      <w:r>
        <w:rPr>
          <w:spacing w:val="-2"/>
        </w:rPr>
        <w:t>transactions.</w:t>
      </w:r>
    </w:p>
    <w:p>
      <w:pPr>
        <w:pStyle w:val="BodyText"/>
        <w:spacing w:line="360" w:lineRule="auto" w:before="160"/>
        <w:ind w:left="23" w:right="21"/>
        <w:jc w:val="both"/>
      </w:pPr>
      <w:r>
        <w:rPr/>
        <w:t>As the market matured, researchers began to note major changes in both deal structure and purpose. Smith &amp; Dalmia (2020) argued that the global financial crisis in 2008 served as a turning point for the Indian PE market; early optimism gave way to a more disciplined and professional</w:t>
      </w:r>
      <w:r>
        <w:rPr>
          <w:spacing w:val="-9"/>
        </w:rPr>
        <w:t> </w:t>
      </w:r>
      <w:r>
        <w:rPr/>
        <w:t>industry.</w:t>
      </w:r>
      <w:r>
        <w:rPr>
          <w:spacing w:val="-9"/>
        </w:rPr>
        <w:t> </w:t>
      </w:r>
      <w:r>
        <w:rPr/>
        <w:t>Indian</w:t>
      </w:r>
      <w:r>
        <w:rPr>
          <w:spacing w:val="-10"/>
        </w:rPr>
        <w:t> </w:t>
      </w:r>
      <w:r>
        <w:rPr/>
        <w:t>funds</w:t>
      </w:r>
      <w:r>
        <w:rPr>
          <w:spacing w:val="-10"/>
        </w:rPr>
        <w:t> </w:t>
      </w:r>
      <w:r>
        <w:rPr/>
        <w:t>started</w:t>
      </w:r>
      <w:r>
        <w:rPr>
          <w:spacing w:val="-10"/>
        </w:rPr>
        <w:t> </w:t>
      </w:r>
      <w:r>
        <w:rPr/>
        <w:t>focusing</w:t>
      </w:r>
      <w:r>
        <w:rPr>
          <w:spacing w:val="-9"/>
        </w:rPr>
        <w:t> </w:t>
      </w:r>
      <w:r>
        <w:rPr/>
        <w:t>less</w:t>
      </w:r>
      <w:r>
        <w:rPr>
          <w:spacing w:val="-9"/>
        </w:rPr>
        <w:t> </w:t>
      </w:r>
      <w:r>
        <w:rPr/>
        <w:t>on</w:t>
      </w:r>
      <w:r>
        <w:rPr>
          <w:spacing w:val="-9"/>
        </w:rPr>
        <w:t> </w:t>
      </w:r>
      <w:r>
        <w:rPr/>
        <w:t>quick</w:t>
      </w:r>
      <w:r>
        <w:rPr>
          <w:spacing w:val="-10"/>
        </w:rPr>
        <w:t> </w:t>
      </w:r>
      <w:r>
        <w:rPr/>
        <w:t>capital</w:t>
      </w:r>
      <w:r>
        <w:rPr>
          <w:spacing w:val="-9"/>
        </w:rPr>
        <w:t> </w:t>
      </w:r>
      <w:r>
        <w:rPr/>
        <w:t>deployment</w:t>
      </w:r>
      <w:r>
        <w:rPr>
          <w:spacing w:val="-9"/>
        </w:rPr>
        <w:t> </w:t>
      </w:r>
      <w:r>
        <w:rPr/>
        <w:t>and</w:t>
      </w:r>
      <w:r>
        <w:rPr>
          <w:spacing w:val="-9"/>
        </w:rPr>
        <w:t> </w:t>
      </w:r>
      <w:r>
        <w:rPr/>
        <w:t>more on</w:t>
      </w:r>
      <w:r>
        <w:rPr>
          <w:spacing w:val="37"/>
        </w:rPr>
        <w:t> </w:t>
      </w:r>
      <w:r>
        <w:rPr/>
        <w:t>improving</w:t>
      </w:r>
      <w:r>
        <w:rPr>
          <w:spacing w:val="37"/>
        </w:rPr>
        <w:t> </w:t>
      </w:r>
      <w:r>
        <w:rPr/>
        <w:t>portfolio</w:t>
      </w:r>
      <w:r>
        <w:rPr>
          <w:spacing w:val="39"/>
        </w:rPr>
        <w:t> </w:t>
      </w:r>
      <w:r>
        <w:rPr/>
        <w:t>companies</w:t>
      </w:r>
      <w:r>
        <w:rPr>
          <w:spacing w:val="38"/>
        </w:rPr>
        <w:t> </w:t>
      </w:r>
      <w:r>
        <w:rPr/>
        <w:t>through</w:t>
      </w:r>
      <w:r>
        <w:rPr>
          <w:spacing w:val="39"/>
        </w:rPr>
        <w:t> </w:t>
      </w:r>
      <w:r>
        <w:rPr/>
        <w:t>better</w:t>
      </w:r>
      <w:r>
        <w:rPr>
          <w:spacing w:val="37"/>
        </w:rPr>
        <w:t> </w:t>
      </w:r>
      <w:r>
        <w:rPr/>
        <w:t>management,</w:t>
      </w:r>
      <w:r>
        <w:rPr>
          <w:spacing w:val="37"/>
        </w:rPr>
        <w:t> </w:t>
      </w:r>
      <w:r>
        <w:rPr/>
        <w:t>governance</w:t>
      </w:r>
      <w:r>
        <w:rPr>
          <w:spacing w:val="37"/>
        </w:rPr>
        <w:t> </w:t>
      </w:r>
      <w:r>
        <w:rPr/>
        <w:t>discipline,</w:t>
      </w:r>
      <w:r>
        <w:rPr>
          <w:spacing w:val="39"/>
        </w:rPr>
        <w:t> </w:t>
      </w:r>
      <w:r>
        <w:rPr>
          <w:spacing w:val="-5"/>
        </w:rPr>
        <w:t>and</w:t>
      </w:r>
    </w:p>
    <w:p>
      <w:pPr>
        <w:pStyle w:val="BodyText"/>
        <w:spacing w:after="0" w:line="360" w:lineRule="auto"/>
        <w:jc w:val="both"/>
        <w:sectPr>
          <w:pgSz w:w="11910" w:h="16840"/>
          <w:pgMar w:header="0" w:footer="1009" w:top="1360" w:bottom="1280" w:left="1417" w:right="1417"/>
        </w:sectPr>
      </w:pPr>
    </w:p>
    <w:p>
      <w:pPr>
        <w:pStyle w:val="BodyText"/>
        <w:spacing w:line="360" w:lineRule="auto" w:before="61"/>
        <w:ind w:left="23" w:right="18"/>
        <w:jc w:val="both"/>
      </w:pPr>
      <w:r>
        <w:rPr/>
        <w:t>operational support. Dugar and Pandit (2017) provided data consistent with this shift. Using deal data from 1998 to 2016, they showed rapid growth in committed capital, broader sector participation,</w:t>
      </w:r>
      <w:r>
        <w:rPr>
          <w:spacing w:val="-10"/>
        </w:rPr>
        <w:t> </w:t>
      </w:r>
      <w:r>
        <w:rPr/>
        <w:t>and</w:t>
      </w:r>
      <w:r>
        <w:rPr>
          <w:spacing w:val="-11"/>
        </w:rPr>
        <w:t> </w:t>
      </w:r>
      <w:r>
        <w:rPr/>
        <w:t>increased</w:t>
      </w:r>
      <w:r>
        <w:rPr>
          <w:spacing w:val="-11"/>
        </w:rPr>
        <w:t> </w:t>
      </w:r>
      <w:r>
        <w:rPr/>
        <w:t>use</w:t>
      </w:r>
      <w:r>
        <w:rPr>
          <w:spacing w:val="-11"/>
        </w:rPr>
        <w:t> </w:t>
      </w:r>
      <w:r>
        <w:rPr/>
        <w:t>of</w:t>
      </w:r>
      <w:r>
        <w:rPr>
          <w:spacing w:val="-11"/>
        </w:rPr>
        <w:t> </w:t>
      </w:r>
      <w:r>
        <w:rPr/>
        <w:t>structured</w:t>
      </w:r>
      <w:r>
        <w:rPr>
          <w:spacing w:val="-11"/>
        </w:rPr>
        <w:t> </w:t>
      </w:r>
      <w:r>
        <w:rPr/>
        <w:t>investments</w:t>
      </w:r>
      <w:r>
        <w:rPr>
          <w:spacing w:val="-10"/>
        </w:rPr>
        <w:t> </w:t>
      </w:r>
      <w:r>
        <w:rPr/>
        <w:t>such</w:t>
      </w:r>
      <w:r>
        <w:rPr>
          <w:spacing w:val="-11"/>
        </w:rPr>
        <w:t> </w:t>
      </w:r>
      <w:r>
        <w:rPr/>
        <w:t>as</w:t>
      </w:r>
      <w:r>
        <w:rPr>
          <w:spacing w:val="-10"/>
        </w:rPr>
        <w:t> </w:t>
      </w:r>
      <w:r>
        <w:rPr/>
        <w:t>private</w:t>
      </w:r>
      <w:r>
        <w:rPr>
          <w:spacing w:val="-11"/>
        </w:rPr>
        <w:t> </w:t>
      </w:r>
      <w:r>
        <w:rPr/>
        <w:t>investments</w:t>
      </w:r>
      <w:r>
        <w:rPr>
          <w:spacing w:val="-10"/>
        </w:rPr>
        <w:t> </w:t>
      </w:r>
      <w:r>
        <w:rPr/>
        <w:t>in</w:t>
      </w:r>
      <w:r>
        <w:rPr>
          <w:spacing w:val="-10"/>
        </w:rPr>
        <w:t> </w:t>
      </w:r>
      <w:r>
        <w:rPr/>
        <w:t>public equity (PIPEs). The literature also emphasises the importance of infrastructure and long- horizon assets in the Indian story. Swaminathan and Saraswathy (2022) describe how private equity gradually stepped into areas that historically relied on state banks or public spending, such as roads, logistics, and utilities. They point out that the Indian debt market remains less suited to financing long-gestation projects at scale, so private equity and similar funds often act as replacement capital, bringing not only cash but also project discipline and governance. According to them, India’s private equity market grew from being almost negligible in the 1990s to an estimated tens of billions of dollars per year by the late 2010s, and deals above USD 100 million, once exceptional, became increasingly normal by the late 2010s and early 2020s.</w:t>
      </w:r>
      <w:r>
        <w:rPr>
          <w:spacing w:val="-2"/>
        </w:rPr>
        <w:t> </w:t>
      </w:r>
      <w:r>
        <w:rPr/>
        <w:t>This is consistent with the idea that private equity in India plays a system-level role in development, and not just a firm-level role.</w:t>
      </w:r>
    </w:p>
    <w:p>
      <w:pPr>
        <w:pStyle w:val="Heading3"/>
        <w:numPr>
          <w:ilvl w:val="2"/>
          <w:numId w:val="3"/>
        </w:numPr>
        <w:tabs>
          <w:tab w:pos="563" w:val="left" w:leader="none"/>
        </w:tabs>
        <w:spacing w:line="240" w:lineRule="auto" w:before="159" w:after="0"/>
        <w:ind w:left="563" w:right="0" w:hanging="540"/>
        <w:jc w:val="both"/>
      </w:pPr>
      <w:bookmarkStart w:name="_bookmark10" w:id="11"/>
      <w:bookmarkEnd w:id="11"/>
      <w:r>
        <w:rPr>
          <w:b w:val="0"/>
        </w:rPr>
      </w:r>
      <w:r>
        <w:rPr/>
        <w:t>Determinants</w:t>
      </w:r>
      <w:r>
        <w:rPr>
          <w:spacing w:val="-6"/>
        </w:rPr>
        <w:t> </w:t>
      </w:r>
      <w:r>
        <w:rPr/>
        <w:t>and</w:t>
      </w:r>
      <w:r>
        <w:rPr>
          <w:spacing w:val="-4"/>
        </w:rPr>
        <w:t> </w:t>
      </w:r>
      <w:r>
        <w:rPr/>
        <w:t>growth</w:t>
      </w:r>
      <w:r>
        <w:rPr>
          <w:spacing w:val="-4"/>
        </w:rPr>
        <w:t> </w:t>
      </w:r>
      <w:r>
        <w:rPr>
          <w:spacing w:val="-2"/>
        </w:rPr>
        <w:t>drivers</w:t>
      </w:r>
    </w:p>
    <w:p>
      <w:pPr>
        <w:pStyle w:val="BodyText"/>
        <w:spacing w:line="360" w:lineRule="auto" w:before="219"/>
        <w:ind w:left="23" w:right="18"/>
        <w:jc w:val="both"/>
      </w:pPr>
      <w:r>
        <w:rPr/>
        <w:t>Research comparing India with other countries shows that macroeconomic and institutional factors have been crucial to this growth.</w:t>
      </w:r>
      <w:r>
        <w:rPr>
          <w:spacing w:val="-12"/>
        </w:rPr>
        <w:t> </w:t>
      </w:r>
      <w:r>
        <w:rPr/>
        <w:t>Aldatmaz, Brown, and Demirgüç-Kunt (2023) found that</w:t>
      </w:r>
      <w:r>
        <w:rPr>
          <w:spacing w:val="-7"/>
        </w:rPr>
        <w:t> </w:t>
      </w:r>
      <w:r>
        <w:rPr/>
        <w:t>stable</w:t>
      </w:r>
      <w:r>
        <w:rPr>
          <w:spacing w:val="-8"/>
        </w:rPr>
        <w:t> </w:t>
      </w:r>
      <w:r>
        <w:rPr/>
        <w:t>economic</w:t>
      </w:r>
      <w:r>
        <w:rPr>
          <w:spacing w:val="-8"/>
        </w:rPr>
        <w:t> </w:t>
      </w:r>
      <w:r>
        <w:rPr/>
        <w:t>conditions,</w:t>
      </w:r>
      <w:r>
        <w:rPr>
          <w:spacing w:val="-7"/>
        </w:rPr>
        <w:t> </w:t>
      </w:r>
      <w:r>
        <w:rPr/>
        <w:t>deep</w:t>
      </w:r>
      <w:r>
        <w:rPr>
          <w:spacing w:val="-7"/>
        </w:rPr>
        <w:t> </w:t>
      </w:r>
      <w:r>
        <w:rPr/>
        <w:t>credit</w:t>
      </w:r>
      <w:r>
        <w:rPr>
          <w:spacing w:val="-7"/>
        </w:rPr>
        <w:t> </w:t>
      </w:r>
      <w:r>
        <w:rPr/>
        <w:t>markets,</w:t>
      </w:r>
      <w:r>
        <w:rPr>
          <w:spacing w:val="-7"/>
        </w:rPr>
        <w:t> </w:t>
      </w:r>
      <w:r>
        <w:rPr/>
        <w:t>and</w:t>
      </w:r>
      <w:r>
        <w:rPr>
          <w:spacing w:val="-7"/>
        </w:rPr>
        <w:t> </w:t>
      </w:r>
      <w:r>
        <w:rPr/>
        <w:t>reliable</w:t>
      </w:r>
      <w:r>
        <w:rPr>
          <w:spacing w:val="-8"/>
        </w:rPr>
        <w:t> </w:t>
      </w:r>
      <w:r>
        <w:rPr/>
        <w:t>contract</w:t>
      </w:r>
      <w:r>
        <w:rPr>
          <w:spacing w:val="-4"/>
        </w:rPr>
        <w:t> </w:t>
      </w:r>
      <w:r>
        <w:rPr/>
        <w:t>enforcement</w:t>
      </w:r>
      <w:r>
        <w:rPr>
          <w:spacing w:val="-7"/>
        </w:rPr>
        <w:t> </w:t>
      </w:r>
      <w:r>
        <w:rPr/>
        <w:t>are</w:t>
      </w:r>
      <w:r>
        <w:rPr>
          <w:spacing w:val="-9"/>
        </w:rPr>
        <w:t> </w:t>
      </w:r>
      <w:r>
        <w:rPr/>
        <w:t>the strongest predictors of buyout activity worldwide. These same features strengthened in India after 2010, especially with the introduction of SEBI’s Alternative Investment Fund (AIF) Regulations in 2012 and the Insolvency and Bankruptcy Code (IBC) in 2016, which together aimed to formalise fund structures and improve exit predictability.</w:t>
      </w:r>
    </w:p>
    <w:p>
      <w:pPr>
        <w:pStyle w:val="BodyText"/>
        <w:spacing w:line="360" w:lineRule="auto" w:before="161"/>
        <w:ind w:left="23" w:right="17"/>
        <w:jc w:val="both"/>
      </w:pPr>
      <w:r>
        <w:rPr/>
        <w:t>Empirical studies related to India confirm the link between private equity and the wider economy.</w:t>
      </w:r>
      <w:r>
        <w:rPr>
          <w:spacing w:val="-7"/>
        </w:rPr>
        <w:t> </w:t>
      </w:r>
      <w:r>
        <w:rPr/>
        <w:t>PE</w:t>
      </w:r>
      <w:r>
        <w:rPr>
          <w:spacing w:val="-6"/>
        </w:rPr>
        <w:t> </w:t>
      </w:r>
      <w:r>
        <w:rPr/>
        <w:t>Investment</w:t>
      </w:r>
      <w:r>
        <w:rPr>
          <w:spacing w:val="-2"/>
        </w:rPr>
        <w:t> </w:t>
      </w:r>
      <w:r>
        <w:rPr/>
        <w:t>responds</w:t>
      </w:r>
      <w:r>
        <w:rPr>
          <w:spacing w:val="-7"/>
        </w:rPr>
        <w:t> </w:t>
      </w:r>
      <w:r>
        <w:rPr/>
        <w:t>to</w:t>
      </w:r>
      <w:r>
        <w:rPr>
          <w:spacing w:val="-4"/>
        </w:rPr>
        <w:t> </w:t>
      </w:r>
      <w:r>
        <w:rPr/>
        <w:t>a</w:t>
      </w:r>
      <w:r>
        <w:rPr>
          <w:spacing w:val="-5"/>
        </w:rPr>
        <w:t> </w:t>
      </w:r>
      <w:r>
        <w:rPr/>
        <w:t>combination</w:t>
      </w:r>
      <w:r>
        <w:rPr>
          <w:spacing w:val="-6"/>
        </w:rPr>
        <w:t> </w:t>
      </w:r>
      <w:r>
        <w:rPr/>
        <w:t>of</w:t>
      </w:r>
      <w:r>
        <w:rPr>
          <w:spacing w:val="-5"/>
        </w:rPr>
        <w:t> </w:t>
      </w:r>
      <w:r>
        <w:rPr/>
        <w:t>factors:</w:t>
      </w:r>
      <w:r>
        <w:rPr>
          <w:spacing w:val="-1"/>
        </w:rPr>
        <w:t> </w:t>
      </w:r>
      <w:r>
        <w:rPr/>
        <w:t>macroeconomic</w:t>
      </w:r>
      <w:r>
        <w:rPr>
          <w:spacing w:val="-7"/>
        </w:rPr>
        <w:t> </w:t>
      </w:r>
      <w:r>
        <w:rPr/>
        <w:t>stability,</w:t>
      </w:r>
      <w:r>
        <w:rPr>
          <w:spacing w:val="-6"/>
        </w:rPr>
        <w:t> </w:t>
      </w:r>
      <w:r>
        <w:rPr/>
        <w:t>legal strength, and sectoral opportunity. Neerza and Tripathi (2019) analysed 89 PE-backed companies</w:t>
      </w:r>
      <w:r>
        <w:rPr>
          <w:spacing w:val="-5"/>
        </w:rPr>
        <w:t> </w:t>
      </w:r>
      <w:r>
        <w:rPr/>
        <w:t>across</w:t>
      </w:r>
      <w:r>
        <w:rPr>
          <w:spacing w:val="-5"/>
        </w:rPr>
        <w:t> </w:t>
      </w:r>
      <w:r>
        <w:rPr/>
        <w:t>six</w:t>
      </w:r>
      <w:r>
        <w:rPr>
          <w:spacing w:val="-4"/>
        </w:rPr>
        <w:t> </w:t>
      </w:r>
      <w:r>
        <w:rPr/>
        <w:t>major</w:t>
      </w:r>
      <w:r>
        <w:rPr>
          <w:spacing w:val="-4"/>
        </w:rPr>
        <w:t> </w:t>
      </w:r>
      <w:r>
        <w:rPr/>
        <w:t>industries</w:t>
      </w:r>
      <w:r>
        <w:rPr>
          <w:spacing w:val="-5"/>
        </w:rPr>
        <w:t> </w:t>
      </w:r>
      <w:r>
        <w:rPr/>
        <w:t>and</w:t>
      </w:r>
      <w:r>
        <w:rPr>
          <w:spacing w:val="-4"/>
        </w:rPr>
        <w:t> </w:t>
      </w:r>
      <w:r>
        <w:rPr/>
        <w:t>found</w:t>
      </w:r>
      <w:r>
        <w:rPr>
          <w:spacing w:val="-4"/>
        </w:rPr>
        <w:t> </w:t>
      </w:r>
      <w:r>
        <w:rPr/>
        <w:t>that</w:t>
      </w:r>
      <w:r>
        <w:rPr>
          <w:spacing w:val="-4"/>
        </w:rPr>
        <w:t> </w:t>
      </w:r>
      <w:r>
        <w:rPr/>
        <w:t>rule</w:t>
      </w:r>
      <w:r>
        <w:rPr>
          <w:spacing w:val="-4"/>
        </w:rPr>
        <w:t> </w:t>
      </w:r>
      <w:r>
        <w:rPr/>
        <w:t>of</w:t>
      </w:r>
      <w:r>
        <w:rPr>
          <w:spacing w:val="-6"/>
        </w:rPr>
        <w:t> </w:t>
      </w:r>
      <w:r>
        <w:rPr/>
        <w:t>law,</w:t>
      </w:r>
      <w:r>
        <w:rPr>
          <w:spacing w:val="-4"/>
        </w:rPr>
        <w:t> </w:t>
      </w:r>
      <w:r>
        <w:rPr/>
        <w:t>foreign</w:t>
      </w:r>
      <w:r>
        <w:rPr>
          <w:spacing w:val="-4"/>
        </w:rPr>
        <w:t> </w:t>
      </w:r>
      <w:r>
        <w:rPr/>
        <w:t>institutional</w:t>
      </w:r>
      <w:r>
        <w:rPr>
          <w:spacing w:val="-4"/>
        </w:rPr>
        <w:t> </w:t>
      </w:r>
      <w:r>
        <w:rPr/>
        <w:t>inflows, and interest-rate movements significantly influence PE deployment. They found that rising foreign</w:t>
      </w:r>
      <w:r>
        <w:rPr>
          <w:spacing w:val="-4"/>
        </w:rPr>
        <w:t> </w:t>
      </w:r>
      <w:r>
        <w:rPr/>
        <w:t>investment</w:t>
      </w:r>
      <w:r>
        <w:rPr>
          <w:spacing w:val="-4"/>
        </w:rPr>
        <w:t> </w:t>
      </w:r>
      <w:r>
        <w:rPr/>
        <w:t>plays</w:t>
      </w:r>
      <w:r>
        <w:rPr>
          <w:spacing w:val="-5"/>
        </w:rPr>
        <w:t> </w:t>
      </w:r>
      <w:r>
        <w:rPr/>
        <w:t>a</w:t>
      </w:r>
      <w:r>
        <w:rPr>
          <w:spacing w:val="-5"/>
        </w:rPr>
        <w:t> </w:t>
      </w:r>
      <w:r>
        <w:rPr/>
        <w:t>key</w:t>
      </w:r>
      <w:r>
        <w:rPr>
          <w:spacing w:val="-4"/>
        </w:rPr>
        <w:t> </w:t>
      </w:r>
      <w:r>
        <w:rPr/>
        <w:t>role</w:t>
      </w:r>
      <w:r>
        <w:rPr>
          <w:spacing w:val="-6"/>
        </w:rPr>
        <w:t> </w:t>
      </w:r>
      <w:r>
        <w:rPr/>
        <w:t>in</w:t>
      </w:r>
      <w:r>
        <w:rPr>
          <w:spacing w:val="-4"/>
        </w:rPr>
        <w:t> </w:t>
      </w:r>
      <w:r>
        <w:rPr/>
        <w:t>driving</w:t>
      </w:r>
      <w:r>
        <w:rPr>
          <w:spacing w:val="-4"/>
        </w:rPr>
        <w:t> </w:t>
      </w:r>
      <w:r>
        <w:rPr/>
        <w:t>private</w:t>
      </w:r>
      <w:r>
        <w:rPr>
          <w:spacing w:val="-5"/>
        </w:rPr>
        <w:t> </w:t>
      </w:r>
      <w:r>
        <w:rPr/>
        <w:t>equity</w:t>
      </w:r>
      <w:r>
        <w:rPr>
          <w:spacing w:val="-4"/>
        </w:rPr>
        <w:t> </w:t>
      </w:r>
      <w:r>
        <w:rPr/>
        <w:t>activity</w:t>
      </w:r>
      <w:r>
        <w:rPr>
          <w:spacing w:val="-4"/>
        </w:rPr>
        <w:t> </w:t>
      </w:r>
      <w:r>
        <w:rPr/>
        <w:t>in</w:t>
      </w:r>
      <w:r>
        <w:rPr>
          <w:spacing w:val="-4"/>
        </w:rPr>
        <w:t> </w:t>
      </w:r>
      <w:r>
        <w:rPr/>
        <w:t>sectors</w:t>
      </w:r>
      <w:r>
        <w:rPr>
          <w:spacing w:val="-5"/>
        </w:rPr>
        <w:t> </w:t>
      </w:r>
      <w:r>
        <w:rPr/>
        <w:t>such</w:t>
      </w:r>
      <w:r>
        <w:rPr>
          <w:spacing w:val="-4"/>
        </w:rPr>
        <w:t> </w:t>
      </w:r>
      <w:r>
        <w:rPr/>
        <w:t>as</w:t>
      </w:r>
      <w:r>
        <w:rPr>
          <w:spacing w:val="-5"/>
        </w:rPr>
        <w:t> </w:t>
      </w:r>
      <w:r>
        <w:rPr/>
        <w:t>energy, engineering and construction, where</w:t>
      </w:r>
      <w:r>
        <w:rPr>
          <w:spacing w:val="-1"/>
        </w:rPr>
        <w:t> </w:t>
      </w:r>
      <w:r>
        <w:rPr/>
        <w:t>capital intensity and infrastructure demand attract global investors. In contrast, strong legal frameworks and higher interest rates appear to encourage investment in the healthcare sector, reflecting investors' sensitivity to regulatory clarity and long-term financial stability.</w:t>
      </w:r>
      <w:r>
        <w:rPr>
          <w:spacing w:val="-8"/>
        </w:rPr>
        <w:t> </w:t>
      </w:r>
      <w:r>
        <w:rPr/>
        <w:t>At the firm level, profitability and leverage were not significant predictors</w:t>
      </w:r>
      <w:r>
        <w:rPr>
          <w:spacing w:val="-11"/>
        </w:rPr>
        <w:t> </w:t>
      </w:r>
      <w:r>
        <w:rPr/>
        <w:t>in</w:t>
      </w:r>
      <w:r>
        <w:rPr>
          <w:spacing w:val="-8"/>
        </w:rPr>
        <w:t> </w:t>
      </w:r>
      <w:r>
        <w:rPr/>
        <w:t>industrial</w:t>
      </w:r>
      <w:r>
        <w:rPr>
          <w:spacing w:val="-8"/>
        </w:rPr>
        <w:t> </w:t>
      </w:r>
      <w:r>
        <w:rPr/>
        <w:t>and</w:t>
      </w:r>
      <w:r>
        <w:rPr>
          <w:spacing w:val="-8"/>
        </w:rPr>
        <w:t> </w:t>
      </w:r>
      <w:r>
        <w:rPr/>
        <w:t>healthcare</w:t>
      </w:r>
      <w:r>
        <w:rPr>
          <w:spacing w:val="-8"/>
        </w:rPr>
        <w:t> </w:t>
      </w:r>
      <w:r>
        <w:rPr/>
        <w:t>companies,</w:t>
      </w:r>
      <w:r>
        <w:rPr>
          <w:spacing w:val="-8"/>
        </w:rPr>
        <w:t> </w:t>
      </w:r>
      <w:r>
        <w:rPr/>
        <w:t>but</w:t>
      </w:r>
      <w:r>
        <w:rPr>
          <w:spacing w:val="-9"/>
        </w:rPr>
        <w:t> </w:t>
      </w:r>
      <w:r>
        <w:rPr/>
        <w:t>they</w:t>
      </w:r>
      <w:r>
        <w:rPr>
          <w:spacing w:val="-9"/>
        </w:rPr>
        <w:t> </w:t>
      </w:r>
      <w:r>
        <w:rPr/>
        <w:t>mattered</w:t>
      </w:r>
      <w:r>
        <w:rPr>
          <w:spacing w:val="-8"/>
        </w:rPr>
        <w:t> </w:t>
      </w:r>
      <w:r>
        <w:rPr/>
        <w:t>greatly</w:t>
      </w:r>
      <w:r>
        <w:rPr>
          <w:spacing w:val="-8"/>
        </w:rPr>
        <w:t> </w:t>
      </w:r>
      <w:r>
        <w:rPr/>
        <w:t>in</w:t>
      </w:r>
      <w:r>
        <w:rPr>
          <w:spacing w:val="-8"/>
        </w:rPr>
        <w:t> </w:t>
      </w:r>
      <w:r>
        <w:rPr/>
        <w:t>IT,</w:t>
      </w:r>
      <w:r>
        <w:rPr>
          <w:spacing w:val="-8"/>
        </w:rPr>
        <w:t> </w:t>
      </w:r>
      <w:r>
        <w:rPr/>
        <w:t>telecom,</w:t>
      </w:r>
      <w:r>
        <w:rPr>
          <w:spacing w:val="-8"/>
        </w:rPr>
        <w:t> </w:t>
      </w:r>
      <w:r>
        <w:rPr>
          <w:spacing w:val="-5"/>
        </w:rPr>
        <w:t>and</w:t>
      </w:r>
    </w:p>
    <w:p>
      <w:pPr>
        <w:pStyle w:val="BodyText"/>
        <w:spacing w:after="0" w:line="360" w:lineRule="auto"/>
        <w:jc w:val="both"/>
        <w:sectPr>
          <w:pgSz w:w="11910" w:h="16840"/>
          <w:pgMar w:header="0" w:footer="1009" w:top="1360" w:bottom="1280" w:left="1417" w:right="1417"/>
        </w:sectPr>
      </w:pPr>
    </w:p>
    <w:p>
      <w:pPr>
        <w:pStyle w:val="BodyText"/>
        <w:spacing w:line="360" w:lineRule="auto" w:before="61"/>
        <w:ind w:left="23" w:right="17"/>
        <w:jc w:val="both"/>
      </w:pPr>
      <w:r>
        <w:rPr/>
        <w:t>commodity-based businesses, where operational efficiency and financial structure directly influence investor decisions. This implies that PE deployment in India is not uniform; it is highly sensitive to sector-specific regulatory clarity and macroeconomic conditions.</w:t>
      </w:r>
    </w:p>
    <w:p>
      <w:pPr>
        <w:pStyle w:val="BodyText"/>
        <w:spacing w:line="360" w:lineRule="auto" w:before="160"/>
        <w:ind w:left="23" w:right="20"/>
        <w:jc w:val="both"/>
      </w:pPr>
      <w:r>
        <w:rPr/>
        <w:t>Complementing this, Kumar and Firoz (2023) examined 328 fully exited PE deals between 2009</w:t>
      </w:r>
      <w:r>
        <w:rPr>
          <w:spacing w:val="-13"/>
        </w:rPr>
        <w:t> </w:t>
      </w:r>
      <w:r>
        <w:rPr/>
        <w:t>and</w:t>
      </w:r>
      <w:r>
        <w:rPr>
          <w:spacing w:val="-13"/>
        </w:rPr>
        <w:t> </w:t>
      </w:r>
      <w:r>
        <w:rPr/>
        <w:t>2019</w:t>
      </w:r>
      <w:r>
        <w:rPr>
          <w:spacing w:val="-13"/>
        </w:rPr>
        <w:t> </w:t>
      </w:r>
      <w:r>
        <w:rPr/>
        <w:t>and</w:t>
      </w:r>
      <w:r>
        <w:rPr>
          <w:spacing w:val="-13"/>
        </w:rPr>
        <w:t> </w:t>
      </w:r>
      <w:r>
        <w:rPr/>
        <w:t>found</w:t>
      </w:r>
      <w:r>
        <w:rPr>
          <w:spacing w:val="-12"/>
        </w:rPr>
        <w:t> </w:t>
      </w:r>
      <w:r>
        <w:rPr/>
        <w:t>that</w:t>
      </w:r>
      <w:r>
        <w:rPr>
          <w:spacing w:val="-13"/>
        </w:rPr>
        <w:t> </w:t>
      </w:r>
      <w:r>
        <w:rPr/>
        <w:t>strong</w:t>
      </w:r>
      <w:r>
        <w:rPr>
          <w:spacing w:val="-13"/>
        </w:rPr>
        <w:t> </w:t>
      </w:r>
      <w:r>
        <w:rPr/>
        <w:t>economic</w:t>
      </w:r>
      <w:r>
        <w:rPr>
          <w:spacing w:val="-14"/>
        </w:rPr>
        <w:t> </w:t>
      </w:r>
      <w:r>
        <w:rPr/>
        <w:t>fundamentals,</w:t>
      </w:r>
      <w:r>
        <w:rPr>
          <w:spacing w:val="-12"/>
        </w:rPr>
        <w:t> </w:t>
      </w:r>
      <w:r>
        <w:rPr/>
        <w:t>sectoral</w:t>
      </w:r>
      <w:r>
        <w:rPr>
          <w:spacing w:val="-13"/>
        </w:rPr>
        <w:t> </w:t>
      </w:r>
      <w:r>
        <w:rPr/>
        <w:t>expansion,</w:t>
      </w:r>
      <w:r>
        <w:rPr>
          <w:spacing w:val="-12"/>
        </w:rPr>
        <w:t> </w:t>
      </w:r>
      <w:r>
        <w:rPr/>
        <w:t>and</w:t>
      </w:r>
      <w:r>
        <w:rPr>
          <w:spacing w:val="-13"/>
        </w:rPr>
        <w:t> </w:t>
      </w:r>
      <w:r>
        <w:rPr/>
        <w:t>effective exit mechanisms function as major growth drivers of private equity performance.</w:t>
      </w:r>
      <w:r>
        <w:rPr>
          <w:spacing w:val="-1"/>
        </w:rPr>
        <w:t> </w:t>
      </w:r>
      <w:r>
        <w:rPr/>
        <w:t>Their study reported that roughly 84 percent of deals generated positive cash multiples, with average internal rates of return of 25–27 percent, well above India’s public-market benchmark. The highest returns came from technology, healthcare, and financial services investments, indicating</w:t>
      </w:r>
      <w:r>
        <w:rPr>
          <w:spacing w:val="-12"/>
        </w:rPr>
        <w:t> </w:t>
      </w:r>
      <w:r>
        <w:rPr/>
        <w:t>that</w:t>
      </w:r>
      <w:r>
        <w:rPr>
          <w:spacing w:val="-11"/>
        </w:rPr>
        <w:t> </w:t>
      </w:r>
      <w:r>
        <w:rPr/>
        <w:t>sector-specific</w:t>
      </w:r>
      <w:r>
        <w:rPr>
          <w:spacing w:val="-12"/>
        </w:rPr>
        <w:t> </w:t>
      </w:r>
      <w:r>
        <w:rPr/>
        <w:t>growth</w:t>
      </w:r>
      <w:r>
        <w:rPr>
          <w:spacing w:val="-11"/>
        </w:rPr>
        <w:t> </w:t>
      </w:r>
      <w:r>
        <w:rPr/>
        <w:t>trajectories</w:t>
      </w:r>
      <w:r>
        <w:rPr>
          <w:spacing w:val="-11"/>
        </w:rPr>
        <w:t> </w:t>
      </w:r>
      <w:r>
        <w:rPr/>
        <w:t>and</w:t>
      </w:r>
      <w:r>
        <w:rPr>
          <w:spacing w:val="-12"/>
        </w:rPr>
        <w:t> </w:t>
      </w:r>
      <w:r>
        <w:rPr/>
        <w:t>innovation</w:t>
      </w:r>
      <w:r>
        <w:rPr>
          <w:spacing w:val="-11"/>
        </w:rPr>
        <w:t> </w:t>
      </w:r>
      <w:r>
        <w:rPr/>
        <w:t>intensity</w:t>
      </w:r>
      <w:r>
        <w:rPr>
          <w:spacing w:val="-12"/>
        </w:rPr>
        <w:t> </w:t>
      </w:r>
      <w:r>
        <w:rPr/>
        <w:t>drive</w:t>
      </w:r>
      <w:r>
        <w:rPr>
          <w:spacing w:val="-12"/>
        </w:rPr>
        <w:t> </w:t>
      </w:r>
      <w:r>
        <w:rPr/>
        <w:t>sustainable</w:t>
      </w:r>
      <w:r>
        <w:rPr>
          <w:spacing w:val="-13"/>
        </w:rPr>
        <w:t> </w:t>
      </w:r>
      <w:r>
        <w:rPr/>
        <w:t>PE activity. They also note that the growing use of IPOs and M&amp;A exits reflects the increasing maturity</w:t>
      </w:r>
      <w:r>
        <w:rPr>
          <w:spacing w:val="-11"/>
        </w:rPr>
        <w:t> </w:t>
      </w:r>
      <w:r>
        <w:rPr/>
        <w:t>and</w:t>
      </w:r>
      <w:r>
        <w:rPr>
          <w:spacing w:val="-11"/>
        </w:rPr>
        <w:t> </w:t>
      </w:r>
      <w:r>
        <w:rPr/>
        <w:t>liquidity</w:t>
      </w:r>
      <w:r>
        <w:rPr>
          <w:spacing w:val="-11"/>
        </w:rPr>
        <w:t> </w:t>
      </w:r>
      <w:r>
        <w:rPr/>
        <w:t>of</w:t>
      </w:r>
      <w:r>
        <w:rPr>
          <w:spacing w:val="-10"/>
        </w:rPr>
        <w:t> </w:t>
      </w:r>
      <w:r>
        <w:rPr/>
        <w:t>India’s</w:t>
      </w:r>
      <w:r>
        <w:rPr>
          <w:spacing w:val="-11"/>
        </w:rPr>
        <w:t> </w:t>
      </w:r>
      <w:r>
        <w:rPr/>
        <w:t>capital</w:t>
      </w:r>
      <w:r>
        <w:rPr>
          <w:spacing w:val="-11"/>
        </w:rPr>
        <w:t> </w:t>
      </w:r>
      <w:r>
        <w:rPr/>
        <w:t>markets.</w:t>
      </w:r>
      <w:r>
        <w:rPr>
          <w:spacing w:val="-11"/>
        </w:rPr>
        <w:t> </w:t>
      </w:r>
      <w:r>
        <w:rPr/>
        <w:t>Together,</w:t>
      </w:r>
      <w:r>
        <w:rPr>
          <w:spacing w:val="-11"/>
        </w:rPr>
        <w:t> </w:t>
      </w:r>
      <w:r>
        <w:rPr/>
        <w:t>these</w:t>
      </w:r>
      <w:r>
        <w:rPr>
          <w:spacing w:val="-12"/>
        </w:rPr>
        <w:t> </w:t>
      </w:r>
      <w:r>
        <w:rPr/>
        <w:t>findings</w:t>
      </w:r>
      <w:r>
        <w:rPr>
          <w:spacing w:val="-11"/>
        </w:rPr>
        <w:t> </w:t>
      </w:r>
      <w:r>
        <w:rPr/>
        <w:t>show</w:t>
      </w:r>
      <w:r>
        <w:rPr>
          <w:spacing w:val="-12"/>
        </w:rPr>
        <w:t> </w:t>
      </w:r>
      <w:r>
        <w:rPr/>
        <w:t>that</w:t>
      </w:r>
      <w:r>
        <w:rPr>
          <w:spacing w:val="-11"/>
        </w:rPr>
        <w:t> </w:t>
      </w:r>
      <w:r>
        <w:rPr/>
        <w:t>favourable macroeconomic trends, supportive regulation, and expanding high-growth sectors reinforce each other to sustain India’s private equity momentum.</w:t>
      </w:r>
    </w:p>
    <w:p>
      <w:pPr>
        <w:pStyle w:val="BodyText"/>
        <w:spacing w:line="360" w:lineRule="auto" w:before="161"/>
        <w:ind w:left="23" w:right="18"/>
        <w:jc w:val="both"/>
      </w:pPr>
      <w:r>
        <w:rPr/>
        <w:t>Saranya and</w:t>
      </w:r>
      <w:r>
        <w:rPr>
          <w:spacing w:val="-3"/>
        </w:rPr>
        <w:t> </w:t>
      </w:r>
      <w:r>
        <w:rPr/>
        <w:t>Amulya (2019) added a dynamic perspective to the literature on India’s private equity</w:t>
      </w:r>
      <w:r>
        <w:rPr>
          <w:spacing w:val="-9"/>
        </w:rPr>
        <w:t> </w:t>
      </w:r>
      <w:r>
        <w:rPr/>
        <w:t>market.</w:t>
      </w:r>
      <w:r>
        <w:rPr>
          <w:spacing w:val="-12"/>
        </w:rPr>
        <w:t> </w:t>
      </w:r>
      <w:r>
        <w:rPr/>
        <w:t>They</w:t>
      </w:r>
      <w:r>
        <w:rPr>
          <w:spacing w:val="-9"/>
        </w:rPr>
        <w:t> </w:t>
      </w:r>
      <w:r>
        <w:rPr/>
        <w:t>examined</w:t>
      </w:r>
      <w:r>
        <w:rPr>
          <w:spacing w:val="-9"/>
        </w:rPr>
        <w:t> </w:t>
      </w:r>
      <w:r>
        <w:rPr/>
        <w:t>the</w:t>
      </w:r>
      <w:r>
        <w:rPr>
          <w:spacing w:val="-10"/>
        </w:rPr>
        <w:t> </w:t>
      </w:r>
      <w:r>
        <w:rPr/>
        <w:t>relationship</w:t>
      </w:r>
      <w:r>
        <w:rPr>
          <w:spacing w:val="-9"/>
        </w:rPr>
        <w:t> </w:t>
      </w:r>
      <w:r>
        <w:rPr/>
        <w:t>between</w:t>
      </w:r>
      <w:r>
        <w:rPr>
          <w:spacing w:val="-9"/>
        </w:rPr>
        <w:t> </w:t>
      </w:r>
      <w:r>
        <w:rPr/>
        <w:t>private</w:t>
      </w:r>
      <w:r>
        <w:rPr>
          <w:spacing w:val="-10"/>
        </w:rPr>
        <w:t> </w:t>
      </w:r>
      <w:r>
        <w:rPr/>
        <w:t>equity</w:t>
      </w:r>
      <w:r>
        <w:rPr>
          <w:spacing w:val="-9"/>
        </w:rPr>
        <w:t> </w:t>
      </w:r>
      <w:r>
        <w:rPr/>
        <w:t>investments</w:t>
      </w:r>
      <w:r>
        <w:rPr>
          <w:spacing w:val="-9"/>
        </w:rPr>
        <w:t> </w:t>
      </w:r>
      <w:r>
        <w:rPr/>
        <w:t>and</w:t>
      </w:r>
      <w:r>
        <w:rPr>
          <w:spacing w:val="-9"/>
        </w:rPr>
        <w:t> </w:t>
      </w:r>
      <w:r>
        <w:rPr/>
        <w:t>exits</w:t>
      </w:r>
      <w:r>
        <w:rPr>
          <w:spacing w:val="-9"/>
        </w:rPr>
        <w:t> </w:t>
      </w:r>
      <w:r>
        <w:rPr/>
        <w:t>in India</w:t>
      </w:r>
      <w:r>
        <w:rPr>
          <w:spacing w:val="-7"/>
        </w:rPr>
        <w:t> </w:t>
      </w:r>
      <w:r>
        <w:rPr/>
        <w:t>to</w:t>
      </w:r>
      <w:r>
        <w:rPr>
          <w:spacing w:val="-5"/>
        </w:rPr>
        <w:t> </w:t>
      </w:r>
      <w:r>
        <w:rPr/>
        <w:t>understand</w:t>
      </w:r>
      <w:r>
        <w:rPr>
          <w:spacing w:val="-5"/>
        </w:rPr>
        <w:t> </w:t>
      </w:r>
      <w:r>
        <w:rPr/>
        <w:t>how</w:t>
      </w:r>
      <w:r>
        <w:rPr>
          <w:spacing w:val="-6"/>
        </w:rPr>
        <w:t> </w:t>
      </w:r>
      <w:r>
        <w:rPr/>
        <w:t>market</w:t>
      </w:r>
      <w:r>
        <w:rPr>
          <w:spacing w:val="-5"/>
        </w:rPr>
        <w:t> </w:t>
      </w:r>
      <w:r>
        <w:rPr/>
        <w:t>performance</w:t>
      </w:r>
      <w:r>
        <w:rPr>
          <w:spacing w:val="-6"/>
        </w:rPr>
        <w:t> </w:t>
      </w:r>
      <w:r>
        <w:rPr/>
        <w:t>influences</w:t>
      </w:r>
      <w:r>
        <w:rPr>
          <w:spacing w:val="-6"/>
        </w:rPr>
        <w:t> </w:t>
      </w:r>
      <w:r>
        <w:rPr/>
        <w:t>investor</w:t>
      </w:r>
      <w:r>
        <w:rPr>
          <w:spacing w:val="-5"/>
        </w:rPr>
        <w:t> </w:t>
      </w:r>
      <w:r>
        <w:rPr/>
        <w:t>behaviour.</w:t>
      </w:r>
      <w:r>
        <w:rPr>
          <w:spacing w:val="-3"/>
        </w:rPr>
        <w:t> </w:t>
      </w:r>
      <w:r>
        <w:rPr/>
        <w:t>Using</w:t>
      </w:r>
      <w:r>
        <w:rPr>
          <w:spacing w:val="-5"/>
        </w:rPr>
        <w:t> </w:t>
      </w:r>
      <w:r>
        <w:rPr/>
        <w:t>Indian</w:t>
      </w:r>
      <w:r>
        <w:rPr>
          <w:spacing w:val="-5"/>
        </w:rPr>
        <w:t> </w:t>
      </w:r>
      <w:r>
        <w:rPr/>
        <w:t>data over several years, they found a strong link between successful exits and future investment inflows. When investors achieve profitable exits, they tend to reinvest in new deals, which increases market liquidity and confidence. This creates a positive cycle in which successful exits</w:t>
      </w:r>
      <w:r>
        <w:rPr>
          <w:spacing w:val="-5"/>
        </w:rPr>
        <w:t> </w:t>
      </w:r>
      <w:r>
        <w:rPr/>
        <w:t>encourage</w:t>
      </w:r>
      <w:r>
        <w:rPr>
          <w:spacing w:val="-5"/>
        </w:rPr>
        <w:t> </w:t>
      </w:r>
      <w:r>
        <w:rPr/>
        <w:t>more</w:t>
      </w:r>
      <w:r>
        <w:rPr>
          <w:spacing w:val="-3"/>
        </w:rPr>
        <w:t> </w:t>
      </w:r>
      <w:r>
        <w:rPr/>
        <w:t>capital</w:t>
      </w:r>
      <w:r>
        <w:rPr>
          <w:spacing w:val="-4"/>
        </w:rPr>
        <w:t> </w:t>
      </w:r>
      <w:r>
        <w:rPr/>
        <w:t>inflows,</w:t>
      </w:r>
      <w:r>
        <w:rPr>
          <w:spacing w:val="-4"/>
        </w:rPr>
        <w:t> </w:t>
      </w:r>
      <w:r>
        <w:rPr/>
        <w:t>further</w:t>
      </w:r>
      <w:r>
        <w:rPr>
          <w:spacing w:val="-4"/>
        </w:rPr>
        <w:t> </w:t>
      </w:r>
      <w:r>
        <w:rPr/>
        <w:t>strengthening</w:t>
      </w:r>
      <w:r>
        <w:rPr>
          <w:spacing w:val="-4"/>
        </w:rPr>
        <w:t> </w:t>
      </w:r>
      <w:r>
        <w:rPr/>
        <w:t>the</w:t>
      </w:r>
      <w:r>
        <w:rPr>
          <w:spacing w:val="-4"/>
        </w:rPr>
        <w:t> </w:t>
      </w:r>
      <w:r>
        <w:rPr/>
        <w:t>growth</w:t>
      </w:r>
      <w:r>
        <w:rPr>
          <w:spacing w:val="-2"/>
        </w:rPr>
        <w:t> </w:t>
      </w:r>
      <w:r>
        <w:rPr/>
        <w:t>and</w:t>
      </w:r>
      <w:r>
        <w:rPr>
          <w:spacing w:val="-2"/>
        </w:rPr>
        <w:t> </w:t>
      </w:r>
      <w:r>
        <w:rPr/>
        <w:t>maturity</w:t>
      </w:r>
      <w:r>
        <w:rPr>
          <w:spacing w:val="-4"/>
        </w:rPr>
        <w:t> </w:t>
      </w:r>
      <w:r>
        <w:rPr/>
        <w:t>of</w:t>
      </w:r>
      <w:r>
        <w:rPr>
          <w:spacing w:val="-4"/>
        </w:rPr>
        <w:t> </w:t>
      </w:r>
      <w:r>
        <w:rPr/>
        <w:t>India’s private equity market.</w:t>
      </w:r>
    </w:p>
    <w:p>
      <w:pPr>
        <w:pStyle w:val="BodyText"/>
        <w:spacing w:line="360" w:lineRule="auto" w:before="161"/>
        <w:ind w:left="23" w:right="15"/>
        <w:jc w:val="both"/>
      </w:pPr>
      <w:r>
        <w:rPr/>
        <w:t>Recent industry reports also support these academic findings. The Bain &amp; Company (2025) report shows that India’s private equity market has remained strong despite global economic challenges.</w:t>
      </w:r>
      <w:r>
        <w:rPr>
          <w:spacing w:val="-6"/>
        </w:rPr>
        <w:t> </w:t>
      </w:r>
      <w:r>
        <w:rPr/>
        <w:t>Investment</w:t>
      </w:r>
      <w:r>
        <w:rPr>
          <w:spacing w:val="-5"/>
        </w:rPr>
        <w:t> </w:t>
      </w:r>
      <w:r>
        <w:rPr/>
        <w:t>activity</w:t>
      </w:r>
      <w:r>
        <w:rPr>
          <w:spacing w:val="-6"/>
        </w:rPr>
        <w:t> </w:t>
      </w:r>
      <w:r>
        <w:rPr/>
        <w:t>and</w:t>
      </w:r>
      <w:r>
        <w:rPr>
          <w:spacing w:val="-6"/>
        </w:rPr>
        <w:t> </w:t>
      </w:r>
      <w:r>
        <w:rPr/>
        <w:t>exits</w:t>
      </w:r>
      <w:r>
        <w:rPr>
          <w:spacing w:val="-6"/>
        </w:rPr>
        <w:t> </w:t>
      </w:r>
      <w:r>
        <w:rPr/>
        <w:t>continued</w:t>
      </w:r>
      <w:r>
        <w:rPr>
          <w:spacing w:val="-6"/>
        </w:rPr>
        <w:t> </w:t>
      </w:r>
      <w:r>
        <w:rPr/>
        <w:t>across</w:t>
      </w:r>
      <w:r>
        <w:rPr>
          <w:spacing w:val="-6"/>
        </w:rPr>
        <w:t> </w:t>
      </w:r>
      <w:r>
        <w:rPr/>
        <w:t>multiple</w:t>
      </w:r>
      <w:r>
        <w:rPr>
          <w:spacing w:val="-6"/>
        </w:rPr>
        <w:t> </w:t>
      </w:r>
      <w:r>
        <w:rPr/>
        <w:t>sectors,</w:t>
      </w:r>
      <w:r>
        <w:rPr>
          <w:spacing w:val="-6"/>
        </w:rPr>
        <w:t> </w:t>
      </w:r>
      <w:r>
        <w:rPr/>
        <w:t>with</w:t>
      </w:r>
      <w:r>
        <w:rPr>
          <w:spacing w:val="-5"/>
        </w:rPr>
        <w:t> </w:t>
      </w:r>
      <w:r>
        <w:rPr/>
        <w:t>firms</w:t>
      </w:r>
      <w:r>
        <w:rPr>
          <w:spacing w:val="-5"/>
        </w:rPr>
        <w:t> </w:t>
      </w:r>
      <w:r>
        <w:rPr/>
        <w:t>holding large reserves of undeployed capital, often called “dry powder.” The report also notes an increase in majority and control-based transactions, reflecting investors’</w:t>
      </w:r>
      <w:r>
        <w:rPr>
          <w:spacing w:val="-4"/>
        </w:rPr>
        <w:t> </w:t>
      </w:r>
      <w:r>
        <w:rPr/>
        <w:t>growing confidence and willingness to take leadership roles in portfolio companies. Similarly, Chambers and Partners (2025) describe India as one of</w:t>
      </w:r>
      <w:r>
        <w:rPr>
          <w:spacing w:val="-9"/>
        </w:rPr>
        <w:t> </w:t>
      </w:r>
      <w:r>
        <w:rPr/>
        <w:t>Asia’s leading private equity destinations, supported by</w:t>
      </w:r>
      <w:r>
        <w:rPr>
          <w:spacing w:val="-15"/>
        </w:rPr>
        <w:t> </w:t>
      </w:r>
      <w:r>
        <w:rPr/>
        <w:t>steady</w:t>
      </w:r>
      <w:r>
        <w:rPr>
          <w:spacing w:val="-14"/>
        </w:rPr>
        <w:t> </w:t>
      </w:r>
      <w:r>
        <w:rPr/>
        <w:t>domestic</w:t>
      </w:r>
      <w:r>
        <w:rPr>
          <w:spacing w:val="-15"/>
        </w:rPr>
        <w:t> </w:t>
      </w:r>
      <w:r>
        <w:rPr/>
        <w:t>demand,</w:t>
      </w:r>
      <w:r>
        <w:rPr>
          <w:spacing w:val="-14"/>
        </w:rPr>
        <w:t> </w:t>
      </w:r>
      <w:r>
        <w:rPr/>
        <w:t>stable</w:t>
      </w:r>
      <w:r>
        <w:rPr>
          <w:spacing w:val="-15"/>
        </w:rPr>
        <w:t> </w:t>
      </w:r>
      <w:r>
        <w:rPr/>
        <w:t>policies,</w:t>
      </w:r>
      <w:r>
        <w:rPr>
          <w:spacing w:val="-15"/>
        </w:rPr>
        <w:t> </w:t>
      </w:r>
      <w:r>
        <w:rPr/>
        <w:t>and</w:t>
      </w:r>
      <w:r>
        <w:rPr>
          <w:spacing w:val="-14"/>
        </w:rPr>
        <w:t> </w:t>
      </w:r>
      <w:r>
        <w:rPr/>
        <w:t>active</w:t>
      </w:r>
      <w:r>
        <w:rPr>
          <w:spacing w:val="-15"/>
        </w:rPr>
        <w:t> </w:t>
      </w:r>
      <w:r>
        <w:rPr/>
        <w:t>public</w:t>
      </w:r>
      <w:r>
        <w:rPr>
          <w:spacing w:val="-15"/>
        </w:rPr>
        <w:t> </w:t>
      </w:r>
      <w:r>
        <w:rPr/>
        <w:t>markets</w:t>
      </w:r>
      <w:r>
        <w:rPr>
          <w:spacing w:val="-14"/>
        </w:rPr>
        <w:t> </w:t>
      </w:r>
      <w:r>
        <w:rPr/>
        <w:t>that</w:t>
      </w:r>
      <w:r>
        <w:rPr>
          <w:spacing w:val="-14"/>
        </w:rPr>
        <w:t> </w:t>
      </w:r>
      <w:r>
        <w:rPr/>
        <w:t>provide</w:t>
      </w:r>
      <w:r>
        <w:rPr>
          <w:spacing w:val="-15"/>
        </w:rPr>
        <w:t> </w:t>
      </w:r>
      <w:r>
        <w:rPr/>
        <w:t>exit</w:t>
      </w:r>
      <w:r>
        <w:rPr>
          <w:spacing w:val="-14"/>
        </w:rPr>
        <w:t> </w:t>
      </w:r>
      <w:r>
        <w:rPr/>
        <w:t>options. Together, these reports indicate that steady reforms and investor confidence continue to reinforce each other, creating a positive cycle of sustained private equity investment in India.</w:t>
      </w:r>
    </w:p>
    <w:p>
      <w:pPr>
        <w:pStyle w:val="BodyText"/>
        <w:spacing w:after="0" w:line="360" w:lineRule="auto"/>
        <w:jc w:val="both"/>
        <w:sectPr>
          <w:pgSz w:w="11910" w:h="16840"/>
          <w:pgMar w:header="0" w:footer="1009" w:top="1360" w:bottom="1200" w:left="1417" w:right="1417"/>
        </w:sectPr>
      </w:pPr>
    </w:p>
    <w:p>
      <w:pPr>
        <w:pStyle w:val="Heading3"/>
        <w:numPr>
          <w:ilvl w:val="2"/>
          <w:numId w:val="3"/>
        </w:numPr>
        <w:tabs>
          <w:tab w:pos="563" w:val="left" w:leader="none"/>
        </w:tabs>
        <w:spacing w:line="240" w:lineRule="auto" w:before="61" w:after="0"/>
        <w:ind w:left="563" w:right="0" w:hanging="540"/>
        <w:jc w:val="both"/>
      </w:pPr>
      <w:bookmarkStart w:name="_bookmark11" w:id="12"/>
      <w:bookmarkEnd w:id="12"/>
      <w:r>
        <w:rPr>
          <w:b w:val="0"/>
        </w:rPr>
      </w:r>
      <w:r>
        <w:rPr/>
        <w:t>Sector</w:t>
      </w:r>
      <w:r>
        <w:rPr>
          <w:spacing w:val="-8"/>
        </w:rPr>
        <w:t> </w:t>
      </w:r>
      <w:r>
        <w:rPr/>
        <w:t>trends</w:t>
      </w:r>
      <w:r>
        <w:rPr>
          <w:spacing w:val="-4"/>
        </w:rPr>
        <w:t> </w:t>
      </w:r>
      <w:r>
        <w:rPr/>
        <w:t>and</w:t>
      </w:r>
      <w:r>
        <w:rPr>
          <w:spacing w:val="-5"/>
        </w:rPr>
        <w:t> </w:t>
      </w:r>
      <w:r>
        <w:rPr/>
        <w:t>value</w:t>
      </w:r>
      <w:r>
        <w:rPr>
          <w:spacing w:val="-3"/>
        </w:rPr>
        <w:t> </w:t>
      </w:r>
      <w:r>
        <w:rPr>
          <w:spacing w:val="-2"/>
        </w:rPr>
        <w:t>creation</w:t>
      </w:r>
    </w:p>
    <w:p>
      <w:pPr>
        <w:pStyle w:val="BodyText"/>
        <w:spacing w:line="360" w:lineRule="auto" w:before="218"/>
        <w:ind w:left="23" w:right="19"/>
        <w:jc w:val="both"/>
      </w:pPr>
      <w:r>
        <w:rPr/>
        <w:t>A</w:t>
      </w:r>
      <w:r>
        <w:rPr>
          <w:spacing w:val="-15"/>
        </w:rPr>
        <w:t> </w:t>
      </w:r>
      <w:r>
        <w:rPr/>
        <w:t>second</w:t>
      </w:r>
      <w:r>
        <w:rPr>
          <w:spacing w:val="-12"/>
        </w:rPr>
        <w:t> </w:t>
      </w:r>
      <w:r>
        <w:rPr/>
        <w:t>major</w:t>
      </w:r>
      <w:r>
        <w:rPr>
          <w:spacing w:val="-8"/>
        </w:rPr>
        <w:t> </w:t>
      </w:r>
      <w:r>
        <w:rPr/>
        <w:t>theme</w:t>
      </w:r>
      <w:r>
        <w:rPr>
          <w:spacing w:val="-8"/>
        </w:rPr>
        <w:t> </w:t>
      </w:r>
      <w:r>
        <w:rPr/>
        <w:t>in</w:t>
      </w:r>
      <w:r>
        <w:rPr>
          <w:spacing w:val="-4"/>
        </w:rPr>
        <w:t> </w:t>
      </w:r>
      <w:r>
        <w:rPr/>
        <w:t>the</w:t>
      </w:r>
      <w:r>
        <w:rPr>
          <w:spacing w:val="-8"/>
        </w:rPr>
        <w:t> </w:t>
      </w:r>
      <w:r>
        <w:rPr/>
        <w:t>literature</w:t>
      </w:r>
      <w:r>
        <w:rPr>
          <w:spacing w:val="-8"/>
        </w:rPr>
        <w:t> </w:t>
      </w:r>
      <w:r>
        <w:rPr/>
        <w:t>is</w:t>
      </w:r>
      <w:r>
        <w:rPr>
          <w:spacing w:val="-7"/>
        </w:rPr>
        <w:t> </w:t>
      </w:r>
      <w:r>
        <w:rPr/>
        <w:t>sectoral</w:t>
      </w:r>
      <w:r>
        <w:rPr>
          <w:spacing w:val="-7"/>
        </w:rPr>
        <w:t> </w:t>
      </w:r>
      <w:r>
        <w:rPr/>
        <w:t>concentration</w:t>
      </w:r>
      <w:r>
        <w:rPr>
          <w:spacing w:val="-7"/>
        </w:rPr>
        <w:t> </w:t>
      </w:r>
      <w:r>
        <w:rPr/>
        <w:t>and</w:t>
      </w:r>
      <w:r>
        <w:rPr>
          <w:spacing w:val="-7"/>
        </w:rPr>
        <w:t> </w:t>
      </w:r>
      <w:r>
        <w:rPr/>
        <w:t>how</w:t>
      </w:r>
      <w:r>
        <w:rPr>
          <w:spacing w:val="-8"/>
        </w:rPr>
        <w:t> </w:t>
      </w:r>
      <w:r>
        <w:rPr/>
        <w:t>that</w:t>
      </w:r>
      <w:r>
        <w:rPr>
          <w:spacing w:val="-7"/>
        </w:rPr>
        <w:t> </w:t>
      </w:r>
      <w:r>
        <w:rPr/>
        <w:t>has</w:t>
      </w:r>
      <w:r>
        <w:rPr>
          <w:spacing w:val="-7"/>
        </w:rPr>
        <w:t> </w:t>
      </w:r>
      <w:r>
        <w:rPr/>
        <w:t>changed</w:t>
      </w:r>
      <w:r>
        <w:rPr>
          <w:spacing w:val="-7"/>
        </w:rPr>
        <w:t> </w:t>
      </w:r>
      <w:r>
        <w:rPr/>
        <w:t>over time.</w:t>
      </w:r>
      <w:r>
        <w:rPr>
          <w:spacing w:val="-1"/>
        </w:rPr>
        <w:t> </w:t>
      </w:r>
      <w:r>
        <w:rPr/>
        <w:t>Early</w:t>
      </w:r>
      <w:r>
        <w:rPr>
          <w:spacing w:val="-1"/>
        </w:rPr>
        <w:t> </w:t>
      </w:r>
      <w:r>
        <w:rPr/>
        <w:t>analyses</w:t>
      </w:r>
      <w:r>
        <w:rPr>
          <w:spacing w:val="-1"/>
        </w:rPr>
        <w:t> </w:t>
      </w:r>
      <w:r>
        <w:rPr/>
        <w:t>by Dugar</w:t>
      </w:r>
      <w:r>
        <w:rPr>
          <w:spacing w:val="-2"/>
        </w:rPr>
        <w:t> </w:t>
      </w:r>
      <w:r>
        <w:rPr/>
        <w:t>and</w:t>
      </w:r>
      <w:r>
        <w:rPr>
          <w:spacing w:val="-1"/>
        </w:rPr>
        <w:t> </w:t>
      </w:r>
      <w:r>
        <w:rPr/>
        <w:t>Pandit (2018) showed</w:t>
      </w:r>
      <w:r>
        <w:rPr>
          <w:spacing w:val="-1"/>
        </w:rPr>
        <w:t> </w:t>
      </w:r>
      <w:r>
        <w:rPr/>
        <w:t>that</w:t>
      </w:r>
      <w:r>
        <w:rPr>
          <w:spacing w:val="-1"/>
        </w:rPr>
        <w:t> </w:t>
      </w:r>
      <w:r>
        <w:rPr/>
        <w:t>information technology and</w:t>
      </w:r>
      <w:r>
        <w:rPr>
          <w:spacing w:val="-1"/>
        </w:rPr>
        <w:t> </w:t>
      </w:r>
      <w:r>
        <w:rPr/>
        <w:t>IT- enabled</w:t>
      </w:r>
      <w:r>
        <w:rPr>
          <w:spacing w:val="-15"/>
        </w:rPr>
        <w:t> </w:t>
      </w:r>
      <w:r>
        <w:rPr/>
        <w:t>services</w:t>
      </w:r>
      <w:r>
        <w:rPr>
          <w:spacing w:val="-15"/>
        </w:rPr>
        <w:t> </w:t>
      </w:r>
      <w:r>
        <w:rPr/>
        <w:t>absorbed</w:t>
      </w:r>
      <w:r>
        <w:rPr>
          <w:spacing w:val="-15"/>
        </w:rPr>
        <w:t> </w:t>
      </w:r>
      <w:r>
        <w:rPr/>
        <w:t>a</w:t>
      </w:r>
      <w:r>
        <w:rPr>
          <w:spacing w:val="-15"/>
        </w:rPr>
        <w:t> </w:t>
      </w:r>
      <w:r>
        <w:rPr/>
        <w:t>large</w:t>
      </w:r>
      <w:r>
        <w:rPr>
          <w:spacing w:val="-15"/>
        </w:rPr>
        <w:t> </w:t>
      </w:r>
      <w:r>
        <w:rPr/>
        <w:t>share</w:t>
      </w:r>
      <w:r>
        <w:rPr>
          <w:spacing w:val="-15"/>
        </w:rPr>
        <w:t> </w:t>
      </w:r>
      <w:r>
        <w:rPr/>
        <w:t>of</w:t>
      </w:r>
      <w:r>
        <w:rPr>
          <w:spacing w:val="-15"/>
        </w:rPr>
        <w:t> </w:t>
      </w:r>
      <w:r>
        <w:rPr/>
        <w:t>private</w:t>
      </w:r>
      <w:r>
        <w:rPr>
          <w:spacing w:val="-15"/>
        </w:rPr>
        <w:t> </w:t>
      </w:r>
      <w:r>
        <w:rPr/>
        <w:t>equity</w:t>
      </w:r>
      <w:r>
        <w:rPr>
          <w:spacing w:val="-15"/>
        </w:rPr>
        <w:t> </w:t>
      </w:r>
      <w:r>
        <w:rPr/>
        <w:t>between</w:t>
      </w:r>
      <w:r>
        <w:rPr>
          <w:spacing w:val="-15"/>
        </w:rPr>
        <w:t> </w:t>
      </w:r>
      <w:r>
        <w:rPr/>
        <w:t>the</w:t>
      </w:r>
      <w:r>
        <w:rPr>
          <w:spacing w:val="-15"/>
        </w:rPr>
        <w:t> </w:t>
      </w:r>
      <w:r>
        <w:rPr/>
        <w:t>late</w:t>
      </w:r>
      <w:r>
        <w:rPr>
          <w:spacing w:val="-15"/>
        </w:rPr>
        <w:t> </w:t>
      </w:r>
      <w:r>
        <w:rPr/>
        <w:t>1990s</w:t>
      </w:r>
      <w:r>
        <w:rPr>
          <w:spacing w:val="-15"/>
        </w:rPr>
        <w:t> </w:t>
      </w:r>
      <w:r>
        <w:rPr/>
        <w:t>and</w:t>
      </w:r>
      <w:r>
        <w:rPr>
          <w:spacing w:val="-15"/>
        </w:rPr>
        <w:t> </w:t>
      </w:r>
      <w:r>
        <w:rPr/>
        <w:t>mid-2010s, followed by engineering, financial services, and manufacturing. Over time, however, the pattern diversified. As domestic demand deepened, healthcare, renewable energy, and consumer-facing services became key targets.</w:t>
      </w:r>
    </w:p>
    <w:p>
      <w:pPr>
        <w:pStyle w:val="BodyText"/>
        <w:spacing w:line="360" w:lineRule="auto" w:before="159"/>
        <w:ind w:left="23" w:right="19"/>
        <w:jc w:val="both"/>
      </w:pPr>
      <w:r>
        <w:rPr/>
        <w:t>Gohil</w:t>
      </w:r>
      <w:r>
        <w:rPr>
          <w:spacing w:val="-11"/>
        </w:rPr>
        <w:t> </w:t>
      </w:r>
      <w:r>
        <w:rPr/>
        <w:t>(2023)</w:t>
      </w:r>
      <w:r>
        <w:rPr>
          <w:spacing w:val="-12"/>
        </w:rPr>
        <w:t> </w:t>
      </w:r>
      <w:r>
        <w:rPr/>
        <w:t>examined</w:t>
      </w:r>
      <w:r>
        <w:rPr>
          <w:spacing w:val="-9"/>
        </w:rPr>
        <w:t> </w:t>
      </w:r>
      <w:r>
        <w:rPr/>
        <w:t>more</w:t>
      </w:r>
      <w:r>
        <w:rPr>
          <w:spacing w:val="-13"/>
        </w:rPr>
        <w:t> </w:t>
      </w:r>
      <w:r>
        <w:rPr/>
        <w:t>than</w:t>
      </w:r>
      <w:r>
        <w:rPr>
          <w:spacing w:val="-12"/>
        </w:rPr>
        <w:t> </w:t>
      </w:r>
      <w:r>
        <w:rPr/>
        <w:t>1,100</w:t>
      </w:r>
      <w:r>
        <w:rPr>
          <w:spacing w:val="-12"/>
        </w:rPr>
        <w:t> </w:t>
      </w:r>
      <w:r>
        <w:rPr/>
        <w:t>FinTech</w:t>
      </w:r>
      <w:r>
        <w:rPr>
          <w:spacing w:val="-9"/>
        </w:rPr>
        <w:t> </w:t>
      </w:r>
      <w:r>
        <w:rPr/>
        <w:t>deals</w:t>
      </w:r>
      <w:r>
        <w:rPr>
          <w:spacing w:val="-11"/>
        </w:rPr>
        <w:t> </w:t>
      </w:r>
      <w:r>
        <w:rPr/>
        <w:t>and</w:t>
      </w:r>
      <w:r>
        <w:rPr>
          <w:spacing w:val="-9"/>
        </w:rPr>
        <w:t> </w:t>
      </w:r>
      <w:r>
        <w:rPr/>
        <w:t>found</w:t>
      </w:r>
      <w:r>
        <w:rPr>
          <w:spacing w:val="-12"/>
        </w:rPr>
        <w:t> </w:t>
      </w:r>
      <w:r>
        <w:rPr/>
        <w:t>that</w:t>
      </w:r>
      <w:r>
        <w:rPr>
          <w:spacing w:val="-12"/>
        </w:rPr>
        <w:t> </w:t>
      </w:r>
      <w:r>
        <w:rPr/>
        <w:t>most</w:t>
      </w:r>
      <w:r>
        <w:rPr>
          <w:spacing w:val="-11"/>
        </w:rPr>
        <w:t> </w:t>
      </w:r>
      <w:r>
        <w:rPr/>
        <w:t>were</w:t>
      </w:r>
      <w:r>
        <w:rPr>
          <w:spacing w:val="-11"/>
        </w:rPr>
        <w:t> </w:t>
      </w:r>
      <w:r>
        <w:rPr/>
        <w:t>in</w:t>
      </w:r>
      <w:r>
        <w:rPr>
          <w:spacing w:val="-11"/>
        </w:rPr>
        <w:t> </w:t>
      </w:r>
      <w:r>
        <w:rPr/>
        <w:t>early-stage or seed-stage rounds, and that exits in this segment were often achieved through mergers and acquisitions rather than IPOs. The study also noted high entry valuations in Indian FinTech, reflecting competition for assets perceived as scalable. Healthcare revealed a similar story of strategic</w:t>
      </w:r>
      <w:r>
        <w:rPr>
          <w:spacing w:val="-2"/>
        </w:rPr>
        <w:t> </w:t>
      </w:r>
      <w:r>
        <w:rPr/>
        <w:t>interest.</w:t>
      </w:r>
      <w:r>
        <w:rPr>
          <w:spacing w:val="-1"/>
        </w:rPr>
        <w:t> </w:t>
      </w:r>
      <w:r>
        <w:rPr/>
        <w:t>Kalyani</w:t>
      </w:r>
      <w:r>
        <w:rPr>
          <w:spacing w:val="-1"/>
        </w:rPr>
        <w:t> </w:t>
      </w:r>
      <w:r>
        <w:rPr/>
        <w:t>and</w:t>
      </w:r>
      <w:r>
        <w:rPr>
          <w:spacing w:val="-1"/>
        </w:rPr>
        <w:t> </w:t>
      </w:r>
      <w:r>
        <w:rPr/>
        <w:t>Lakshmi (2015)</w:t>
      </w:r>
      <w:r>
        <w:rPr>
          <w:spacing w:val="-1"/>
        </w:rPr>
        <w:t> </w:t>
      </w:r>
      <w:r>
        <w:rPr/>
        <w:t>reported</w:t>
      </w:r>
      <w:r>
        <w:rPr>
          <w:spacing w:val="-1"/>
        </w:rPr>
        <w:t> </w:t>
      </w:r>
      <w:r>
        <w:rPr/>
        <w:t>that</w:t>
      </w:r>
      <w:r>
        <w:rPr>
          <w:spacing w:val="-1"/>
        </w:rPr>
        <w:t> </w:t>
      </w:r>
      <w:r>
        <w:rPr/>
        <w:t>by</w:t>
      </w:r>
      <w:r>
        <w:rPr>
          <w:spacing w:val="-1"/>
        </w:rPr>
        <w:t> </w:t>
      </w:r>
      <w:r>
        <w:rPr/>
        <w:t>the</w:t>
      </w:r>
      <w:r>
        <w:rPr>
          <w:spacing w:val="-2"/>
        </w:rPr>
        <w:t> </w:t>
      </w:r>
      <w:r>
        <w:rPr/>
        <w:t>mid-2010s,</w:t>
      </w:r>
      <w:r>
        <w:rPr>
          <w:spacing w:val="-1"/>
        </w:rPr>
        <w:t> </w:t>
      </w:r>
      <w:r>
        <w:rPr/>
        <w:t>healthcare</w:t>
      </w:r>
      <w:r>
        <w:rPr>
          <w:spacing w:val="-2"/>
        </w:rPr>
        <w:t> </w:t>
      </w:r>
      <w:r>
        <w:rPr/>
        <w:t>had become one of the largest sectors for private equity investment in India. They link this to demographic pressure and under-penetration: there was clear demand for hospitals, diagnostics, specialised care platforms, and health services that could scale.</w:t>
      </w:r>
    </w:p>
    <w:p>
      <w:pPr>
        <w:pStyle w:val="BodyText"/>
        <w:spacing w:line="360" w:lineRule="auto" w:before="162"/>
        <w:ind w:left="23" w:right="19"/>
        <w:jc w:val="both"/>
      </w:pPr>
      <w:r>
        <w:rPr/>
        <w:t>When</w:t>
      </w:r>
      <w:r>
        <w:rPr>
          <w:spacing w:val="-11"/>
        </w:rPr>
        <w:t> </w:t>
      </w:r>
      <w:r>
        <w:rPr/>
        <w:t>studies</w:t>
      </w:r>
      <w:r>
        <w:rPr>
          <w:spacing w:val="-9"/>
        </w:rPr>
        <w:t> </w:t>
      </w:r>
      <w:r>
        <w:rPr/>
        <w:t>compared</w:t>
      </w:r>
      <w:r>
        <w:rPr>
          <w:spacing w:val="-11"/>
        </w:rPr>
        <w:t> </w:t>
      </w:r>
      <w:r>
        <w:rPr/>
        <w:t>financial</w:t>
      </w:r>
      <w:r>
        <w:rPr>
          <w:spacing w:val="-11"/>
        </w:rPr>
        <w:t> </w:t>
      </w:r>
      <w:r>
        <w:rPr/>
        <w:t>outcomes</w:t>
      </w:r>
      <w:r>
        <w:rPr>
          <w:spacing w:val="-9"/>
        </w:rPr>
        <w:t> </w:t>
      </w:r>
      <w:r>
        <w:rPr/>
        <w:t>across</w:t>
      </w:r>
      <w:r>
        <w:rPr>
          <w:spacing w:val="-10"/>
        </w:rPr>
        <w:t> </w:t>
      </w:r>
      <w:r>
        <w:rPr/>
        <w:t>sectors,</w:t>
      </w:r>
      <w:r>
        <w:rPr>
          <w:spacing w:val="39"/>
        </w:rPr>
        <w:t> </w:t>
      </w:r>
      <w:r>
        <w:rPr/>
        <w:t>they</w:t>
      </w:r>
      <w:r>
        <w:rPr>
          <w:spacing w:val="-11"/>
        </w:rPr>
        <w:t> </w:t>
      </w:r>
      <w:r>
        <w:rPr/>
        <w:t>tend</w:t>
      </w:r>
      <w:r>
        <w:rPr>
          <w:spacing w:val="-10"/>
        </w:rPr>
        <w:t> </w:t>
      </w:r>
      <w:r>
        <w:rPr/>
        <w:t>to</w:t>
      </w:r>
      <w:r>
        <w:rPr>
          <w:spacing w:val="-10"/>
        </w:rPr>
        <w:t> </w:t>
      </w:r>
      <w:r>
        <w:rPr/>
        <w:t>report</w:t>
      </w:r>
      <w:r>
        <w:rPr>
          <w:spacing w:val="-11"/>
        </w:rPr>
        <w:t> </w:t>
      </w:r>
      <w:r>
        <w:rPr/>
        <w:t>that</w:t>
      </w:r>
      <w:r>
        <w:rPr>
          <w:spacing w:val="-11"/>
        </w:rPr>
        <w:t> </w:t>
      </w:r>
      <w:r>
        <w:rPr/>
        <w:t>technology, healthcare,</w:t>
      </w:r>
      <w:r>
        <w:rPr>
          <w:spacing w:val="-7"/>
        </w:rPr>
        <w:t> </w:t>
      </w:r>
      <w:r>
        <w:rPr/>
        <w:t>and</w:t>
      </w:r>
      <w:r>
        <w:rPr>
          <w:spacing w:val="-7"/>
        </w:rPr>
        <w:t> </w:t>
      </w:r>
      <w:r>
        <w:rPr/>
        <w:t>financial</w:t>
      </w:r>
      <w:r>
        <w:rPr>
          <w:spacing w:val="-4"/>
        </w:rPr>
        <w:t> </w:t>
      </w:r>
      <w:r>
        <w:rPr/>
        <w:t>services</w:t>
      </w:r>
      <w:r>
        <w:rPr>
          <w:spacing w:val="-7"/>
        </w:rPr>
        <w:t> </w:t>
      </w:r>
      <w:r>
        <w:rPr/>
        <w:t>deliver</w:t>
      </w:r>
      <w:r>
        <w:rPr>
          <w:spacing w:val="-8"/>
        </w:rPr>
        <w:t> </w:t>
      </w:r>
      <w:r>
        <w:rPr/>
        <w:t>stronger</w:t>
      </w:r>
      <w:r>
        <w:rPr>
          <w:spacing w:val="-4"/>
        </w:rPr>
        <w:t> </w:t>
      </w:r>
      <w:r>
        <w:rPr/>
        <w:t>returns,</w:t>
      </w:r>
      <w:r>
        <w:rPr>
          <w:spacing w:val="-7"/>
        </w:rPr>
        <w:t> </w:t>
      </w:r>
      <w:r>
        <w:rPr/>
        <w:t>whereas</w:t>
      </w:r>
      <w:r>
        <w:rPr>
          <w:spacing w:val="-7"/>
        </w:rPr>
        <w:t> </w:t>
      </w:r>
      <w:r>
        <w:rPr/>
        <w:t>capital-heavy</w:t>
      </w:r>
      <w:r>
        <w:rPr>
          <w:spacing w:val="-7"/>
        </w:rPr>
        <w:t> </w:t>
      </w:r>
      <w:r>
        <w:rPr/>
        <w:t>areas</w:t>
      </w:r>
      <w:r>
        <w:rPr>
          <w:spacing w:val="-7"/>
        </w:rPr>
        <w:t> </w:t>
      </w:r>
      <w:r>
        <w:rPr/>
        <w:t>such</w:t>
      </w:r>
      <w:r>
        <w:rPr>
          <w:spacing w:val="-4"/>
        </w:rPr>
        <w:t> </w:t>
      </w:r>
      <w:r>
        <w:rPr/>
        <w:t>as traditional infrastructure deliver slower but steadier gains (Zeeshan &amp; Azar, 2018). Many researchers interpret this pattern through the Resource-Based View (RBV), suggesting that investors create value by improving management systems, operational processes, and leadership quality within portfolio firms. Such improvements are easier to scale in asset-light or service-oriented sectors like technology, healthcare, and financial services than in capital- intensive, highly regulated industries such as infrastructure.</w:t>
      </w:r>
    </w:p>
    <w:p>
      <w:pPr>
        <w:pStyle w:val="Heading3"/>
        <w:numPr>
          <w:ilvl w:val="2"/>
          <w:numId w:val="3"/>
        </w:numPr>
        <w:tabs>
          <w:tab w:pos="563" w:val="left" w:leader="none"/>
        </w:tabs>
        <w:spacing w:line="240" w:lineRule="auto" w:before="159" w:after="0"/>
        <w:ind w:left="563" w:right="0" w:hanging="540"/>
        <w:jc w:val="both"/>
      </w:pPr>
      <w:bookmarkStart w:name="_bookmark12" w:id="13"/>
      <w:bookmarkEnd w:id="13"/>
      <w:r>
        <w:rPr>
          <w:b w:val="0"/>
        </w:rPr>
      </w:r>
      <w:r>
        <w:rPr/>
        <w:t>Effectiveness</w:t>
      </w:r>
      <w:r>
        <w:rPr>
          <w:spacing w:val="-6"/>
        </w:rPr>
        <w:t> </w:t>
      </w:r>
      <w:r>
        <w:rPr/>
        <w:t>of</w:t>
      </w:r>
      <w:r>
        <w:rPr>
          <w:spacing w:val="-2"/>
        </w:rPr>
        <w:t> </w:t>
      </w:r>
      <w:r>
        <w:rPr/>
        <w:t>Exit</w:t>
      </w:r>
      <w:r>
        <w:rPr>
          <w:spacing w:val="-2"/>
        </w:rPr>
        <w:t> </w:t>
      </w:r>
      <w:r>
        <w:rPr/>
        <w:t>Strategies</w:t>
      </w:r>
      <w:r>
        <w:rPr>
          <w:spacing w:val="-3"/>
        </w:rPr>
        <w:t> </w:t>
      </w:r>
      <w:r>
        <w:rPr/>
        <w:t>in</w:t>
      </w:r>
      <w:r>
        <w:rPr>
          <w:spacing w:val="-2"/>
        </w:rPr>
        <w:t> </w:t>
      </w:r>
      <w:r>
        <w:rPr/>
        <w:t>the</w:t>
      </w:r>
      <w:r>
        <w:rPr>
          <w:spacing w:val="-2"/>
        </w:rPr>
        <w:t> </w:t>
      </w:r>
      <w:r>
        <w:rPr/>
        <w:t>Indian</w:t>
      </w:r>
      <w:r>
        <w:rPr>
          <w:spacing w:val="-1"/>
        </w:rPr>
        <w:t> </w:t>
      </w:r>
      <w:r>
        <w:rPr/>
        <w:t>Private</w:t>
      </w:r>
      <w:r>
        <w:rPr>
          <w:spacing w:val="-4"/>
        </w:rPr>
        <w:t> </w:t>
      </w:r>
      <w:r>
        <w:rPr/>
        <w:t>Equity</w:t>
      </w:r>
      <w:r>
        <w:rPr>
          <w:spacing w:val="-2"/>
        </w:rPr>
        <w:t> Market</w:t>
      </w:r>
    </w:p>
    <w:p>
      <w:pPr>
        <w:pStyle w:val="BodyText"/>
        <w:spacing w:line="360" w:lineRule="auto" w:before="219"/>
        <w:ind w:left="23" w:right="19"/>
        <w:jc w:val="both"/>
      </w:pPr>
      <w:r>
        <w:rPr/>
        <w:t>Exit</w:t>
      </w:r>
      <w:r>
        <w:rPr>
          <w:spacing w:val="-15"/>
        </w:rPr>
        <w:t> </w:t>
      </w:r>
      <w:r>
        <w:rPr/>
        <w:t>routes</w:t>
      </w:r>
      <w:r>
        <w:rPr>
          <w:spacing w:val="-15"/>
        </w:rPr>
        <w:t> </w:t>
      </w:r>
      <w:r>
        <w:rPr/>
        <w:t>are</w:t>
      </w:r>
      <w:r>
        <w:rPr>
          <w:spacing w:val="-15"/>
        </w:rPr>
        <w:t> </w:t>
      </w:r>
      <w:r>
        <w:rPr/>
        <w:t>a</w:t>
      </w:r>
      <w:r>
        <w:rPr>
          <w:spacing w:val="-15"/>
        </w:rPr>
        <w:t> </w:t>
      </w:r>
      <w:r>
        <w:rPr/>
        <w:t>critical</w:t>
      </w:r>
      <w:r>
        <w:rPr>
          <w:spacing w:val="-15"/>
        </w:rPr>
        <w:t> </w:t>
      </w:r>
      <w:r>
        <w:rPr/>
        <w:t>measure</w:t>
      </w:r>
      <w:r>
        <w:rPr>
          <w:spacing w:val="-15"/>
        </w:rPr>
        <w:t> </w:t>
      </w:r>
      <w:r>
        <w:rPr/>
        <w:t>of</w:t>
      </w:r>
      <w:r>
        <w:rPr>
          <w:spacing w:val="-15"/>
        </w:rPr>
        <w:t> </w:t>
      </w:r>
      <w:r>
        <w:rPr/>
        <w:t>how</w:t>
      </w:r>
      <w:r>
        <w:rPr>
          <w:spacing w:val="-15"/>
        </w:rPr>
        <w:t> </w:t>
      </w:r>
      <w:r>
        <w:rPr/>
        <w:t>mature</w:t>
      </w:r>
      <w:r>
        <w:rPr>
          <w:spacing w:val="-14"/>
        </w:rPr>
        <w:t> </w:t>
      </w:r>
      <w:r>
        <w:rPr/>
        <w:t>and</w:t>
      </w:r>
      <w:r>
        <w:rPr>
          <w:spacing w:val="-15"/>
        </w:rPr>
        <w:t> </w:t>
      </w:r>
      <w:r>
        <w:rPr/>
        <w:t>efficient</w:t>
      </w:r>
      <w:r>
        <w:rPr>
          <w:spacing w:val="-15"/>
        </w:rPr>
        <w:t> </w:t>
      </w:r>
      <w:r>
        <w:rPr/>
        <w:t>India’s</w:t>
      </w:r>
      <w:r>
        <w:rPr>
          <w:spacing w:val="-15"/>
        </w:rPr>
        <w:t> </w:t>
      </w:r>
      <w:r>
        <w:rPr/>
        <w:t>private</w:t>
      </w:r>
      <w:r>
        <w:rPr>
          <w:spacing w:val="-15"/>
        </w:rPr>
        <w:t> </w:t>
      </w:r>
      <w:r>
        <w:rPr/>
        <w:t>equity</w:t>
      </w:r>
      <w:r>
        <w:rPr>
          <w:spacing w:val="-14"/>
        </w:rPr>
        <w:t> </w:t>
      </w:r>
      <w:r>
        <w:rPr/>
        <w:t>(PE)</w:t>
      </w:r>
      <w:r>
        <w:rPr>
          <w:spacing w:val="-15"/>
        </w:rPr>
        <w:t> </w:t>
      </w:r>
      <w:r>
        <w:rPr/>
        <w:t>market has become. Early studies noted that investors often faced long holding periods and limited liquidity options, but recent research shows steady improvement and diversification of exit mechanisms. Sivaprasad and Dadhaniya (2019) found that PE-backed initial public offerings (IPOs)</w:t>
      </w:r>
      <w:r>
        <w:rPr>
          <w:spacing w:val="-6"/>
        </w:rPr>
        <w:t> </w:t>
      </w:r>
      <w:r>
        <w:rPr/>
        <w:t>deliver</w:t>
      </w:r>
      <w:r>
        <w:rPr>
          <w:spacing w:val="-5"/>
        </w:rPr>
        <w:t> </w:t>
      </w:r>
      <w:r>
        <w:rPr/>
        <w:t>stronger</w:t>
      </w:r>
      <w:r>
        <w:rPr>
          <w:spacing w:val="-5"/>
        </w:rPr>
        <w:t> </w:t>
      </w:r>
      <w:r>
        <w:rPr/>
        <w:t>long-run</w:t>
      </w:r>
      <w:r>
        <w:rPr>
          <w:spacing w:val="-5"/>
        </w:rPr>
        <w:t> </w:t>
      </w:r>
      <w:r>
        <w:rPr/>
        <w:t>stock</w:t>
      </w:r>
      <w:r>
        <w:rPr>
          <w:spacing w:val="-5"/>
        </w:rPr>
        <w:t> </w:t>
      </w:r>
      <w:r>
        <w:rPr/>
        <w:t>performance</w:t>
      </w:r>
      <w:r>
        <w:rPr>
          <w:spacing w:val="-6"/>
        </w:rPr>
        <w:t> </w:t>
      </w:r>
      <w:r>
        <w:rPr/>
        <w:t>than</w:t>
      </w:r>
      <w:r>
        <w:rPr>
          <w:spacing w:val="-5"/>
        </w:rPr>
        <w:t> </w:t>
      </w:r>
      <w:r>
        <w:rPr/>
        <w:t>either</w:t>
      </w:r>
      <w:r>
        <w:rPr>
          <w:spacing w:val="-5"/>
        </w:rPr>
        <w:t> </w:t>
      </w:r>
      <w:r>
        <w:rPr/>
        <w:t>venture-capital-backed</w:t>
      </w:r>
      <w:r>
        <w:rPr>
          <w:spacing w:val="-5"/>
        </w:rPr>
        <w:t> </w:t>
      </w:r>
      <w:r>
        <w:rPr/>
        <w:t>or</w:t>
      </w:r>
      <w:r>
        <w:rPr>
          <w:spacing w:val="-5"/>
        </w:rPr>
        <w:t> </w:t>
      </w:r>
      <w:r>
        <w:rPr/>
        <w:t>non- sponsored IPOs, indicating that private-equity governance and pre-listing discipline translate into better post-listing results. Public markets, therefore, remain the most visible and credible channel,</w:t>
      </w:r>
      <w:r>
        <w:rPr>
          <w:spacing w:val="-8"/>
        </w:rPr>
        <w:t> </w:t>
      </w:r>
      <w:r>
        <w:rPr/>
        <w:t>though</w:t>
      </w:r>
      <w:r>
        <w:rPr>
          <w:spacing w:val="-7"/>
        </w:rPr>
        <w:t> </w:t>
      </w:r>
      <w:r>
        <w:rPr/>
        <w:t>they</w:t>
      </w:r>
      <w:r>
        <w:rPr>
          <w:spacing w:val="-7"/>
        </w:rPr>
        <w:t> </w:t>
      </w:r>
      <w:r>
        <w:rPr/>
        <w:t>still</w:t>
      </w:r>
      <w:r>
        <w:rPr>
          <w:spacing w:val="-7"/>
        </w:rPr>
        <w:t> </w:t>
      </w:r>
      <w:r>
        <w:rPr/>
        <w:t>depend</w:t>
      </w:r>
      <w:r>
        <w:rPr>
          <w:spacing w:val="-9"/>
        </w:rPr>
        <w:t> </w:t>
      </w:r>
      <w:r>
        <w:rPr/>
        <w:t>on</w:t>
      </w:r>
      <w:r>
        <w:rPr>
          <w:spacing w:val="-6"/>
        </w:rPr>
        <w:t> </w:t>
      </w:r>
      <w:r>
        <w:rPr/>
        <w:t>cyclical</w:t>
      </w:r>
      <w:r>
        <w:rPr>
          <w:spacing w:val="-8"/>
        </w:rPr>
        <w:t> </w:t>
      </w:r>
      <w:r>
        <w:rPr/>
        <w:t>windows</w:t>
      </w:r>
      <w:r>
        <w:rPr>
          <w:spacing w:val="-8"/>
        </w:rPr>
        <w:t> </w:t>
      </w:r>
      <w:r>
        <w:rPr/>
        <w:t>of</w:t>
      </w:r>
      <w:r>
        <w:rPr>
          <w:spacing w:val="-9"/>
        </w:rPr>
        <w:t> </w:t>
      </w:r>
      <w:r>
        <w:rPr/>
        <w:t>investor</w:t>
      </w:r>
      <w:r>
        <w:rPr>
          <w:spacing w:val="-8"/>
        </w:rPr>
        <w:t> </w:t>
      </w:r>
      <w:r>
        <w:rPr/>
        <w:t>sentiment.</w:t>
      </w:r>
      <w:r>
        <w:rPr>
          <w:spacing w:val="-9"/>
        </w:rPr>
        <w:t> </w:t>
      </w:r>
      <w:r>
        <w:rPr/>
        <w:t>Bain</w:t>
      </w:r>
      <w:r>
        <w:rPr>
          <w:spacing w:val="-7"/>
        </w:rPr>
        <w:t> </w:t>
      </w:r>
      <w:r>
        <w:rPr/>
        <w:t>&amp;</w:t>
      </w:r>
      <w:r>
        <w:rPr>
          <w:spacing w:val="-7"/>
        </w:rPr>
        <w:t> </w:t>
      </w:r>
      <w:r>
        <w:rPr>
          <w:spacing w:val="-2"/>
        </w:rPr>
        <w:t>Company</w:t>
      </w:r>
    </w:p>
    <w:p>
      <w:pPr>
        <w:pStyle w:val="BodyText"/>
        <w:spacing w:after="0" w:line="360" w:lineRule="auto"/>
        <w:jc w:val="both"/>
        <w:sectPr>
          <w:pgSz w:w="11910" w:h="16840"/>
          <w:pgMar w:header="0" w:footer="1009" w:top="1360" w:bottom="1280" w:left="1417" w:right="1417"/>
        </w:sectPr>
      </w:pPr>
    </w:p>
    <w:p>
      <w:pPr>
        <w:pStyle w:val="BodyText"/>
        <w:spacing w:line="360" w:lineRule="auto" w:before="61"/>
        <w:ind w:left="23" w:right="18"/>
        <w:jc w:val="both"/>
      </w:pPr>
      <w:r>
        <w:rPr/>
        <w:t>(2025) confirms that IPOs and block trades together represented nearly 60 percent of India’s total exit value in 2024, underscoring how capital-market depth has improved since the mid- </w:t>
      </w:r>
      <w:r>
        <w:rPr>
          <w:spacing w:val="-2"/>
        </w:rPr>
        <w:t>2010s.</w:t>
      </w:r>
    </w:p>
    <w:p>
      <w:pPr>
        <w:pStyle w:val="BodyText"/>
        <w:spacing w:line="360" w:lineRule="auto" w:before="160"/>
        <w:ind w:left="23" w:right="17"/>
        <w:jc w:val="both"/>
      </w:pPr>
      <w:r>
        <w:rPr/>
        <w:t>Alongside IPOs, negotiated exits such as mergers and acquisitions (M&amp;A), secondary sales, and buybacks also play a major complementary role. Dominic and Joseph (2023) report that most</w:t>
      </w:r>
      <w:r>
        <w:rPr>
          <w:spacing w:val="-4"/>
        </w:rPr>
        <w:t> </w:t>
      </w:r>
      <w:r>
        <w:rPr/>
        <w:t>Indian</w:t>
      </w:r>
      <w:r>
        <w:rPr>
          <w:spacing w:val="-5"/>
        </w:rPr>
        <w:t> </w:t>
      </w:r>
      <w:r>
        <w:rPr/>
        <w:t>exits</w:t>
      </w:r>
      <w:r>
        <w:rPr>
          <w:spacing w:val="-5"/>
        </w:rPr>
        <w:t> </w:t>
      </w:r>
      <w:r>
        <w:rPr/>
        <w:t>occur</w:t>
      </w:r>
      <w:r>
        <w:rPr>
          <w:spacing w:val="-6"/>
        </w:rPr>
        <w:t> </w:t>
      </w:r>
      <w:r>
        <w:rPr/>
        <w:t>through</w:t>
      </w:r>
      <w:r>
        <w:rPr>
          <w:spacing w:val="-5"/>
        </w:rPr>
        <w:t> </w:t>
      </w:r>
      <w:r>
        <w:rPr/>
        <w:t>these</w:t>
      </w:r>
      <w:r>
        <w:rPr>
          <w:spacing w:val="-4"/>
        </w:rPr>
        <w:t> </w:t>
      </w:r>
      <w:r>
        <w:rPr/>
        <w:t>negotiated</w:t>
      </w:r>
      <w:r>
        <w:rPr>
          <w:spacing w:val="-2"/>
        </w:rPr>
        <w:t> </w:t>
      </w:r>
      <w:r>
        <w:rPr/>
        <w:t>routes,</w:t>
      </w:r>
      <w:r>
        <w:rPr>
          <w:spacing w:val="-5"/>
        </w:rPr>
        <w:t> </w:t>
      </w:r>
      <w:r>
        <w:rPr/>
        <w:t>which</w:t>
      </w:r>
      <w:r>
        <w:rPr>
          <w:spacing w:val="-2"/>
        </w:rPr>
        <w:t> </w:t>
      </w:r>
      <w:r>
        <w:rPr/>
        <w:t>allow</w:t>
      </w:r>
      <w:r>
        <w:rPr>
          <w:spacing w:val="-5"/>
        </w:rPr>
        <w:t> </w:t>
      </w:r>
      <w:r>
        <w:rPr/>
        <w:t>quicker</w:t>
      </w:r>
      <w:r>
        <w:rPr>
          <w:spacing w:val="-6"/>
        </w:rPr>
        <w:t> </w:t>
      </w:r>
      <w:r>
        <w:rPr/>
        <w:t>capital</w:t>
      </w:r>
      <w:r>
        <w:rPr>
          <w:spacing w:val="-4"/>
        </w:rPr>
        <w:t> </w:t>
      </w:r>
      <w:r>
        <w:rPr/>
        <w:t>recycling and</w:t>
      </w:r>
      <w:r>
        <w:rPr>
          <w:spacing w:val="-12"/>
        </w:rPr>
        <w:t> </w:t>
      </w:r>
      <w:r>
        <w:rPr/>
        <w:t>flexibility</w:t>
      </w:r>
      <w:r>
        <w:rPr>
          <w:spacing w:val="-12"/>
        </w:rPr>
        <w:t> </w:t>
      </w:r>
      <w:r>
        <w:rPr/>
        <w:t>in</w:t>
      </w:r>
      <w:r>
        <w:rPr>
          <w:spacing w:val="-12"/>
        </w:rPr>
        <w:t> </w:t>
      </w:r>
      <w:r>
        <w:rPr/>
        <w:t>valuation.</w:t>
      </w:r>
      <w:r>
        <w:rPr>
          <w:spacing w:val="-14"/>
        </w:rPr>
        <w:t> </w:t>
      </w:r>
      <w:r>
        <w:rPr/>
        <w:t>Their</w:t>
      </w:r>
      <w:r>
        <w:rPr>
          <w:spacing w:val="-12"/>
        </w:rPr>
        <w:t> </w:t>
      </w:r>
      <w:r>
        <w:rPr/>
        <w:t>analysis</w:t>
      </w:r>
      <w:r>
        <w:rPr>
          <w:spacing w:val="-9"/>
        </w:rPr>
        <w:t> </w:t>
      </w:r>
      <w:r>
        <w:rPr/>
        <w:t>also</w:t>
      </w:r>
      <w:r>
        <w:rPr>
          <w:spacing w:val="-11"/>
        </w:rPr>
        <w:t> </w:t>
      </w:r>
      <w:r>
        <w:rPr/>
        <w:t>shows</w:t>
      </w:r>
      <w:r>
        <w:rPr>
          <w:spacing w:val="-12"/>
        </w:rPr>
        <w:t> </w:t>
      </w:r>
      <w:r>
        <w:rPr/>
        <w:t>that</w:t>
      </w:r>
      <w:r>
        <w:rPr>
          <w:spacing w:val="-12"/>
        </w:rPr>
        <w:t> </w:t>
      </w:r>
      <w:r>
        <w:rPr/>
        <w:t>shorter</w:t>
      </w:r>
      <w:r>
        <w:rPr>
          <w:spacing w:val="-11"/>
        </w:rPr>
        <w:t> </w:t>
      </w:r>
      <w:r>
        <w:rPr/>
        <w:t>holding</w:t>
      </w:r>
      <w:r>
        <w:rPr>
          <w:spacing w:val="-12"/>
        </w:rPr>
        <w:t> </w:t>
      </w:r>
      <w:r>
        <w:rPr/>
        <w:t>periods</w:t>
      </w:r>
      <w:r>
        <w:rPr>
          <w:spacing w:val="-12"/>
        </w:rPr>
        <w:t> </w:t>
      </w:r>
      <w:r>
        <w:rPr/>
        <w:t>are</w:t>
      </w:r>
      <w:r>
        <w:rPr>
          <w:spacing w:val="-13"/>
        </w:rPr>
        <w:t> </w:t>
      </w:r>
      <w:r>
        <w:rPr/>
        <w:t>generally linked to stronger realised returns, suggesting that timing discipline is as important as the choice of exit route. Sector studies reinforce this view. Gohil (2023) found that in India’s FinTech space, more than two-thirds of exits take place through M&amp;A, as acquirers seek technology</w:t>
      </w:r>
      <w:r>
        <w:rPr>
          <w:spacing w:val="-8"/>
        </w:rPr>
        <w:t> </w:t>
      </w:r>
      <w:r>
        <w:rPr/>
        <w:t>integration</w:t>
      </w:r>
      <w:r>
        <w:rPr>
          <w:spacing w:val="-6"/>
        </w:rPr>
        <w:t> </w:t>
      </w:r>
      <w:r>
        <w:rPr/>
        <w:t>rather</w:t>
      </w:r>
      <w:r>
        <w:rPr>
          <w:spacing w:val="-9"/>
        </w:rPr>
        <w:t> </w:t>
      </w:r>
      <w:r>
        <w:rPr/>
        <w:t>than</w:t>
      </w:r>
      <w:r>
        <w:rPr>
          <w:spacing w:val="-7"/>
        </w:rPr>
        <w:t> </w:t>
      </w:r>
      <w:r>
        <w:rPr/>
        <w:t>public</w:t>
      </w:r>
      <w:r>
        <w:rPr>
          <w:spacing w:val="-9"/>
        </w:rPr>
        <w:t> </w:t>
      </w:r>
      <w:r>
        <w:rPr/>
        <w:t>listings.</w:t>
      </w:r>
      <w:r>
        <w:rPr>
          <w:spacing w:val="-8"/>
        </w:rPr>
        <w:t> </w:t>
      </w:r>
      <w:r>
        <w:rPr/>
        <w:t>In</w:t>
      </w:r>
      <w:r>
        <w:rPr>
          <w:spacing w:val="-8"/>
        </w:rPr>
        <w:t> </w:t>
      </w:r>
      <w:r>
        <w:rPr/>
        <w:t>infrastructure</w:t>
      </w:r>
      <w:r>
        <w:rPr>
          <w:spacing w:val="-7"/>
        </w:rPr>
        <w:t> </w:t>
      </w:r>
      <w:r>
        <w:rPr/>
        <w:t>and</w:t>
      </w:r>
      <w:r>
        <w:rPr>
          <w:spacing w:val="-6"/>
        </w:rPr>
        <w:t> </w:t>
      </w:r>
      <w:r>
        <w:rPr/>
        <w:t>real-estate</w:t>
      </w:r>
      <w:r>
        <w:rPr>
          <w:spacing w:val="-9"/>
        </w:rPr>
        <w:t> </w:t>
      </w:r>
      <w:r>
        <w:rPr/>
        <w:t>investments, by</w:t>
      </w:r>
      <w:r>
        <w:rPr>
          <w:spacing w:val="-5"/>
        </w:rPr>
        <w:t> </w:t>
      </w:r>
      <w:r>
        <w:rPr/>
        <w:t>contrast,</w:t>
      </w:r>
      <w:r>
        <w:rPr>
          <w:spacing w:val="-3"/>
        </w:rPr>
        <w:t> </w:t>
      </w:r>
      <w:r>
        <w:rPr/>
        <w:t>exits</w:t>
      </w:r>
      <w:r>
        <w:rPr>
          <w:spacing w:val="-6"/>
        </w:rPr>
        <w:t> </w:t>
      </w:r>
      <w:r>
        <w:rPr/>
        <w:t>often</w:t>
      </w:r>
      <w:r>
        <w:rPr>
          <w:spacing w:val="-3"/>
        </w:rPr>
        <w:t> </w:t>
      </w:r>
      <w:r>
        <w:rPr/>
        <w:t>rely</w:t>
      </w:r>
      <w:r>
        <w:rPr>
          <w:spacing w:val="-5"/>
        </w:rPr>
        <w:t> </w:t>
      </w:r>
      <w:r>
        <w:rPr/>
        <w:t>on</w:t>
      </w:r>
      <w:r>
        <w:rPr>
          <w:spacing w:val="-5"/>
        </w:rPr>
        <w:t> </w:t>
      </w:r>
      <w:r>
        <w:rPr/>
        <w:t>longer-term</w:t>
      </w:r>
      <w:r>
        <w:rPr>
          <w:spacing w:val="-5"/>
        </w:rPr>
        <w:t> </w:t>
      </w:r>
      <w:r>
        <w:rPr/>
        <w:t>structures</w:t>
      </w:r>
      <w:r>
        <w:rPr>
          <w:spacing w:val="-6"/>
        </w:rPr>
        <w:t> </w:t>
      </w:r>
      <w:r>
        <w:rPr/>
        <w:t>such</w:t>
      </w:r>
      <w:r>
        <w:rPr>
          <w:spacing w:val="-4"/>
        </w:rPr>
        <w:t> </w:t>
      </w:r>
      <w:r>
        <w:rPr/>
        <w:t>as</w:t>
      </w:r>
      <w:r>
        <w:rPr>
          <w:spacing w:val="-6"/>
        </w:rPr>
        <w:t> </w:t>
      </w:r>
      <w:r>
        <w:rPr/>
        <w:t>REITs</w:t>
      </w:r>
      <w:r>
        <w:rPr>
          <w:spacing w:val="-6"/>
        </w:rPr>
        <w:t> </w:t>
      </w:r>
      <w:r>
        <w:rPr/>
        <w:t>and</w:t>
      </w:r>
      <w:r>
        <w:rPr>
          <w:spacing w:val="-3"/>
        </w:rPr>
        <w:t> </w:t>
      </w:r>
      <w:r>
        <w:rPr/>
        <w:t>InvITs,</w:t>
      </w:r>
      <w:r>
        <w:rPr>
          <w:spacing w:val="-5"/>
        </w:rPr>
        <w:t> </w:t>
      </w:r>
      <w:r>
        <w:rPr/>
        <w:t>reflecting</w:t>
      </w:r>
      <w:r>
        <w:rPr>
          <w:spacing w:val="-5"/>
        </w:rPr>
        <w:t> </w:t>
      </w:r>
      <w:r>
        <w:rPr/>
        <w:t>the slower</w:t>
      </w:r>
      <w:r>
        <w:rPr>
          <w:spacing w:val="-1"/>
        </w:rPr>
        <w:t> </w:t>
      </w:r>
      <w:r>
        <w:rPr/>
        <w:t>payback profile</w:t>
      </w:r>
      <w:r>
        <w:rPr>
          <w:spacing w:val="-1"/>
        </w:rPr>
        <w:t> </w:t>
      </w:r>
      <w:r>
        <w:rPr/>
        <w:t>of</w:t>
      </w:r>
      <w:r>
        <w:rPr>
          <w:spacing w:val="-1"/>
        </w:rPr>
        <w:t> </w:t>
      </w:r>
      <w:r>
        <w:rPr/>
        <w:t>those</w:t>
      </w:r>
      <w:r>
        <w:rPr>
          <w:spacing w:val="-1"/>
        </w:rPr>
        <w:t> </w:t>
      </w:r>
      <w:r>
        <w:rPr/>
        <w:t>assets.</w:t>
      </w:r>
      <w:r>
        <w:rPr>
          <w:spacing w:val="-3"/>
        </w:rPr>
        <w:t> </w:t>
      </w:r>
      <w:r>
        <w:rPr/>
        <w:t>These</w:t>
      </w:r>
      <w:r>
        <w:rPr>
          <w:spacing w:val="-1"/>
        </w:rPr>
        <w:t> </w:t>
      </w:r>
      <w:r>
        <w:rPr/>
        <w:t>patterns</w:t>
      </w:r>
      <w:r>
        <w:rPr>
          <w:spacing w:val="-1"/>
        </w:rPr>
        <w:t> </w:t>
      </w:r>
      <w:r>
        <w:rPr/>
        <w:t>show</w:t>
      </w:r>
      <w:r>
        <w:rPr>
          <w:spacing w:val="-1"/>
        </w:rPr>
        <w:t> </w:t>
      </w:r>
      <w:r>
        <w:rPr/>
        <w:t>that the effectiveness of each exit route depends strongly on sector dynamics and deal structure rather than on any single dominant model.</w:t>
      </w:r>
    </w:p>
    <w:p>
      <w:pPr>
        <w:pStyle w:val="BodyText"/>
        <w:spacing w:line="360" w:lineRule="auto" w:before="162"/>
        <w:ind w:left="23" w:right="17"/>
        <w:jc w:val="both"/>
      </w:pPr>
      <w:r>
        <w:rPr/>
        <w:t>Institutional</w:t>
      </w:r>
      <w:r>
        <w:rPr>
          <w:spacing w:val="-10"/>
        </w:rPr>
        <w:t> </w:t>
      </w:r>
      <w:r>
        <w:rPr/>
        <w:t>reforms</w:t>
      </w:r>
      <w:r>
        <w:rPr>
          <w:spacing w:val="-10"/>
        </w:rPr>
        <w:t> </w:t>
      </w:r>
      <w:r>
        <w:rPr/>
        <w:t>have</w:t>
      </w:r>
      <w:r>
        <w:rPr>
          <w:spacing w:val="-11"/>
        </w:rPr>
        <w:t> </w:t>
      </w:r>
      <w:r>
        <w:rPr/>
        <w:t>also</w:t>
      </w:r>
      <w:r>
        <w:rPr>
          <w:spacing w:val="-10"/>
        </w:rPr>
        <w:t> </w:t>
      </w:r>
      <w:r>
        <w:rPr/>
        <w:t>improved</w:t>
      </w:r>
      <w:r>
        <w:rPr>
          <w:spacing w:val="-10"/>
        </w:rPr>
        <w:t> </w:t>
      </w:r>
      <w:r>
        <w:rPr/>
        <w:t>exit</w:t>
      </w:r>
      <w:r>
        <w:rPr>
          <w:spacing w:val="-10"/>
        </w:rPr>
        <w:t> </w:t>
      </w:r>
      <w:r>
        <w:rPr/>
        <w:t>efficiency.</w:t>
      </w:r>
      <w:r>
        <w:rPr>
          <w:spacing w:val="-14"/>
        </w:rPr>
        <w:t> </w:t>
      </w:r>
      <w:r>
        <w:rPr/>
        <w:t>The</w:t>
      </w:r>
      <w:r>
        <w:rPr>
          <w:spacing w:val="-11"/>
        </w:rPr>
        <w:t> </w:t>
      </w:r>
      <w:r>
        <w:rPr/>
        <w:t>Insolvency</w:t>
      </w:r>
      <w:r>
        <w:rPr>
          <w:spacing w:val="-10"/>
        </w:rPr>
        <w:t> </w:t>
      </w:r>
      <w:r>
        <w:rPr/>
        <w:t>and</w:t>
      </w:r>
      <w:r>
        <w:rPr>
          <w:spacing w:val="-10"/>
        </w:rPr>
        <w:t> </w:t>
      </w:r>
      <w:r>
        <w:rPr/>
        <w:t>Bankruptcy</w:t>
      </w:r>
      <w:r>
        <w:rPr>
          <w:spacing w:val="-11"/>
        </w:rPr>
        <w:t> </w:t>
      </w:r>
      <w:r>
        <w:rPr/>
        <w:t>Code (2016) has shortened resolution timelines and increased confidence in distressed-asset sales, while clearer disclosure and enforcement standards have raised the credibility of both public </w:t>
      </w:r>
      <w:r>
        <w:rPr>
          <w:spacing w:val="-2"/>
        </w:rPr>
        <w:t>and</w:t>
      </w:r>
      <w:r>
        <w:rPr>
          <w:spacing w:val="-6"/>
        </w:rPr>
        <w:t> </w:t>
      </w:r>
      <w:r>
        <w:rPr>
          <w:spacing w:val="-2"/>
        </w:rPr>
        <w:t>negotiated</w:t>
      </w:r>
      <w:r>
        <w:rPr>
          <w:spacing w:val="-6"/>
        </w:rPr>
        <w:t> </w:t>
      </w:r>
      <w:r>
        <w:rPr>
          <w:spacing w:val="-2"/>
        </w:rPr>
        <w:t>exits.</w:t>
      </w:r>
      <w:r>
        <w:rPr>
          <w:spacing w:val="-6"/>
        </w:rPr>
        <w:t> </w:t>
      </w:r>
      <w:r>
        <w:rPr>
          <w:spacing w:val="-2"/>
        </w:rPr>
        <w:t>Industry</w:t>
      </w:r>
      <w:r>
        <w:rPr>
          <w:spacing w:val="-6"/>
        </w:rPr>
        <w:t> </w:t>
      </w:r>
      <w:r>
        <w:rPr>
          <w:spacing w:val="-2"/>
        </w:rPr>
        <w:t>evidence</w:t>
      </w:r>
      <w:r>
        <w:rPr>
          <w:spacing w:val="-6"/>
        </w:rPr>
        <w:t> </w:t>
      </w:r>
      <w:r>
        <w:rPr>
          <w:spacing w:val="-2"/>
        </w:rPr>
        <w:t>(Bain</w:t>
      </w:r>
      <w:r>
        <w:rPr>
          <w:spacing w:val="-5"/>
        </w:rPr>
        <w:t> </w:t>
      </w:r>
      <w:r>
        <w:rPr>
          <w:spacing w:val="-2"/>
        </w:rPr>
        <w:t>&amp;</w:t>
      </w:r>
      <w:r>
        <w:rPr>
          <w:spacing w:val="-5"/>
        </w:rPr>
        <w:t> </w:t>
      </w:r>
      <w:r>
        <w:rPr>
          <w:spacing w:val="-2"/>
        </w:rPr>
        <w:t>Company,</w:t>
      </w:r>
      <w:r>
        <w:rPr>
          <w:spacing w:val="-6"/>
        </w:rPr>
        <w:t> </w:t>
      </w:r>
      <w:r>
        <w:rPr>
          <w:spacing w:val="-2"/>
        </w:rPr>
        <w:t>2025;</w:t>
      </w:r>
      <w:r>
        <w:rPr>
          <w:spacing w:val="-5"/>
        </w:rPr>
        <w:t> </w:t>
      </w:r>
      <w:r>
        <w:rPr>
          <w:spacing w:val="-2"/>
        </w:rPr>
        <w:t>Chambers</w:t>
      </w:r>
      <w:r>
        <w:rPr>
          <w:spacing w:val="-6"/>
        </w:rPr>
        <w:t> </w:t>
      </w:r>
      <w:r>
        <w:rPr>
          <w:spacing w:val="-2"/>
        </w:rPr>
        <w:t>and</w:t>
      </w:r>
      <w:r>
        <w:rPr>
          <w:spacing w:val="-6"/>
        </w:rPr>
        <w:t> </w:t>
      </w:r>
      <w:r>
        <w:rPr>
          <w:spacing w:val="-2"/>
        </w:rPr>
        <w:t>Partners,</w:t>
      </w:r>
      <w:r>
        <w:rPr>
          <w:spacing w:val="-6"/>
        </w:rPr>
        <w:t> </w:t>
      </w:r>
      <w:r>
        <w:rPr>
          <w:spacing w:val="-2"/>
        </w:rPr>
        <w:t>2025) </w:t>
      </w:r>
      <w:r>
        <w:rPr/>
        <w:t>highlights that overall exit activity reached roughly USD 33 billion in 2024, which is the highest level since 2018, driven by public listings, strategic sales, and a growing secondary market. Together, these developments suggest that India’s exit ecosystem, once a key constraint,</w:t>
      </w:r>
      <w:r>
        <w:rPr>
          <w:spacing w:val="-11"/>
        </w:rPr>
        <w:t> </w:t>
      </w:r>
      <w:r>
        <w:rPr/>
        <w:t>has</w:t>
      </w:r>
      <w:r>
        <w:rPr>
          <w:spacing w:val="-11"/>
        </w:rPr>
        <w:t> </w:t>
      </w:r>
      <w:r>
        <w:rPr/>
        <w:t>evolved</w:t>
      </w:r>
      <w:r>
        <w:rPr>
          <w:spacing w:val="-12"/>
        </w:rPr>
        <w:t> </w:t>
      </w:r>
      <w:r>
        <w:rPr/>
        <w:t>into</w:t>
      </w:r>
      <w:r>
        <w:rPr>
          <w:spacing w:val="-11"/>
        </w:rPr>
        <w:t> </w:t>
      </w:r>
      <w:r>
        <w:rPr/>
        <w:t>a</w:t>
      </w:r>
      <w:r>
        <w:rPr>
          <w:spacing w:val="-12"/>
        </w:rPr>
        <w:t> </w:t>
      </w:r>
      <w:r>
        <w:rPr/>
        <w:t>multi-channel</w:t>
      </w:r>
      <w:r>
        <w:rPr>
          <w:spacing w:val="-11"/>
        </w:rPr>
        <w:t> </w:t>
      </w:r>
      <w:r>
        <w:rPr/>
        <w:t>system</w:t>
      </w:r>
      <w:r>
        <w:rPr>
          <w:spacing w:val="-11"/>
        </w:rPr>
        <w:t> </w:t>
      </w:r>
      <w:r>
        <w:rPr/>
        <w:t>that</w:t>
      </w:r>
      <w:r>
        <w:rPr>
          <w:spacing w:val="-11"/>
        </w:rPr>
        <w:t> </w:t>
      </w:r>
      <w:r>
        <w:rPr/>
        <w:t>balances</w:t>
      </w:r>
      <w:r>
        <w:rPr>
          <w:spacing w:val="-11"/>
        </w:rPr>
        <w:t> </w:t>
      </w:r>
      <w:r>
        <w:rPr/>
        <w:t>liquidity,</w:t>
      </w:r>
      <w:r>
        <w:rPr>
          <w:spacing w:val="-15"/>
        </w:rPr>
        <w:t> </w:t>
      </w:r>
      <w:r>
        <w:rPr/>
        <w:t>governance</w:t>
      </w:r>
      <w:r>
        <w:rPr>
          <w:spacing w:val="-12"/>
        </w:rPr>
        <w:t> </w:t>
      </w:r>
      <w:r>
        <w:rPr/>
        <w:t>quality, and investor confidence.</w:t>
      </w:r>
    </w:p>
    <w:p>
      <w:pPr>
        <w:pStyle w:val="Heading3"/>
        <w:numPr>
          <w:ilvl w:val="2"/>
          <w:numId w:val="3"/>
        </w:numPr>
        <w:tabs>
          <w:tab w:pos="563" w:val="left" w:leader="none"/>
        </w:tabs>
        <w:spacing w:line="240" w:lineRule="auto" w:before="160" w:after="0"/>
        <w:ind w:left="563" w:right="0" w:hanging="540"/>
        <w:jc w:val="both"/>
      </w:pPr>
      <w:bookmarkStart w:name="_bookmark13" w:id="14"/>
      <w:bookmarkEnd w:id="14"/>
      <w:r>
        <w:rPr>
          <w:b w:val="0"/>
        </w:rPr>
      </w:r>
      <w:r>
        <w:rPr/>
        <w:t>Regional</w:t>
      </w:r>
      <w:r>
        <w:rPr>
          <w:spacing w:val="-5"/>
        </w:rPr>
        <w:t> </w:t>
      </w:r>
      <w:r>
        <w:rPr/>
        <w:t>comparison</w:t>
      </w:r>
      <w:r>
        <w:rPr>
          <w:spacing w:val="-4"/>
        </w:rPr>
        <w:t> </w:t>
      </w:r>
      <w:r>
        <w:rPr/>
        <w:t>and</w:t>
      </w:r>
      <w:r>
        <w:rPr>
          <w:spacing w:val="-6"/>
        </w:rPr>
        <w:t> </w:t>
      </w:r>
      <w:r>
        <w:rPr/>
        <w:t>recent</w:t>
      </w:r>
      <w:r>
        <w:rPr>
          <w:spacing w:val="-4"/>
        </w:rPr>
        <w:t> </w:t>
      </w:r>
      <w:r>
        <w:rPr>
          <w:spacing w:val="-2"/>
        </w:rPr>
        <w:t>maturity</w:t>
      </w:r>
    </w:p>
    <w:p>
      <w:pPr>
        <w:pStyle w:val="BodyText"/>
        <w:spacing w:line="360" w:lineRule="auto" w:before="216"/>
        <w:ind w:left="23" w:right="18"/>
        <w:jc w:val="both"/>
      </w:pPr>
      <w:r>
        <w:rPr/>
        <w:t>Comparative</w:t>
      </w:r>
      <w:r>
        <w:rPr>
          <w:spacing w:val="-1"/>
        </w:rPr>
        <w:t> </w:t>
      </w:r>
      <w:r>
        <w:rPr/>
        <w:t>research positions India</w:t>
      </w:r>
      <w:r>
        <w:rPr>
          <w:spacing w:val="-1"/>
        </w:rPr>
        <w:t> </w:t>
      </w:r>
      <w:r>
        <w:rPr/>
        <w:t>as a</w:t>
      </w:r>
      <w:r>
        <w:rPr>
          <w:spacing w:val="-1"/>
        </w:rPr>
        <w:t> </w:t>
      </w:r>
      <w:r>
        <w:rPr/>
        <w:t>leading private</w:t>
      </w:r>
      <w:r>
        <w:rPr>
          <w:spacing w:val="-1"/>
        </w:rPr>
        <w:t> </w:t>
      </w:r>
      <w:r>
        <w:rPr/>
        <w:t>equity (PE) destination within</w:t>
      </w:r>
      <w:r>
        <w:rPr>
          <w:spacing w:val="-14"/>
        </w:rPr>
        <w:t> </w:t>
      </w:r>
      <w:r>
        <w:rPr/>
        <w:t>Asia. Klonowski</w:t>
      </w:r>
      <w:r>
        <w:rPr>
          <w:spacing w:val="-8"/>
        </w:rPr>
        <w:t> </w:t>
      </w:r>
      <w:r>
        <w:rPr/>
        <w:t>(2012)</w:t>
      </w:r>
      <w:r>
        <w:rPr>
          <w:spacing w:val="-9"/>
        </w:rPr>
        <w:t> </w:t>
      </w:r>
      <w:r>
        <w:rPr/>
        <w:t>identified</w:t>
      </w:r>
      <w:r>
        <w:rPr>
          <w:spacing w:val="-8"/>
        </w:rPr>
        <w:t> </w:t>
      </w:r>
      <w:r>
        <w:rPr/>
        <w:t>India’s</w:t>
      </w:r>
      <w:r>
        <w:rPr>
          <w:spacing w:val="-8"/>
        </w:rPr>
        <w:t> </w:t>
      </w:r>
      <w:r>
        <w:rPr/>
        <w:t>rapid</w:t>
      </w:r>
      <w:r>
        <w:rPr>
          <w:spacing w:val="-7"/>
        </w:rPr>
        <w:t> </w:t>
      </w:r>
      <w:r>
        <w:rPr/>
        <w:t>growth,</w:t>
      </w:r>
      <w:r>
        <w:rPr>
          <w:spacing w:val="-5"/>
        </w:rPr>
        <w:t> </w:t>
      </w:r>
      <w:r>
        <w:rPr/>
        <w:t>entrepreneurial</w:t>
      </w:r>
      <w:r>
        <w:rPr>
          <w:spacing w:val="-7"/>
        </w:rPr>
        <w:t> </w:t>
      </w:r>
      <w:r>
        <w:rPr/>
        <w:t>base,</w:t>
      </w:r>
      <w:r>
        <w:rPr>
          <w:spacing w:val="-8"/>
        </w:rPr>
        <w:t> </w:t>
      </w:r>
      <w:r>
        <w:rPr/>
        <w:t>and</w:t>
      </w:r>
      <w:r>
        <w:rPr>
          <w:spacing w:val="-6"/>
        </w:rPr>
        <w:t> </w:t>
      </w:r>
      <w:r>
        <w:rPr/>
        <w:t>expanding</w:t>
      </w:r>
      <w:r>
        <w:rPr>
          <w:spacing w:val="-7"/>
        </w:rPr>
        <w:t> </w:t>
      </w:r>
      <w:r>
        <w:rPr/>
        <w:t>middle class as natural drivers of investment. Later studies by Thanusree and Chinnasamy (2024) confirmed that strong GDP growth, rising R&amp;D activity, and active IPO markets make India especially attractive compared with its regional peers.</w:t>
      </w:r>
    </w:p>
    <w:p>
      <w:pPr>
        <w:pStyle w:val="BodyText"/>
        <w:spacing w:line="360" w:lineRule="auto" w:before="163"/>
        <w:ind w:left="23" w:right="20"/>
        <w:jc w:val="both"/>
      </w:pPr>
      <w:r>
        <w:rPr/>
        <w:t>Industry reports show how this plays out in practice. Chambers and Partners (2025) describe India</w:t>
      </w:r>
      <w:r>
        <w:rPr>
          <w:spacing w:val="13"/>
        </w:rPr>
        <w:t> </w:t>
      </w:r>
      <w:r>
        <w:rPr/>
        <w:t>as</w:t>
      </w:r>
      <w:r>
        <w:rPr>
          <w:spacing w:val="14"/>
        </w:rPr>
        <w:t> </w:t>
      </w:r>
      <w:r>
        <w:rPr/>
        <w:t>one</w:t>
      </w:r>
      <w:r>
        <w:rPr>
          <w:spacing w:val="13"/>
        </w:rPr>
        <w:t> </w:t>
      </w:r>
      <w:r>
        <w:rPr/>
        <w:t>of</w:t>
      </w:r>
      <w:r>
        <w:rPr>
          <w:spacing w:val="13"/>
        </w:rPr>
        <w:t> </w:t>
      </w:r>
      <w:r>
        <w:rPr/>
        <w:t>the</w:t>
      </w:r>
      <w:r>
        <w:rPr>
          <w:spacing w:val="15"/>
        </w:rPr>
        <w:t> </w:t>
      </w:r>
      <w:r>
        <w:rPr/>
        <w:t>most</w:t>
      </w:r>
      <w:r>
        <w:rPr>
          <w:spacing w:val="15"/>
        </w:rPr>
        <w:t> </w:t>
      </w:r>
      <w:r>
        <w:rPr/>
        <w:t>active</w:t>
      </w:r>
      <w:r>
        <w:rPr>
          <w:spacing w:val="13"/>
        </w:rPr>
        <w:t> </w:t>
      </w:r>
      <w:r>
        <w:rPr/>
        <w:t>PE</w:t>
      </w:r>
      <w:r>
        <w:rPr>
          <w:spacing w:val="14"/>
        </w:rPr>
        <w:t> </w:t>
      </w:r>
      <w:r>
        <w:rPr/>
        <w:t>and</w:t>
      </w:r>
      <w:r>
        <w:rPr>
          <w:spacing w:val="14"/>
        </w:rPr>
        <w:t> </w:t>
      </w:r>
      <w:r>
        <w:rPr/>
        <w:t>IPO</w:t>
      </w:r>
      <w:r>
        <w:rPr>
          <w:spacing w:val="15"/>
        </w:rPr>
        <w:t> </w:t>
      </w:r>
      <w:r>
        <w:rPr/>
        <w:t>markets</w:t>
      </w:r>
      <w:r>
        <w:rPr>
          <w:spacing w:val="15"/>
        </w:rPr>
        <w:t> </w:t>
      </w:r>
      <w:r>
        <w:rPr/>
        <w:t>globally,</w:t>
      </w:r>
      <w:r>
        <w:rPr>
          <w:spacing w:val="14"/>
        </w:rPr>
        <w:t> </w:t>
      </w:r>
      <w:r>
        <w:rPr/>
        <w:t>withstanding</w:t>
      </w:r>
      <w:r>
        <w:rPr>
          <w:spacing w:val="14"/>
        </w:rPr>
        <w:t> </w:t>
      </w:r>
      <w:r>
        <w:rPr/>
        <w:t>global</w:t>
      </w:r>
      <w:r>
        <w:rPr>
          <w:spacing w:val="15"/>
        </w:rPr>
        <w:t> </w:t>
      </w:r>
      <w:r>
        <w:rPr>
          <w:spacing w:val="-2"/>
        </w:rPr>
        <w:t>economic</w:t>
      </w:r>
    </w:p>
    <w:p>
      <w:pPr>
        <w:pStyle w:val="BodyText"/>
        <w:spacing w:after="0" w:line="360" w:lineRule="auto"/>
        <w:jc w:val="both"/>
        <w:sectPr>
          <w:pgSz w:w="11910" w:h="16840"/>
          <w:pgMar w:header="0" w:footer="1009" w:top="1360" w:bottom="1280" w:left="1417" w:right="1417"/>
        </w:sectPr>
      </w:pPr>
    </w:p>
    <w:p>
      <w:pPr>
        <w:pStyle w:val="BodyText"/>
        <w:spacing w:line="360" w:lineRule="auto" w:before="61"/>
        <w:ind w:left="23" w:right="21"/>
        <w:jc w:val="both"/>
      </w:pPr>
      <w:r>
        <w:rPr/>
        <w:t>pressures. Domestic firms such as ChrysCapital, Multiples, and Kedaara now lead large transactions that were once dominated by foreign sponsors. Bain &amp; Company (2025) and Khaitan &amp; Co (2025) note that deal sizes are rising, compliance standards are tighter, and domestic</w:t>
      </w:r>
      <w:r>
        <w:rPr>
          <w:spacing w:val="-15"/>
        </w:rPr>
        <w:t> </w:t>
      </w:r>
      <w:r>
        <w:rPr/>
        <w:t>investors</w:t>
      </w:r>
      <w:r>
        <w:rPr>
          <w:spacing w:val="-15"/>
        </w:rPr>
        <w:t> </w:t>
      </w:r>
      <w:r>
        <w:rPr/>
        <w:t>and</w:t>
      </w:r>
      <w:r>
        <w:rPr>
          <w:spacing w:val="-15"/>
        </w:rPr>
        <w:t> </w:t>
      </w:r>
      <w:r>
        <w:rPr/>
        <w:t>corporate</w:t>
      </w:r>
      <w:r>
        <w:rPr>
          <w:spacing w:val="-15"/>
        </w:rPr>
        <w:t> </w:t>
      </w:r>
      <w:r>
        <w:rPr/>
        <w:t>treasuries</w:t>
      </w:r>
      <w:r>
        <w:rPr>
          <w:spacing w:val="-12"/>
        </w:rPr>
        <w:t> </w:t>
      </w:r>
      <w:r>
        <w:rPr/>
        <w:t>are</w:t>
      </w:r>
      <w:r>
        <w:rPr>
          <w:spacing w:val="-15"/>
        </w:rPr>
        <w:t> </w:t>
      </w:r>
      <w:r>
        <w:rPr/>
        <w:t>increasingly</w:t>
      </w:r>
      <w:r>
        <w:rPr>
          <w:spacing w:val="-13"/>
        </w:rPr>
        <w:t> </w:t>
      </w:r>
      <w:r>
        <w:rPr/>
        <w:t>providing</w:t>
      </w:r>
      <w:r>
        <w:rPr>
          <w:spacing w:val="-13"/>
        </w:rPr>
        <w:t> </w:t>
      </w:r>
      <w:r>
        <w:rPr/>
        <w:t>capital.</w:t>
      </w:r>
      <w:r>
        <w:rPr>
          <w:spacing w:val="-15"/>
        </w:rPr>
        <w:t> </w:t>
      </w:r>
      <w:r>
        <w:rPr/>
        <w:t>As</w:t>
      </w:r>
      <w:r>
        <w:rPr>
          <w:spacing w:val="-13"/>
        </w:rPr>
        <w:t> </w:t>
      </w:r>
      <w:r>
        <w:rPr/>
        <w:t>local</w:t>
      </w:r>
      <w:r>
        <w:rPr>
          <w:spacing w:val="-13"/>
        </w:rPr>
        <w:t> </w:t>
      </w:r>
      <w:r>
        <w:rPr/>
        <w:t>funding deepens, decisions are faster, and funds stay more involved in operations rather than acting only as financiers.</w:t>
      </w:r>
    </w:p>
    <w:p>
      <w:pPr>
        <w:pStyle w:val="BodyText"/>
        <w:spacing w:line="360" w:lineRule="auto" w:before="161"/>
        <w:ind w:left="23" w:right="20"/>
        <w:jc w:val="both"/>
      </w:pPr>
      <w:r>
        <w:rPr/>
        <w:t>Overall, India is no longer seen merely as a high-growth market but as a mature and self- sustaining</w:t>
      </w:r>
      <w:r>
        <w:rPr>
          <w:spacing w:val="-15"/>
        </w:rPr>
        <w:t> </w:t>
      </w:r>
      <w:r>
        <w:rPr/>
        <w:t>ecosystem.</w:t>
      </w:r>
      <w:r>
        <w:rPr>
          <w:spacing w:val="-15"/>
        </w:rPr>
        <w:t> </w:t>
      </w:r>
      <w:r>
        <w:rPr/>
        <w:t>It</w:t>
      </w:r>
      <w:r>
        <w:rPr>
          <w:spacing w:val="-15"/>
        </w:rPr>
        <w:t> </w:t>
      </w:r>
      <w:r>
        <w:rPr/>
        <w:t>now</w:t>
      </w:r>
      <w:r>
        <w:rPr>
          <w:spacing w:val="-15"/>
        </w:rPr>
        <w:t> </w:t>
      </w:r>
      <w:r>
        <w:rPr/>
        <w:t>combines</w:t>
      </w:r>
      <w:r>
        <w:rPr>
          <w:spacing w:val="-15"/>
        </w:rPr>
        <w:t> </w:t>
      </w:r>
      <w:r>
        <w:rPr/>
        <w:t>experienced</w:t>
      </w:r>
      <w:r>
        <w:rPr>
          <w:spacing w:val="-15"/>
        </w:rPr>
        <w:t> </w:t>
      </w:r>
      <w:r>
        <w:rPr/>
        <w:t>local</w:t>
      </w:r>
      <w:r>
        <w:rPr>
          <w:spacing w:val="-15"/>
        </w:rPr>
        <w:t> </w:t>
      </w:r>
      <w:r>
        <w:rPr/>
        <w:t>fund</w:t>
      </w:r>
      <w:r>
        <w:rPr>
          <w:spacing w:val="-15"/>
        </w:rPr>
        <w:t> </w:t>
      </w:r>
      <w:r>
        <w:rPr/>
        <w:t>managers,</w:t>
      </w:r>
      <w:r>
        <w:rPr>
          <w:spacing w:val="-15"/>
        </w:rPr>
        <w:t> </w:t>
      </w:r>
      <w:r>
        <w:rPr/>
        <w:t>globally</w:t>
      </w:r>
      <w:r>
        <w:rPr>
          <w:spacing w:val="-15"/>
        </w:rPr>
        <w:t> </w:t>
      </w:r>
      <w:r>
        <w:rPr/>
        <w:t>aligned</w:t>
      </w:r>
      <w:r>
        <w:rPr>
          <w:spacing w:val="-15"/>
        </w:rPr>
        <w:t> </w:t>
      </w:r>
      <w:r>
        <w:rPr/>
        <w:t>legal frameworks, and functioning public exit markets that enable continuous recycling of capital and long-term investor confidence.</w:t>
      </w:r>
    </w:p>
    <w:p>
      <w:pPr>
        <w:pStyle w:val="Heading2"/>
        <w:numPr>
          <w:ilvl w:val="1"/>
          <w:numId w:val="3"/>
        </w:numPr>
        <w:tabs>
          <w:tab w:pos="411" w:val="left" w:leader="none"/>
        </w:tabs>
        <w:spacing w:line="240" w:lineRule="auto" w:before="160" w:after="0"/>
        <w:ind w:left="411" w:right="0" w:hanging="388"/>
        <w:jc w:val="both"/>
      </w:pPr>
      <w:bookmarkStart w:name="_bookmark14" w:id="15"/>
      <w:bookmarkEnd w:id="15"/>
      <w:r>
        <w:rPr>
          <w:b w:val="0"/>
        </w:rPr>
      </w:r>
      <w:r>
        <w:rPr/>
        <w:t>Research</w:t>
      </w:r>
      <w:r>
        <w:rPr>
          <w:spacing w:val="-9"/>
        </w:rPr>
        <w:t> </w:t>
      </w:r>
      <w:r>
        <w:rPr/>
        <w:t>Gap</w:t>
      </w:r>
      <w:r>
        <w:rPr>
          <w:spacing w:val="-7"/>
        </w:rPr>
        <w:t> </w:t>
      </w:r>
      <w:r>
        <w:rPr/>
        <w:t>and</w:t>
      </w:r>
      <w:r>
        <w:rPr>
          <w:spacing w:val="-7"/>
        </w:rPr>
        <w:t> </w:t>
      </w:r>
      <w:r>
        <w:rPr>
          <w:spacing w:val="-2"/>
        </w:rPr>
        <w:t>Synthesis</w:t>
      </w:r>
    </w:p>
    <w:p>
      <w:pPr>
        <w:pStyle w:val="BodyText"/>
        <w:spacing w:line="360" w:lineRule="auto" w:before="228"/>
        <w:ind w:left="23" w:right="17"/>
        <w:jc w:val="both"/>
      </w:pPr>
      <w:r>
        <w:rPr/>
        <w:t>Although research on India’s private equity (PE) market has grown steadily, it still leaves important questions unanswered. Most studies focus on specific areas such as deal activity, regulation, or sector trends, but few connect these pieces into a complete picture of how the industry actually functions and evolves. There is still little understanding of how broader factors like policy reforms, investor confidence, or economic growth interact with firm-level challenges such as valuation, governance, and exit timing. Sector studies in IT, healthcare, infrastructure, and FinTech provide useful insights but rarely explain why certain industries continue to attract stronger or more sustainable private equity interest. Similarly, while exits are</w:t>
      </w:r>
      <w:r>
        <w:rPr>
          <w:spacing w:val="-8"/>
        </w:rPr>
        <w:t> </w:t>
      </w:r>
      <w:r>
        <w:rPr/>
        <w:t>recognised</w:t>
      </w:r>
      <w:r>
        <w:rPr>
          <w:spacing w:val="-6"/>
        </w:rPr>
        <w:t> </w:t>
      </w:r>
      <w:r>
        <w:rPr/>
        <w:t>as</w:t>
      </w:r>
      <w:r>
        <w:rPr>
          <w:spacing w:val="-8"/>
        </w:rPr>
        <w:t> </w:t>
      </w:r>
      <w:r>
        <w:rPr/>
        <w:t>the</w:t>
      </w:r>
      <w:r>
        <w:rPr>
          <w:spacing w:val="-9"/>
        </w:rPr>
        <w:t> </w:t>
      </w:r>
      <w:r>
        <w:rPr/>
        <w:t>key</w:t>
      </w:r>
      <w:r>
        <w:rPr>
          <w:spacing w:val="-6"/>
        </w:rPr>
        <w:t> </w:t>
      </w:r>
      <w:r>
        <w:rPr/>
        <w:t>driver</w:t>
      </w:r>
      <w:r>
        <w:rPr>
          <w:spacing w:val="-9"/>
        </w:rPr>
        <w:t> </w:t>
      </w:r>
      <w:r>
        <w:rPr/>
        <w:t>of</w:t>
      </w:r>
      <w:r>
        <w:rPr>
          <w:spacing w:val="-7"/>
        </w:rPr>
        <w:t> </w:t>
      </w:r>
      <w:r>
        <w:rPr/>
        <w:t>fund</w:t>
      </w:r>
      <w:r>
        <w:rPr>
          <w:spacing w:val="-9"/>
        </w:rPr>
        <w:t> </w:t>
      </w:r>
      <w:r>
        <w:rPr/>
        <w:t>performance,</w:t>
      </w:r>
      <w:r>
        <w:rPr>
          <w:spacing w:val="-8"/>
        </w:rPr>
        <w:t> </w:t>
      </w:r>
      <w:r>
        <w:rPr/>
        <w:t>limited</w:t>
      </w:r>
      <w:r>
        <w:rPr>
          <w:spacing w:val="-9"/>
        </w:rPr>
        <w:t> </w:t>
      </w:r>
      <w:r>
        <w:rPr/>
        <w:t>research</w:t>
      </w:r>
      <w:r>
        <w:rPr>
          <w:spacing w:val="-6"/>
        </w:rPr>
        <w:t> </w:t>
      </w:r>
      <w:r>
        <w:rPr/>
        <w:t>compares</w:t>
      </w:r>
      <w:r>
        <w:rPr>
          <w:spacing w:val="-8"/>
        </w:rPr>
        <w:t> </w:t>
      </w:r>
      <w:r>
        <w:rPr/>
        <w:t>how</w:t>
      </w:r>
      <w:r>
        <w:rPr>
          <w:spacing w:val="-6"/>
        </w:rPr>
        <w:t> </w:t>
      </w:r>
      <w:r>
        <w:rPr/>
        <w:t>effective different exit routes are under India’s changing legal and market conditions. Newer themes, such</w:t>
      </w:r>
      <w:r>
        <w:rPr>
          <w:spacing w:val="-14"/>
        </w:rPr>
        <w:t> </w:t>
      </w:r>
      <w:r>
        <w:rPr/>
        <w:t>as</w:t>
      </w:r>
      <w:r>
        <w:rPr>
          <w:spacing w:val="-12"/>
        </w:rPr>
        <w:t> </w:t>
      </w:r>
      <w:r>
        <w:rPr/>
        <w:t>ESG</w:t>
      </w:r>
      <w:r>
        <w:rPr>
          <w:spacing w:val="-15"/>
        </w:rPr>
        <w:t> </w:t>
      </w:r>
      <w:r>
        <w:rPr/>
        <w:t>adoption,</w:t>
      </w:r>
      <w:r>
        <w:rPr>
          <w:spacing w:val="-12"/>
        </w:rPr>
        <w:t> </w:t>
      </w:r>
      <w:r>
        <w:rPr/>
        <w:t>digital</w:t>
      </w:r>
      <w:r>
        <w:rPr>
          <w:spacing w:val="-14"/>
        </w:rPr>
        <w:t> </w:t>
      </w:r>
      <w:r>
        <w:rPr/>
        <w:t>transformation,</w:t>
      </w:r>
      <w:r>
        <w:rPr>
          <w:spacing w:val="-12"/>
        </w:rPr>
        <w:t> </w:t>
      </w:r>
      <w:r>
        <w:rPr/>
        <w:t>and</w:t>
      </w:r>
      <w:r>
        <w:rPr>
          <w:spacing w:val="-12"/>
        </w:rPr>
        <w:t> </w:t>
      </w:r>
      <w:r>
        <w:rPr/>
        <w:t>the</w:t>
      </w:r>
      <w:r>
        <w:rPr>
          <w:spacing w:val="-15"/>
        </w:rPr>
        <w:t> </w:t>
      </w:r>
      <w:r>
        <w:rPr/>
        <w:t>rise</w:t>
      </w:r>
      <w:r>
        <w:rPr>
          <w:spacing w:val="-13"/>
        </w:rPr>
        <w:t> </w:t>
      </w:r>
      <w:r>
        <w:rPr/>
        <w:t>of</w:t>
      </w:r>
      <w:r>
        <w:rPr>
          <w:spacing w:val="-15"/>
        </w:rPr>
        <w:t> </w:t>
      </w:r>
      <w:r>
        <w:rPr/>
        <w:t>domestic</w:t>
      </w:r>
      <w:r>
        <w:rPr>
          <w:spacing w:val="-15"/>
        </w:rPr>
        <w:t> </w:t>
      </w:r>
      <w:r>
        <w:rPr/>
        <w:t>fund</w:t>
      </w:r>
      <w:r>
        <w:rPr>
          <w:spacing w:val="-11"/>
        </w:rPr>
        <w:t> </w:t>
      </w:r>
      <w:r>
        <w:rPr/>
        <w:t>managers,</w:t>
      </w:r>
      <w:r>
        <w:rPr>
          <w:spacing w:val="-13"/>
        </w:rPr>
        <w:t> </w:t>
      </w:r>
      <w:r>
        <w:rPr/>
        <w:t>are</w:t>
      </w:r>
      <w:r>
        <w:rPr>
          <w:spacing w:val="-12"/>
        </w:rPr>
        <w:t> </w:t>
      </w:r>
      <w:r>
        <w:rPr/>
        <w:t>often discussed</w:t>
      </w:r>
      <w:r>
        <w:rPr>
          <w:spacing w:val="-15"/>
        </w:rPr>
        <w:t> </w:t>
      </w:r>
      <w:r>
        <w:rPr/>
        <w:t>in</w:t>
      </w:r>
      <w:r>
        <w:rPr>
          <w:spacing w:val="-15"/>
        </w:rPr>
        <w:t> </w:t>
      </w:r>
      <w:r>
        <w:rPr/>
        <w:t>reports</w:t>
      </w:r>
      <w:r>
        <w:rPr>
          <w:spacing w:val="-15"/>
        </w:rPr>
        <w:t> </w:t>
      </w:r>
      <w:r>
        <w:rPr/>
        <w:t>but</w:t>
      </w:r>
      <w:r>
        <w:rPr>
          <w:spacing w:val="-15"/>
        </w:rPr>
        <w:t> </w:t>
      </w:r>
      <w:r>
        <w:rPr/>
        <w:t>have</w:t>
      </w:r>
      <w:r>
        <w:rPr>
          <w:spacing w:val="-15"/>
        </w:rPr>
        <w:t> </w:t>
      </w:r>
      <w:r>
        <w:rPr/>
        <w:t>not</w:t>
      </w:r>
      <w:r>
        <w:rPr>
          <w:spacing w:val="-15"/>
        </w:rPr>
        <w:t> </w:t>
      </w:r>
      <w:r>
        <w:rPr/>
        <w:t>yet</w:t>
      </w:r>
      <w:r>
        <w:rPr>
          <w:spacing w:val="-15"/>
        </w:rPr>
        <w:t> </w:t>
      </w:r>
      <w:r>
        <w:rPr/>
        <w:t>been</w:t>
      </w:r>
      <w:r>
        <w:rPr>
          <w:spacing w:val="-15"/>
        </w:rPr>
        <w:t> </w:t>
      </w:r>
      <w:r>
        <w:rPr/>
        <w:t>examined</w:t>
      </w:r>
      <w:r>
        <w:rPr>
          <w:spacing w:val="-15"/>
        </w:rPr>
        <w:t> </w:t>
      </w:r>
      <w:r>
        <w:rPr/>
        <w:t>deeply</w:t>
      </w:r>
      <w:r>
        <w:rPr>
          <w:spacing w:val="-15"/>
        </w:rPr>
        <w:t> </w:t>
      </w:r>
      <w:r>
        <w:rPr/>
        <w:t>in</w:t>
      </w:r>
      <w:r>
        <w:rPr>
          <w:spacing w:val="-15"/>
        </w:rPr>
        <w:t> </w:t>
      </w:r>
      <w:r>
        <w:rPr/>
        <w:t>academic</w:t>
      </w:r>
      <w:r>
        <w:rPr>
          <w:spacing w:val="-15"/>
        </w:rPr>
        <w:t> </w:t>
      </w:r>
      <w:r>
        <w:rPr/>
        <w:t>work.</w:t>
      </w:r>
      <w:r>
        <w:rPr>
          <w:spacing w:val="-15"/>
        </w:rPr>
        <w:t> </w:t>
      </w:r>
      <w:r>
        <w:rPr/>
        <w:t>These</w:t>
      </w:r>
      <w:r>
        <w:rPr>
          <w:spacing w:val="-15"/>
        </w:rPr>
        <w:t> </w:t>
      </w:r>
      <w:r>
        <w:rPr/>
        <w:t>gaps</w:t>
      </w:r>
      <w:r>
        <w:rPr>
          <w:spacing w:val="-15"/>
        </w:rPr>
        <w:t> </w:t>
      </w:r>
      <w:r>
        <w:rPr/>
        <w:t>show the need for a more integrated approach that links market trends, growth drivers, and exit strategies to understand how private equity contributes not only</w:t>
      </w:r>
      <w:r>
        <w:rPr>
          <w:spacing w:val="-1"/>
        </w:rPr>
        <w:t> </w:t>
      </w:r>
      <w:r>
        <w:rPr/>
        <w:t>to investor</w:t>
      </w:r>
      <w:r>
        <w:rPr>
          <w:spacing w:val="-2"/>
        </w:rPr>
        <w:t> </w:t>
      </w:r>
      <w:r>
        <w:rPr/>
        <w:t>returns but also to long-term governance reform and sustainable growth in India’s economy.</w:t>
      </w:r>
    </w:p>
    <w:p>
      <w:pPr>
        <w:pStyle w:val="BodyText"/>
        <w:spacing w:after="0" w:line="360" w:lineRule="auto"/>
        <w:jc w:val="both"/>
        <w:sectPr>
          <w:pgSz w:w="11910" w:h="16840"/>
          <w:pgMar w:header="0" w:footer="1009" w:top="1360" w:bottom="1200" w:left="1417" w:right="1417"/>
        </w:sectPr>
      </w:pPr>
    </w:p>
    <w:p>
      <w:pPr>
        <w:pStyle w:val="Heading1"/>
        <w:numPr>
          <w:ilvl w:val="0"/>
          <w:numId w:val="3"/>
        </w:numPr>
        <w:tabs>
          <w:tab w:pos="302" w:val="left" w:leader="none"/>
        </w:tabs>
        <w:spacing w:line="240" w:lineRule="auto" w:before="64" w:after="0"/>
        <w:ind w:left="302" w:right="0" w:hanging="279"/>
        <w:jc w:val="left"/>
      </w:pPr>
      <w:bookmarkStart w:name="_bookmark15" w:id="16"/>
      <w:bookmarkEnd w:id="16"/>
      <w:r>
        <w:rPr>
          <w:b w:val="0"/>
        </w:rPr>
      </w:r>
      <w:r>
        <w:rPr>
          <w:spacing w:val="-2"/>
        </w:rPr>
        <w:t>Methodology</w:t>
      </w:r>
    </w:p>
    <w:p>
      <w:pPr>
        <w:pStyle w:val="Heading2"/>
        <w:numPr>
          <w:ilvl w:val="1"/>
          <w:numId w:val="3"/>
        </w:numPr>
        <w:tabs>
          <w:tab w:pos="411" w:val="left" w:leader="none"/>
        </w:tabs>
        <w:spacing w:line="240" w:lineRule="auto" w:before="321" w:after="0"/>
        <w:ind w:left="411" w:right="0" w:hanging="388"/>
        <w:jc w:val="left"/>
      </w:pPr>
      <w:bookmarkStart w:name="_bookmark16" w:id="17"/>
      <w:bookmarkEnd w:id="17"/>
      <w:r>
        <w:rPr>
          <w:b w:val="0"/>
        </w:rPr>
      </w:r>
      <w:r>
        <w:rPr>
          <w:spacing w:val="-2"/>
        </w:rPr>
        <w:t>Introduction</w:t>
      </w:r>
    </w:p>
    <w:p>
      <w:pPr>
        <w:pStyle w:val="BodyText"/>
        <w:spacing w:line="360" w:lineRule="auto" w:before="226"/>
        <w:ind w:left="23" w:right="17"/>
        <w:jc w:val="both"/>
      </w:pPr>
      <w:r>
        <w:rPr/>
        <w:t>This study adopted a mixed-method research design combining quantitative secondary-data analysis with qualitative</w:t>
      </w:r>
      <w:r>
        <w:rPr>
          <w:spacing w:val="-2"/>
        </w:rPr>
        <w:t> </w:t>
      </w:r>
      <w:r>
        <w:rPr/>
        <w:t>case-based interpretation to examine trends, prospects, and obstacles in India’s private equity (PE)</w:t>
      </w:r>
      <w:r>
        <w:rPr>
          <w:spacing w:val="-1"/>
        </w:rPr>
        <w:t> </w:t>
      </w:r>
      <w:r>
        <w:rPr/>
        <w:t>market over</w:t>
      </w:r>
      <w:r>
        <w:rPr>
          <w:spacing w:val="-1"/>
        </w:rPr>
        <w:t> </w:t>
      </w:r>
      <w:r>
        <w:rPr/>
        <w:t>the period 2005–2024.</w:t>
      </w:r>
      <w:r>
        <w:rPr>
          <w:spacing w:val="-6"/>
        </w:rPr>
        <w:t> </w:t>
      </w:r>
      <w:r>
        <w:rPr/>
        <w:t>The</w:t>
      </w:r>
      <w:r>
        <w:rPr>
          <w:spacing w:val="-1"/>
        </w:rPr>
        <w:t> </w:t>
      </w:r>
      <w:r>
        <w:rPr/>
        <w:t>purpose</w:t>
      </w:r>
      <w:r>
        <w:rPr>
          <w:spacing w:val="-1"/>
        </w:rPr>
        <w:t> </w:t>
      </w:r>
      <w:r>
        <w:rPr/>
        <w:t>of</w:t>
      </w:r>
      <w:r>
        <w:rPr>
          <w:spacing w:val="-1"/>
        </w:rPr>
        <w:t> </w:t>
      </w:r>
      <w:r>
        <w:rPr/>
        <w:t>using mixed methods was not to “validate” one dataset against another through statistical testing, but to produce a more complete explanation by linking macro-level market patterns to illustrative deal and exit narratives drawn from well-documented cases and industry commentary. This approach supported a richer interpretation of the PE ecosystem by situating observed investment and exit trends within the strategic and institutional realities of the Indian market.</w:t>
      </w:r>
    </w:p>
    <w:p>
      <w:pPr>
        <w:pStyle w:val="BodyText"/>
        <w:spacing w:line="360" w:lineRule="auto" w:before="162"/>
        <w:ind w:left="23" w:right="18"/>
        <w:jc w:val="both"/>
      </w:pPr>
      <w:r>
        <w:rPr/>
        <w:t>The</w:t>
      </w:r>
      <w:r>
        <w:rPr>
          <w:spacing w:val="-1"/>
        </w:rPr>
        <w:t> </w:t>
      </w:r>
      <w:r>
        <w:rPr/>
        <w:t>quantitative</w:t>
      </w:r>
      <w:r>
        <w:rPr>
          <w:spacing w:val="-1"/>
        </w:rPr>
        <w:t> </w:t>
      </w:r>
      <w:r>
        <w:rPr/>
        <w:t>component analysed</w:t>
      </w:r>
      <w:r>
        <w:rPr>
          <w:spacing w:val="-1"/>
        </w:rPr>
        <w:t> </w:t>
      </w:r>
      <w:r>
        <w:rPr/>
        <w:t>investment rounds and exit events across the</w:t>
      </w:r>
      <w:r>
        <w:rPr>
          <w:spacing w:val="-1"/>
        </w:rPr>
        <w:t> </w:t>
      </w:r>
      <w:r>
        <w:rPr/>
        <w:t>full period to describe how PE activity evolved in terms of volume, value, sector distribution, and exit route</w:t>
      </w:r>
      <w:r>
        <w:rPr>
          <w:spacing w:val="-5"/>
        </w:rPr>
        <w:t> </w:t>
      </w:r>
      <w:r>
        <w:rPr/>
        <w:t>composition.</w:t>
      </w:r>
      <w:r>
        <w:rPr>
          <w:spacing w:val="-8"/>
        </w:rPr>
        <w:t> </w:t>
      </w:r>
      <w:r>
        <w:rPr/>
        <w:t>The</w:t>
      </w:r>
      <w:r>
        <w:rPr>
          <w:spacing w:val="-5"/>
        </w:rPr>
        <w:t> </w:t>
      </w:r>
      <w:r>
        <w:rPr/>
        <w:t>qualitative</w:t>
      </w:r>
      <w:r>
        <w:rPr>
          <w:spacing w:val="-3"/>
        </w:rPr>
        <w:t> </w:t>
      </w:r>
      <w:r>
        <w:rPr/>
        <w:t>component</w:t>
      </w:r>
      <w:r>
        <w:rPr>
          <w:spacing w:val="-3"/>
        </w:rPr>
        <w:t> </w:t>
      </w:r>
      <w:r>
        <w:rPr/>
        <w:t>then</w:t>
      </w:r>
      <w:r>
        <w:rPr>
          <w:spacing w:val="-3"/>
        </w:rPr>
        <w:t> </w:t>
      </w:r>
      <w:r>
        <w:rPr/>
        <w:t>used</w:t>
      </w:r>
      <w:r>
        <w:rPr>
          <w:spacing w:val="-3"/>
        </w:rPr>
        <w:t> </w:t>
      </w:r>
      <w:r>
        <w:rPr/>
        <w:t>selected</w:t>
      </w:r>
      <w:r>
        <w:rPr>
          <w:spacing w:val="-2"/>
        </w:rPr>
        <w:t> </w:t>
      </w:r>
      <w:r>
        <w:rPr/>
        <w:t>cases and</w:t>
      </w:r>
      <w:r>
        <w:rPr>
          <w:spacing w:val="-1"/>
        </w:rPr>
        <w:t> </w:t>
      </w:r>
      <w:r>
        <w:rPr/>
        <w:t>industry</w:t>
      </w:r>
      <w:r>
        <w:rPr>
          <w:spacing w:val="-3"/>
        </w:rPr>
        <w:t> </w:t>
      </w:r>
      <w:r>
        <w:rPr/>
        <w:t>reports</w:t>
      </w:r>
      <w:r>
        <w:rPr>
          <w:spacing w:val="-4"/>
        </w:rPr>
        <w:t> </w:t>
      </w:r>
      <w:r>
        <w:rPr/>
        <w:t>to contextualise and interpret the exit mechanisms and market dynamics that were visible in the quantitative outputs. This timeframe enabled the analysis to capture both long-run structural shifts and recent changes in India’s deal environment (Sharneet Singh Jagirdar &amp; Pradeep Kumar Gupta, 2024).</w:t>
      </w:r>
    </w:p>
    <w:p>
      <w:pPr>
        <w:pStyle w:val="Heading2"/>
        <w:numPr>
          <w:ilvl w:val="1"/>
          <w:numId w:val="3"/>
        </w:numPr>
        <w:tabs>
          <w:tab w:pos="411" w:val="left" w:leader="none"/>
        </w:tabs>
        <w:spacing w:line="240" w:lineRule="auto" w:before="161" w:after="0"/>
        <w:ind w:left="411" w:right="0" w:hanging="388"/>
        <w:jc w:val="both"/>
      </w:pPr>
      <w:bookmarkStart w:name="_bookmark17" w:id="18"/>
      <w:bookmarkEnd w:id="18"/>
      <w:r>
        <w:rPr>
          <w:b w:val="0"/>
        </w:rPr>
      </w:r>
      <w:r>
        <w:rPr>
          <w:spacing w:val="-2"/>
        </w:rPr>
        <w:t>Quantitative</w:t>
      </w:r>
      <w:r>
        <w:rPr>
          <w:spacing w:val="-5"/>
        </w:rPr>
        <w:t> </w:t>
      </w:r>
      <w:r>
        <w:rPr>
          <w:spacing w:val="-2"/>
        </w:rPr>
        <w:t>Analysis</w:t>
      </w:r>
    </w:p>
    <w:p>
      <w:pPr>
        <w:pStyle w:val="BodyText"/>
        <w:spacing w:before="8"/>
        <w:rPr>
          <w:b/>
          <w:sz w:val="26"/>
        </w:rPr>
      </w:pPr>
    </w:p>
    <w:p>
      <w:pPr>
        <w:pStyle w:val="Heading3"/>
        <w:numPr>
          <w:ilvl w:val="2"/>
          <w:numId w:val="3"/>
        </w:numPr>
        <w:tabs>
          <w:tab w:pos="563" w:val="left" w:leader="none"/>
        </w:tabs>
        <w:spacing w:line="240" w:lineRule="auto" w:before="0" w:after="0"/>
        <w:ind w:left="563" w:right="0" w:hanging="540"/>
        <w:jc w:val="both"/>
      </w:pPr>
      <w:bookmarkStart w:name="_bookmark18" w:id="19"/>
      <w:bookmarkEnd w:id="19"/>
      <w:r>
        <w:rPr>
          <w:b w:val="0"/>
        </w:rPr>
      </w:r>
      <w:r>
        <w:rPr/>
        <w:t>Data</w:t>
      </w:r>
      <w:r>
        <w:rPr>
          <w:spacing w:val="-4"/>
        </w:rPr>
        <w:t> </w:t>
      </w:r>
      <w:r>
        <w:rPr/>
        <w:t>Collection</w:t>
      </w:r>
      <w:r>
        <w:rPr>
          <w:spacing w:val="-3"/>
        </w:rPr>
        <w:t> </w:t>
      </w:r>
      <w:r>
        <w:rPr>
          <w:spacing w:val="-2"/>
        </w:rPr>
        <w:t>Sources</w:t>
      </w:r>
    </w:p>
    <w:p>
      <w:pPr>
        <w:pStyle w:val="BodyText"/>
        <w:spacing w:line="360" w:lineRule="auto" w:before="219"/>
        <w:ind w:left="23" w:right="19"/>
        <w:jc w:val="both"/>
      </w:pPr>
      <w:r>
        <w:rPr/>
        <w:t>The quantitative analysis relied on a single core deal-level database: LSEG (Refinitiv). Transaction-level</w:t>
      </w:r>
      <w:r>
        <w:rPr>
          <w:spacing w:val="-1"/>
        </w:rPr>
        <w:t> </w:t>
      </w:r>
      <w:r>
        <w:rPr/>
        <w:t>private equity</w:t>
      </w:r>
      <w:r>
        <w:rPr>
          <w:spacing w:val="-1"/>
        </w:rPr>
        <w:t> </w:t>
      </w:r>
      <w:r>
        <w:rPr/>
        <w:t>investment</w:t>
      </w:r>
      <w:r>
        <w:rPr>
          <w:spacing w:val="-1"/>
        </w:rPr>
        <w:t> </w:t>
      </w:r>
      <w:r>
        <w:rPr/>
        <w:t>and</w:t>
      </w:r>
      <w:r>
        <w:rPr>
          <w:spacing w:val="-1"/>
        </w:rPr>
        <w:t> </w:t>
      </w:r>
      <w:r>
        <w:rPr/>
        <w:t>exit</w:t>
      </w:r>
      <w:r>
        <w:rPr>
          <w:spacing w:val="-1"/>
        </w:rPr>
        <w:t> </w:t>
      </w:r>
      <w:r>
        <w:rPr/>
        <w:t>data</w:t>
      </w:r>
      <w:r>
        <w:rPr>
          <w:spacing w:val="-2"/>
        </w:rPr>
        <w:t> </w:t>
      </w:r>
      <w:r>
        <w:rPr/>
        <w:t>for</w:t>
      </w:r>
      <w:r>
        <w:rPr>
          <w:spacing w:val="-3"/>
        </w:rPr>
        <w:t> </w:t>
      </w:r>
      <w:r>
        <w:rPr/>
        <w:t>India</w:t>
      </w:r>
      <w:r>
        <w:rPr>
          <w:spacing w:val="-2"/>
        </w:rPr>
        <w:t> </w:t>
      </w:r>
      <w:r>
        <w:rPr/>
        <w:t>were</w:t>
      </w:r>
      <w:r>
        <w:rPr>
          <w:spacing w:val="-3"/>
        </w:rPr>
        <w:t> </w:t>
      </w:r>
      <w:r>
        <w:rPr/>
        <w:t>extracted</w:t>
      </w:r>
      <w:r>
        <w:rPr>
          <w:spacing w:val="-2"/>
        </w:rPr>
        <w:t> </w:t>
      </w:r>
      <w:r>
        <w:rPr/>
        <w:t>from</w:t>
      </w:r>
      <w:r>
        <w:rPr>
          <w:spacing w:val="-2"/>
        </w:rPr>
        <w:t> </w:t>
      </w:r>
      <w:r>
        <w:rPr/>
        <w:t>LSEG (Refinitiv) and formed the empirical backbone of the dataset. This ensured that investment rounds, investor participation, sector tags, and exit classifications were captured consistently at deal level across the study period.</w:t>
      </w:r>
    </w:p>
    <w:p>
      <w:pPr>
        <w:pStyle w:val="BodyText"/>
        <w:spacing w:line="360" w:lineRule="auto" w:before="160"/>
        <w:ind w:left="23" w:right="17"/>
        <w:jc w:val="both"/>
      </w:pPr>
      <w:r>
        <w:rPr/>
        <w:t>Regulatory and macro-financial publications from RBI and SEBI were used only as supplementary contextual sources, rather than as datasets for quantitative extraction. In other words, RBI/SEBI materials supported interpretation of market conditions and institutional developments,</w:t>
      </w:r>
      <w:r>
        <w:rPr>
          <w:spacing w:val="-1"/>
        </w:rPr>
        <w:t> </w:t>
      </w:r>
      <w:r>
        <w:rPr/>
        <w:t>but</w:t>
      </w:r>
      <w:r>
        <w:rPr>
          <w:spacing w:val="-1"/>
        </w:rPr>
        <w:t> </w:t>
      </w:r>
      <w:r>
        <w:rPr/>
        <w:t>the</w:t>
      </w:r>
      <w:r>
        <w:rPr>
          <w:spacing w:val="-2"/>
        </w:rPr>
        <w:t> </w:t>
      </w:r>
      <w:r>
        <w:rPr/>
        <w:t>round-level</w:t>
      </w:r>
      <w:r>
        <w:rPr>
          <w:spacing w:val="-1"/>
        </w:rPr>
        <w:t> </w:t>
      </w:r>
      <w:r>
        <w:rPr/>
        <w:t>and exit-level observations</w:t>
      </w:r>
      <w:r>
        <w:rPr>
          <w:spacing w:val="-1"/>
        </w:rPr>
        <w:t> </w:t>
      </w:r>
      <w:r>
        <w:rPr/>
        <w:t>used</w:t>
      </w:r>
      <w:r>
        <w:rPr>
          <w:spacing w:val="-1"/>
        </w:rPr>
        <w:t> </w:t>
      </w:r>
      <w:r>
        <w:rPr/>
        <w:t>in</w:t>
      </w:r>
      <w:r>
        <w:rPr>
          <w:spacing w:val="-1"/>
        </w:rPr>
        <w:t> </w:t>
      </w:r>
      <w:r>
        <w:rPr/>
        <w:t>charts</w:t>
      </w:r>
      <w:r>
        <w:rPr>
          <w:spacing w:val="-1"/>
        </w:rPr>
        <w:t> </w:t>
      </w:r>
      <w:r>
        <w:rPr/>
        <w:t>and</w:t>
      </w:r>
      <w:r>
        <w:rPr>
          <w:spacing w:val="-1"/>
        </w:rPr>
        <w:t> </w:t>
      </w:r>
      <w:r>
        <w:rPr/>
        <w:t>aggregations came from LSEG (Refinitiv).</w:t>
      </w:r>
    </w:p>
    <w:p>
      <w:pPr>
        <w:pStyle w:val="BodyText"/>
        <w:spacing w:after="0" w:line="360" w:lineRule="auto"/>
        <w:jc w:val="both"/>
        <w:sectPr>
          <w:pgSz w:w="11910" w:h="16840"/>
          <w:pgMar w:header="0" w:footer="1009" w:top="1360" w:bottom="1200" w:left="1417" w:right="1417"/>
        </w:sectPr>
      </w:pPr>
    </w:p>
    <w:p>
      <w:pPr>
        <w:pStyle w:val="Heading3"/>
        <w:numPr>
          <w:ilvl w:val="2"/>
          <w:numId w:val="3"/>
        </w:numPr>
        <w:tabs>
          <w:tab w:pos="563" w:val="left" w:leader="none"/>
        </w:tabs>
        <w:spacing w:line="240" w:lineRule="auto" w:before="61" w:after="0"/>
        <w:ind w:left="563" w:right="0" w:hanging="540"/>
        <w:jc w:val="left"/>
      </w:pPr>
      <w:bookmarkStart w:name="_bookmark19" w:id="20"/>
      <w:bookmarkEnd w:id="20"/>
      <w:r>
        <w:rPr>
          <w:b w:val="0"/>
        </w:rPr>
      </w:r>
      <w:r>
        <w:rPr/>
        <w:t>Unit</w:t>
      </w:r>
      <w:r>
        <w:rPr>
          <w:spacing w:val="-3"/>
        </w:rPr>
        <w:t> </w:t>
      </w:r>
      <w:r>
        <w:rPr/>
        <w:t>of</w:t>
      </w:r>
      <w:r>
        <w:rPr>
          <w:spacing w:val="-5"/>
        </w:rPr>
        <w:t> </w:t>
      </w:r>
      <w:r>
        <w:rPr/>
        <w:t>analysis</w:t>
      </w:r>
      <w:r>
        <w:rPr>
          <w:spacing w:val="-3"/>
        </w:rPr>
        <w:t> </w:t>
      </w:r>
      <w:r>
        <w:rPr/>
        <w:t>and</w:t>
      </w:r>
      <w:r>
        <w:rPr>
          <w:spacing w:val="-3"/>
        </w:rPr>
        <w:t> </w:t>
      </w:r>
      <w:r>
        <w:rPr/>
        <w:t>aggregation</w:t>
      </w:r>
      <w:r>
        <w:rPr>
          <w:spacing w:val="-2"/>
        </w:rPr>
        <w:t> strategy</w:t>
      </w:r>
    </w:p>
    <w:p>
      <w:pPr>
        <w:pStyle w:val="BodyText"/>
        <w:spacing w:line="360" w:lineRule="auto" w:before="218"/>
        <w:ind w:left="23" w:right="24"/>
        <w:jc w:val="both"/>
      </w:pPr>
      <w:r>
        <w:rPr/>
        <w:t>To</w:t>
      </w:r>
      <w:r>
        <w:rPr>
          <w:spacing w:val="-14"/>
        </w:rPr>
        <w:t> </w:t>
      </w:r>
      <w:r>
        <w:rPr/>
        <w:t>align</w:t>
      </w:r>
      <w:r>
        <w:rPr>
          <w:spacing w:val="-14"/>
        </w:rPr>
        <w:t> </w:t>
      </w:r>
      <w:r>
        <w:rPr/>
        <w:t>the</w:t>
      </w:r>
      <w:r>
        <w:rPr>
          <w:spacing w:val="-15"/>
        </w:rPr>
        <w:t> </w:t>
      </w:r>
      <w:r>
        <w:rPr/>
        <w:t>methodology</w:t>
      </w:r>
      <w:r>
        <w:rPr>
          <w:spacing w:val="-14"/>
        </w:rPr>
        <w:t> </w:t>
      </w:r>
      <w:r>
        <w:rPr/>
        <w:t>with</w:t>
      </w:r>
      <w:r>
        <w:rPr>
          <w:spacing w:val="-14"/>
        </w:rPr>
        <w:t> </w:t>
      </w:r>
      <w:r>
        <w:rPr/>
        <w:t>what</w:t>
      </w:r>
      <w:r>
        <w:rPr>
          <w:spacing w:val="-11"/>
        </w:rPr>
        <w:t> </w:t>
      </w:r>
      <w:r>
        <w:rPr/>
        <w:t>was</w:t>
      </w:r>
      <w:r>
        <w:rPr>
          <w:spacing w:val="-11"/>
        </w:rPr>
        <w:t> </w:t>
      </w:r>
      <w:r>
        <w:rPr/>
        <w:t>actually</w:t>
      </w:r>
      <w:r>
        <w:rPr>
          <w:spacing w:val="-14"/>
        </w:rPr>
        <w:t> </w:t>
      </w:r>
      <w:r>
        <w:rPr/>
        <w:t>performed</w:t>
      </w:r>
      <w:r>
        <w:rPr>
          <w:spacing w:val="-12"/>
        </w:rPr>
        <w:t> </w:t>
      </w:r>
      <w:r>
        <w:rPr/>
        <w:t>in</w:t>
      </w:r>
      <w:r>
        <w:rPr>
          <w:spacing w:val="-14"/>
        </w:rPr>
        <w:t> </w:t>
      </w:r>
      <w:r>
        <w:rPr/>
        <w:t>the</w:t>
      </w:r>
      <w:r>
        <w:rPr>
          <w:spacing w:val="-12"/>
        </w:rPr>
        <w:t> </w:t>
      </w:r>
      <w:r>
        <w:rPr/>
        <w:t>analysis,</w:t>
      </w:r>
      <w:r>
        <w:rPr>
          <w:spacing w:val="-11"/>
        </w:rPr>
        <w:t> </w:t>
      </w:r>
      <w:r>
        <w:rPr/>
        <w:t>the</w:t>
      </w:r>
      <w:r>
        <w:rPr>
          <w:spacing w:val="-15"/>
        </w:rPr>
        <w:t> </w:t>
      </w:r>
      <w:r>
        <w:rPr/>
        <w:t>study</w:t>
      </w:r>
      <w:r>
        <w:rPr>
          <w:spacing w:val="-14"/>
        </w:rPr>
        <w:t> </w:t>
      </w:r>
      <w:r>
        <w:rPr/>
        <w:t>specified two separate units of analysis:</w:t>
      </w:r>
    </w:p>
    <w:p>
      <w:pPr>
        <w:pStyle w:val="BodyText"/>
        <w:spacing w:before="159"/>
        <w:ind w:left="23"/>
        <w:jc w:val="both"/>
      </w:pPr>
      <w:r>
        <w:rPr/>
        <w:t>Investment</w:t>
      </w:r>
      <w:r>
        <w:rPr>
          <w:spacing w:val="-3"/>
        </w:rPr>
        <w:t> </w:t>
      </w:r>
      <w:r>
        <w:rPr/>
        <w:t>activity</w:t>
      </w:r>
      <w:r>
        <w:rPr>
          <w:spacing w:val="-1"/>
        </w:rPr>
        <w:t> </w:t>
      </w:r>
      <w:r>
        <w:rPr/>
        <w:t>unit:</w:t>
      </w:r>
      <w:r>
        <w:rPr>
          <w:spacing w:val="-1"/>
        </w:rPr>
        <w:t> </w:t>
      </w:r>
      <w:r>
        <w:rPr/>
        <w:t>the</w:t>
      </w:r>
      <w:r>
        <w:rPr>
          <w:spacing w:val="-2"/>
        </w:rPr>
        <w:t> </w:t>
      </w:r>
      <w:r>
        <w:rPr/>
        <w:t>investment</w:t>
      </w:r>
      <w:r>
        <w:rPr>
          <w:spacing w:val="-1"/>
        </w:rPr>
        <w:t> </w:t>
      </w:r>
      <w:r>
        <w:rPr/>
        <w:t>round</w:t>
      </w:r>
      <w:r>
        <w:rPr>
          <w:spacing w:val="-1"/>
        </w:rPr>
        <w:t> </w:t>
      </w:r>
      <w:r>
        <w:rPr/>
        <w:t>(round-level </w:t>
      </w:r>
      <w:r>
        <w:rPr>
          <w:spacing w:val="-2"/>
        </w:rPr>
        <w:t>observation).</w:t>
      </w:r>
    </w:p>
    <w:p>
      <w:pPr>
        <w:pStyle w:val="BodyText"/>
        <w:spacing w:before="26"/>
      </w:pPr>
    </w:p>
    <w:p>
      <w:pPr>
        <w:pStyle w:val="ListParagraph"/>
        <w:numPr>
          <w:ilvl w:val="3"/>
          <w:numId w:val="3"/>
        </w:numPr>
        <w:tabs>
          <w:tab w:pos="743" w:val="left" w:leader="none"/>
        </w:tabs>
        <w:spacing w:line="348" w:lineRule="auto" w:before="0" w:after="0"/>
        <w:ind w:left="743" w:right="25" w:hanging="360"/>
        <w:jc w:val="both"/>
        <w:rPr>
          <w:sz w:val="24"/>
        </w:rPr>
      </w:pPr>
      <w:r>
        <w:rPr>
          <w:sz w:val="24"/>
        </w:rPr>
        <w:t>The investment dataset was structured at the round level, where each observation represented a unique funding round identified by a Round ID.</w:t>
      </w:r>
    </w:p>
    <w:p>
      <w:pPr>
        <w:pStyle w:val="ListParagraph"/>
        <w:numPr>
          <w:ilvl w:val="3"/>
          <w:numId w:val="3"/>
        </w:numPr>
        <w:tabs>
          <w:tab w:pos="743" w:val="left" w:leader="none"/>
        </w:tabs>
        <w:spacing w:line="355" w:lineRule="auto" w:before="18" w:after="0"/>
        <w:ind w:left="743" w:right="18" w:hanging="360"/>
        <w:jc w:val="both"/>
        <w:rPr>
          <w:sz w:val="24"/>
        </w:rPr>
      </w:pPr>
      <w:r>
        <w:rPr>
          <w:sz w:val="24"/>
        </w:rPr>
        <w:t>Where multiple investors participated in the same round, these investor entries were aggregated into a single round-level record using the Round ID to avoid double- counting the same capital event.</w:t>
      </w:r>
    </w:p>
    <w:p>
      <w:pPr>
        <w:pStyle w:val="BodyText"/>
        <w:spacing w:before="165"/>
        <w:ind w:left="23"/>
        <w:jc w:val="both"/>
      </w:pPr>
      <w:r>
        <w:rPr/>
        <w:t>Exit</w:t>
      </w:r>
      <w:r>
        <w:rPr>
          <w:spacing w:val="-1"/>
        </w:rPr>
        <w:t> </w:t>
      </w:r>
      <w:r>
        <w:rPr/>
        <w:t>activity</w:t>
      </w:r>
      <w:r>
        <w:rPr>
          <w:spacing w:val="-1"/>
        </w:rPr>
        <w:t> </w:t>
      </w:r>
      <w:r>
        <w:rPr/>
        <w:t>unit:</w:t>
      </w:r>
      <w:r>
        <w:rPr>
          <w:spacing w:val="-1"/>
        </w:rPr>
        <w:t> </w:t>
      </w:r>
      <w:r>
        <w:rPr/>
        <w:t>the</w:t>
      </w:r>
      <w:r>
        <w:rPr>
          <w:spacing w:val="-2"/>
        </w:rPr>
        <w:t> </w:t>
      </w:r>
      <w:r>
        <w:rPr/>
        <w:t>exit</w:t>
      </w:r>
      <w:r>
        <w:rPr>
          <w:spacing w:val="-3"/>
        </w:rPr>
        <w:t> </w:t>
      </w:r>
      <w:r>
        <w:rPr/>
        <w:t>event</w:t>
      </w:r>
      <w:r>
        <w:rPr>
          <w:spacing w:val="-1"/>
        </w:rPr>
        <w:t> </w:t>
      </w:r>
      <w:r>
        <w:rPr/>
        <w:t>(exit-level </w:t>
      </w:r>
      <w:r>
        <w:rPr>
          <w:spacing w:val="-2"/>
        </w:rPr>
        <w:t>observation).</w:t>
      </w:r>
    </w:p>
    <w:p>
      <w:pPr>
        <w:pStyle w:val="BodyText"/>
        <w:spacing w:before="23"/>
      </w:pPr>
    </w:p>
    <w:p>
      <w:pPr>
        <w:pStyle w:val="ListParagraph"/>
        <w:numPr>
          <w:ilvl w:val="3"/>
          <w:numId w:val="3"/>
        </w:numPr>
        <w:tabs>
          <w:tab w:pos="743" w:val="left" w:leader="none"/>
        </w:tabs>
        <w:spacing w:line="355" w:lineRule="auto" w:before="1" w:after="0"/>
        <w:ind w:left="743" w:right="8" w:hanging="360"/>
        <w:jc w:val="both"/>
        <w:rPr>
          <w:sz w:val="24"/>
        </w:rPr>
      </w:pPr>
      <w:r>
        <w:rPr>
          <w:sz w:val="24"/>
        </w:rPr>
        <w:t>Exit</w:t>
      </w:r>
      <w:r>
        <w:rPr>
          <w:spacing w:val="-13"/>
          <w:sz w:val="24"/>
        </w:rPr>
        <w:t> </w:t>
      </w:r>
      <w:r>
        <w:rPr>
          <w:sz w:val="24"/>
        </w:rPr>
        <w:t>observations</w:t>
      </w:r>
      <w:r>
        <w:rPr>
          <w:spacing w:val="-14"/>
          <w:sz w:val="24"/>
        </w:rPr>
        <w:t> </w:t>
      </w:r>
      <w:r>
        <w:rPr>
          <w:sz w:val="24"/>
        </w:rPr>
        <w:t>were</w:t>
      </w:r>
      <w:r>
        <w:rPr>
          <w:spacing w:val="-15"/>
          <w:sz w:val="24"/>
        </w:rPr>
        <w:t> </w:t>
      </w:r>
      <w:r>
        <w:rPr>
          <w:sz w:val="24"/>
        </w:rPr>
        <w:t>treated</w:t>
      </w:r>
      <w:r>
        <w:rPr>
          <w:spacing w:val="-15"/>
          <w:sz w:val="24"/>
        </w:rPr>
        <w:t> </w:t>
      </w:r>
      <w:r>
        <w:rPr>
          <w:sz w:val="24"/>
        </w:rPr>
        <w:t>as</w:t>
      </w:r>
      <w:r>
        <w:rPr>
          <w:spacing w:val="-14"/>
          <w:sz w:val="24"/>
        </w:rPr>
        <w:t> </w:t>
      </w:r>
      <w:r>
        <w:rPr>
          <w:sz w:val="24"/>
        </w:rPr>
        <w:t>discrete</w:t>
      </w:r>
      <w:r>
        <w:rPr>
          <w:spacing w:val="-15"/>
          <w:sz w:val="24"/>
        </w:rPr>
        <w:t> </w:t>
      </w:r>
      <w:r>
        <w:rPr>
          <w:sz w:val="24"/>
        </w:rPr>
        <w:t>exit</w:t>
      </w:r>
      <w:r>
        <w:rPr>
          <w:spacing w:val="-13"/>
          <w:sz w:val="24"/>
        </w:rPr>
        <w:t> </w:t>
      </w:r>
      <w:r>
        <w:rPr>
          <w:sz w:val="24"/>
        </w:rPr>
        <w:t>events</w:t>
      </w:r>
      <w:r>
        <w:rPr>
          <w:spacing w:val="-13"/>
          <w:sz w:val="24"/>
        </w:rPr>
        <w:t> </w:t>
      </w:r>
      <w:r>
        <w:rPr>
          <w:sz w:val="24"/>
        </w:rPr>
        <w:t>at</w:t>
      </w:r>
      <w:r>
        <w:rPr>
          <w:spacing w:val="-14"/>
          <w:sz w:val="24"/>
        </w:rPr>
        <w:t> </w:t>
      </w:r>
      <w:r>
        <w:rPr>
          <w:sz w:val="24"/>
        </w:rPr>
        <w:t>company</w:t>
      </w:r>
      <w:r>
        <w:rPr>
          <w:spacing w:val="-15"/>
          <w:sz w:val="24"/>
        </w:rPr>
        <w:t> </w:t>
      </w:r>
      <w:r>
        <w:rPr>
          <w:sz w:val="24"/>
        </w:rPr>
        <w:t>level</w:t>
      </w:r>
      <w:r>
        <w:rPr>
          <w:spacing w:val="-14"/>
          <w:sz w:val="24"/>
        </w:rPr>
        <w:t> </w:t>
      </w:r>
      <w:r>
        <w:rPr>
          <w:sz w:val="24"/>
        </w:rPr>
        <w:t>(e.g.,</w:t>
      </w:r>
      <w:r>
        <w:rPr>
          <w:spacing w:val="-14"/>
          <w:sz w:val="24"/>
        </w:rPr>
        <w:t> </w:t>
      </w:r>
      <w:r>
        <w:rPr>
          <w:sz w:val="24"/>
        </w:rPr>
        <w:t>IPO,</w:t>
      </w:r>
      <w:r>
        <w:rPr>
          <w:spacing w:val="-14"/>
          <w:sz w:val="24"/>
        </w:rPr>
        <w:t> </w:t>
      </w:r>
      <w:r>
        <w:rPr>
          <w:sz w:val="24"/>
        </w:rPr>
        <w:t>M&amp;A exit,</w:t>
      </w:r>
      <w:r>
        <w:rPr>
          <w:spacing w:val="-13"/>
          <w:sz w:val="24"/>
        </w:rPr>
        <w:t> </w:t>
      </w:r>
      <w:r>
        <w:rPr>
          <w:sz w:val="24"/>
        </w:rPr>
        <w:t>secondary</w:t>
      </w:r>
      <w:r>
        <w:rPr>
          <w:spacing w:val="-14"/>
          <w:sz w:val="24"/>
        </w:rPr>
        <w:t> </w:t>
      </w:r>
      <w:r>
        <w:rPr>
          <w:sz w:val="24"/>
        </w:rPr>
        <w:t>sale</w:t>
      </w:r>
      <w:r>
        <w:rPr>
          <w:spacing w:val="-12"/>
          <w:sz w:val="24"/>
        </w:rPr>
        <w:t> </w:t>
      </w:r>
      <w:r>
        <w:rPr>
          <w:sz w:val="24"/>
        </w:rPr>
        <w:t>where</w:t>
      </w:r>
      <w:r>
        <w:rPr>
          <w:spacing w:val="-14"/>
          <w:sz w:val="24"/>
        </w:rPr>
        <w:t> </w:t>
      </w:r>
      <w:r>
        <w:rPr>
          <w:sz w:val="24"/>
        </w:rPr>
        <w:t>applicable</w:t>
      </w:r>
      <w:r>
        <w:rPr>
          <w:spacing w:val="-14"/>
          <w:sz w:val="24"/>
        </w:rPr>
        <w:t> </w:t>
      </w:r>
      <w:r>
        <w:rPr>
          <w:sz w:val="24"/>
        </w:rPr>
        <w:t>in</w:t>
      </w:r>
      <w:r>
        <w:rPr>
          <w:spacing w:val="-11"/>
          <w:sz w:val="24"/>
        </w:rPr>
        <w:t> </w:t>
      </w:r>
      <w:r>
        <w:rPr>
          <w:sz w:val="24"/>
        </w:rPr>
        <w:t>the</w:t>
      </w:r>
      <w:r>
        <w:rPr>
          <w:spacing w:val="-14"/>
          <w:sz w:val="24"/>
        </w:rPr>
        <w:t> </w:t>
      </w:r>
      <w:r>
        <w:rPr>
          <w:sz w:val="24"/>
        </w:rPr>
        <w:t>database</w:t>
      </w:r>
      <w:r>
        <w:rPr>
          <w:spacing w:val="-14"/>
          <w:sz w:val="24"/>
        </w:rPr>
        <w:t> </w:t>
      </w:r>
      <w:r>
        <w:rPr>
          <w:sz w:val="24"/>
        </w:rPr>
        <w:t>classification),</w:t>
      </w:r>
      <w:r>
        <w:rPr>
          <w:spacing w:val="-12"/>
          <w:sz w:val="24"/>
        </w:rPr>
        <w:t> </w:t>
      </w:r>
      <w:r>
        <w:rPr>
          <w:sz w:val="24"/>
        </w:rPr>
        <w:t>and</w:t>
      </w:r>
      <w:r>
        <w:rPr>
          <w:spacing w:val="-13"/>
          <w:sz w:val="24"/>
        </w:rPr>
        <w:t> </w:t>
      </w:r>
      <w:r>
        <w:rPr>
          <w:sz w:val="24"/>
        </w:rPr>
        <w:t>each</w:t>
      </w:r>
      <w:r>
        <w:rPr>
          <w:spacing w:val="-13"/>
          <w:sz w:val="24"/>
        </w:rPr>
        <w:t> </w:t>
      </w:r>
      <w:r>
        <w:rPr>
          <w:sz w:val="24"/>
        </w:rPr>
        <w:t>exit</w:t>
      </w:r>
      <w:r>
        <w:rPr>
          <w:spacing w:val="-13"/>
          <w:sz w:val="24"/>
        </w:rPr>
        <w:t> </w:t>
      </w:r>
      <w:r>
        <w:rPr>
          <w:sz w:val="24"/>
        </w:rPr>
        <w:t>event was counted once in exit-frequency analysis.</w:t>
      </w:r>
    </w:p>
    <w:p>
      <w:pPr>
        <w:pStyle w:val="BodyText"/>
        <w:spacing w:before="167"/>
        <w:ind w:left="23"/>
        <w:jc w:val="both"/>
      </w:pPr>
      <w:r>
        <w:rPr/>
        <w:t>After</w:t>
      </w:r>
      <w:r>
        <w:rPr>
          <w:spacing w:val="-4"/>
        </w:rPr>
        <w:t> </w:t>
      </w:r>
      <w:r>
        <w:rPr/>
        <w:t>cleaning</w:t>
      </w:r>
      <w:r>
        <w:rPr>
          <w:spacing w:val="-1"/>
        </w:rPr>
        <w:t> </w:t>
      </w:r>
      <w:r>
        <w:rPr/>
        <w:t>and aggregation,</w:t>
      </w:r>
      <w:r>
        <w:rPr>
          <w:spacing w:val="-1"/>
        </w:rPr>
        <w:t> </w:t>
      </w:r>
      <w:r>
        <w:rPr/>
        <w:t>the</w:t>
      </w:r>
      <w:r>
        <w:rPr>
          <w:spacing w:val="-1"/>
        </w:rPr>
        <w:t> </w:t>
      </w:r>
      <w:r>
        <w:rPr/>
        <w:t>final</w:t>
      </w:r>
      <w:r>
        <w:rPr>
          <w:spacing w:val="-1"/>
        </w:rPr>
        <w:t> </w:t>
      </w:r>
      <w:r>
        <w:rPr/>
        <w:t>analytical</w:t>
      </w:r>
      <w:r>
        <w:rPr>
          <w:spacing w:val="-1"/>
        </w:rPr>
        <w:t> </w:t>
      </w:r>
      <w:r>
        <w:rPr/>
        <w:t>sample</w:t>
      </w:r>
      <w:r>
        <w:rPr>
          <w:spacing w:val="-2"/>
        </w:rPr>
        <w:t> comprised:</w:t>
      </w:r>
    </w:p>
    <w:p>
      <w:pPr>
        <w:pStyle w:val="BodyText"/>
        <w:spacing w:before="23"/>
      </w:pPr>
    </w:p>
    <w:p>
      <w:pPr>
        <w:pStyle w:val="ListParagraph"/>
        <w:numPr>
          <w:ilvl w:val="3"/>
          <w:numId w:val="3"/>
        </w:numPr>
        <w:tabs>
          <w:tab w:pos="743" w:val="left" w:leader="none"/>
        </w:tabs>
        <w:spacing w:line="240" w:lineRule="auto" w:before="0" w:after="0"/>
        <w:ind w:left="743" w:right="0" w:hanging="360"/>
        <w:jc w:val="left"/>
        <w:rPr>
          <w:sz w:val="24"/>
        </w:rPr>
      </w:pPr>
      <w:r>
        <w:rPr>
          <w:sz w:val="24"/>
        </w:rPr>
        <w:t>5,967</w:t>
      </w:r>
      <w:r>
        <w:rPr>
          <w:spacing w:val="-1"/>
          <w:sz w:val="24"/>
        </w:rPr>
        <w:t> </w:t>
      </w:r>
      <w:r>
        <w:rPr>
          <w:sz w:val="24"/>
        </w:rPr>
        <w:t>investment rounds, </w:t>
      </w:r>
      <w:r>
        <w:rPr>
          <w:spacing w:val="-5"/>
          <w:sz w:val="24"/>
        </w:rPr>
        <w:t>and</w:t>
      </w:r>
    </w:p>
    <w:p>
      <w:pPr>
        <w:pStyle w:val="ListParagraph"/>
        <w:numPr>
          <w:ilvl w:val="3"/>
          <w:numId w:val="3"/>
        </w:numPr>
        <w:tabs>
          <w:tab w:pos="743" w:val="left" w:leader="none"/>
        </w:tabs>
        <w:spacing w:line="240" w:lineRule="auto" w:before="136" w:after="0"/>
        <w:ind w:left="743" w:right="0" w:hanging="360"/>
        <w:jc w:val="left"/>
        <w:rPr>
          <w:sz w:val="24"/>
        </w:rPr>
      </w:pPr>
      <w:r>
        <w:rPr>
          <w:sz w:val="24"/>
        </w:rPr>
        <w:t>715</w:t>
      </w:r>
      <w:r>
        <w:rPr>
          <w:spacing w:val="-1"/>
          <w:sz w:val="24"/>
        </w:rPr>
        <w:t> </w:t>
      </w:r>
      <w:r>
        <w:rPr>
          <w:sz w:val="24"/>
        </w:rPr>
        <w:t>exit </w:t>
      </w:r>
      <w:r>
        <w:rPr>
          <w:spacing w:val="-2"/>
          <w:sz w:val="24"/>
        </w:rPr>
        <w:t>observations.</w:t>
      </w:r>
    </w:p>
    <w:p>
      <w:pPr>
        <w:pStyle w:val="BodyText"/>
        <w:spacing w:before="21"/>
      </w:pPr>
    </w:p>
    <w:p>
      <w:pPr>
        <w:pStyle w:val="BodyText"/>
        <w:spacing w:line="360" w:lineRule="auto"/>
        <w:ind w:left="23" w:right="28"/>
        <w:jc w:val="both"/>
      </w:pPr>
      <w:r>
        <w:rPr/>
        <w:t>These observation counts reflected the cleaned and deduplicated dataset used for all pivot tables, time-series summaries, and exit-route distributions (Somaya &amp; You, 2024).</w:t>
      </w:r>
    </w:p>
    <w:p>
      <w:pPr>
        <w:pStyle w:val="Heading3"/>
        <w:numPr>
          <w:ilvl w:val="2"/>
          <w:numId w:val="3"/>
        </w:numPr>
        <w:tabs>
          <w:tab w:pos="558" w:val="left" w:leader="none"/>
        </w:tabs>
        <w:spacing w:line="240" w:lineRule="auto" w:before="158" w:after="0"/>
        <w:ind w:left="558" w:right="0" w:hanging="535"/>
        <w:jc w:val="left"/>
      </w:pPr>
      <w:bookmarkStart w:name="_bookmark20" w:id="21"/>
      <w:bookmarkEnd w:id="21"/>
      <w:r>
        <w:rPr>
          <w:b w:val="0"/>
        </w:rPr>
      </w:r>
      <w:r>
        <w:rPr/>
        <w:t>Variables</w:t>
      </w:r>
      <w:r>
        <w:rPr>
          <w:spacing w:val="-15"/>
        </w:rPr>
        <w:t> </w:t>
      </w:r>
      <w:r>
        <w:rPr/>
        <w:t>and</w:t>
      </w:r>
      <w:r>
        <w:rPr>
          <w:spacing w:val="-14"/>
        </w:rPr>
        <w:t> </w:t>
      </w:r>
      <w:r>
        <w:rPr>
          <w:spacing w:val="-2"/>
        </w:rPr>
        <w:t>Measures</w:t>
      </w:r>
    </w:p>
    <w:p>
      <w:pPr>
        <w:pStyle w:val="BodyText"/>
        <w:spacing w:line="360" w:lineRule="auto" w:before="219"/>
        <w:ind w:left="23" w:right="24"/>
        <w:jc w:val="both"/>
      </w:pPr>
      <w:r>
        <w:rPr/>
        <w:t>The quantitative analysis used variables that were directly available in the LSEG (Refinitiv) extracts and were consistent with the performed Excel-based aggregation:</w:t>
      </w:r>
    </w:p>
    <w:p>
      <w:pPr>
        <w:pStyle w:val="ListParagraph"/>
        <w:numPr>
          <w:ilvl w:val="3"/>
          <w:numId w:val="3"/>
        </w:numPr>
        <w:tabs>
          <w:tab w:pos="743" w:val="left" w:leader="none"/>
        </w:tabs>
        <w:spacing w:line="355" w:lineRule="auto" w:before="163" w:after="0"/>
        <w:ind w:left="743" w:right="22" w:hanging="360"/>
        <w:jc w:val="both"/>
        <w:rPr>
          <w:sz w:val="24"/>
        </w:rPr>
      </w:pPr>
      <w:r>
        <w:rPr>
          <w:sz w:val="24"/>
        </w:rPr>
        <w:t>Deal</w:t>
      </w:r>
      <w:r>
        <w:rPr>
          <w:spacing w:val="-3"/>
          <w:sz w:val="24"/>
        </w:rPr>
        <w:t> </w:t>
      </w:r>
      <w:r>
        <w:rPr>
          <w:sz w:val="24"/>
        </w:rPr>
        <w:t>volume</w:t>
      </w:r>
      <w:r>
        <w:rPr>
          <w:spacing w:val="-3"/>
          <w:sz w:val="24"/>
        </w:rPr>
        <w:t> </w:t>
      </w:r>
      <w:r>
        <w:rPr>
          <w:sz w:val="24"/>
        </w:rPr>
        <w:t>(round</w:t>
      </w:r>
      <w:r>
        <w:rPr>
          <w:spacing w:val="-4"/>
          <w:sz w:val="24"/>
        </w:rPr>
        <w:t> </w:t>
      </w:r>
      <w:r>
        <w:rPr>
          <w:sz w:val="24"/>
        </w:rPr>
        <w:t>count):</w:t>
      </w:r>
      <w:r>
        <w:rPr>
          <w:spacing w:val="-3"/>
          <w:sz w:val="24"/>
        </w:rPr>
        <w:t> </w:t>
      </w:r>
      <w:r>
        <w:rPr>
          <w:sz w:val="24"/>
        </w:rPr>
        <w:t>measured</w:t>
      </w:r>
      <w:r>
        <w:rPr>
          <w:spacing w:val="-3"/>
          <w:sz w:val="24"/>
        </w:rPr>
        <w:t> </w:t>
      </w:r>
      <w:r>
        <w:rPr>
          <w:sz w:val="24"/>
        </w:rPr>
        <w:t>as</w:t>
      </w:r>
      <w:r>
        <w:rPr>
          <w:spacing w:val="-4"/>
          <w:sz w:val="24"/>
        </w:rPr>
        <w:t> </w:t>
      </w:r>
      <w:r>
        <w:rPr>
          <w:sz w:val="24"/>
        </w:rPr>
        <w:t>the</w:t>
      </w:r>
      <w:r>
        <w:rPr>
          <w:spacing w:val="-3"/>
          <w:sz w:val="24"/>
        </w:rPr>
        <w:t> </w:t>
      </w:r>
      <w:r>
        <w:rPr>
          <w:sz w:val="24"/>
        </w:rPr>
        <w:t>count</w:t>
      </w:r>
      <w:r>
        <w:rPr>
          <w:spacing w:val="-3"/>
          <w:sz w:val="24"/>
        </w:rPr>
        <w:t> </w:t>
      </w:r>
      <w:r>
        <w:rPr>
          <w:sz w:val="24"/>
        </w:rPr>
        <w:t>of</w:t>
      </w:r>
      <w:r>
        <w:rPr>
          <w:spacing w:val="-3"/>
          <w:sz w:val="24"/>
        </w:rPr>
        <w:t> </w:t>
      </w:r>
      <w:r>
        <w:rPr>
          <w:sz w:val="24"/>
        </w:rPr>
        <w:t>investment</w:t>
      </w:r>
      <w:r>
        <w:rPr>
          <w:spacing w:val="-3"/>
          <w:sz w:val="24"/>
        </w:rPr>
        <w:t> </w:t>
      </w:r>
      <w:r>
        <w:rPr>
          <w:sz w:val="24"/>
        </w:rPr>
        <w:t>rounds</w:t>
      </w:r>
      <w:r>
        <w:rPr>
          <w:spacing w:val="-4"/>
          <w:sz w:val="24"/>
        </w:rPr>
        <w:t> </w:t>
      </w:r>
      <w:r>
        <w:rPr>
          <w:sz w:val="24"/>
        </w:rPr>
        <w:t>per</w:t>
      </w:r>
      <w:r>
        <w:rPr>
          <w:spacing w:val="-3"/>
          <w:sz w:val="24"/>
        </w:rPr>
        <w:t> </w:t>
      </w:r>
      <w:r>
        <w:rPr>
          <w:sz w:val="24"/>
        </w:rPr>
        <w:t>year</w:t>
      </w:r>
      <w:r>
        <w:rPr>
          <w:spacing w:val="-3"/>
          <w:sz w:val="24"/>
        </w:rPr>
        <w:t> </w:t>
      </w:r>
      <w:r>
        <w:rPr>
          <w:sz w:val="24"/>
        </w:rPr>
        <w:t>from </w:t>
      </w:r>
      <w:r>
        <w:rPr>
          <w:spacing w:val="-2"/>
          <w:sz w:val="24"/>
        </w:rPr>
        <w:t>2005</w:t>
      </w:r>
      <w:r>
        <w:rPr>
          <w:spacing w:val="-6"/>
          <w:sz w:val="24"/>
        </w:rPr>
        <w:t> </w:t>
      </w:r>
      <w:r>
        <w:rPr>
          <w:spacing w:val="-2"/>
          <w:sz w:val="24"/>
        </w:rPr>
        <w:t>to</w:t>
      </w:r>
      <w:r>
        <w:rPr>
          <w:spacing w:val="-5"/>
          <w:sz w:val="24"/>
        </w:rPr>
        <w:t> </w:t>
      </w:r>
      <w:r>
        <w:rPr>
          <w:spacing w:val="-2"/>
          <w:sz w:val="24"/>
        </w:rPr>
        <w:t>2024.</w:t>
      </w:r>
      <w:r>
        <w:rPr>
          <w:spacing w:val="-12"/>
          <w:sz w:val="24"/>
        </w:rPr>
        <w:t> </w:t>
      </w:r>
      <w:r>
        <w:rPr>
          <w:spacing w:val="-2"/>
          <w:sz w:val="24"/>
        </w:rPr>
        <w:t>This</w:t>
      </w:r>
      <w:r>
        <w:rPr>
          <w:spacing w:val="-5"/>
          <w:sz w:val="24"/>
        </w:rPr>
        <w:t> </w:t>
      </w:r>
      <w:r>
        <w:rPr>
          <w:spacing w:val="-2"/>
          <w:sz w:val="24"/>
        </w:rPr>
        <w:t>represented</w:t>
      </w:r>
      <w:r>
        <w:rPr>
          <w:spacing w:val="-6"/>
          <w:sz w:val="24"/>
        </w:rPr>
        <w:t> </w:t>
      </w:r>
      <w:r>
        <w:rPr>
          <w:spacing w:val="-2"/>
          <w:sz w:val="24"/>
        </w:rPr>
        <w:t>market</w:t>
      </w:r>
      <w:r>
        <w:rPr>
          <w:spacing w:val="-5"/>
          <w:sz w:val="24"/>
        </w:rPr>
        <w:t> </w:t>
      </w:r>
      <w:r>
        <w:rPr>
          <w:spacing w:val="-2"/>
          <w:sz w:val="24"/>
        </w:rPr>
        <w:t>activity</w:t>
      </w:r>
      <w:r>
        <w:rPr>
          <w:spacing w:val="-6"/>
          <w:sz w:val="24"/>
        </w:rPr>
        <w:t> </w:t>
      </w:r>
      <w:r>
        <w:rPr>
          <w:spacing w:val="-2"/>
          <w:sz w:val="24"/>
        </w:rPr>
        <w:t>levels</w:t>
      </w:r>
      <w:r>
        <w:rPr>
          <w:spacing w:val="-5"/>
          <w:sz w:val="24"/>
        </w:rPr>
        <w:t> </w:t>
      </w:r>
      <w:r>
        <w:rPr>
          <w:spacing w:val="-2"/>
          <w:sz w:val="24"/>
        </w:rPr>
        <w:t>and</w:t>
      </w:r>
      <w:r>
        <w:rPr>
          <w:spacing w:val="-6"/>
          <w:sz w:val="24"/>
        </w:rPr>
        <w:t> </w:t>
      </w:r>
      <w:r>
        <w:rPr>
          <w:spacing w:val="-2"/>
          <w:sz w:val="24"/>
        </w:rPr>
        <w:t>changes</w:t>
      </w:r>
      <w:r>
        <w:rPr>
          <w:spacing w:val="-6"/>
          <w:sz w:val="24"/>
        </w:rPr>
        <w:t> </w:t>
      </w:r>
      <w:r>
        <w:rPr>
          <w:spacing w:val="-2"/>
          <w:sz w:val="24"/>
        </w:rPr>
        <w:t>in</w:t>
      </w:r>
      <w:r>
        <w:rPr>
          <w:spacing w:val="-5"/>
          <w:sz w:val="24"/>
        </w:rPr>
        <w:t> </w:t>
      </w:r>
      <w:r>
        <w:rPr>
          <w:spacing w:val="-2"/>
          <w:sz w:val="24"/>
        </w:rPr>
        <w:t>capital</w:t>
      </w:r>
      <w:r>
        <w:rPr>
          <w:spacing w:val="-5"/>
          <w:sz w:val="24"/>
        </w:rPr>
        <w:t> </w:t>
      </w:r>
      <w:r>
        <w:rPr>
          <w:spacing w:val="-2"/>
          <w:sz w:val="24"/>
        </w:rPr>
        <w:t>deployment </w:t>
      </w:r>
      <w:r>
        <w:rPr>
          <w:sz w:val="24"/>
        </w:rPr>
        <w:t>frequency over time.</w:t>
      </w:r>
    </w:p>
    <w:p>
      <w:pPr>
        <w:pStyle w:val="ListParagraph"/>
        <w:numPr>
          <w:ilvl w:val="3"/>
          <w:numId w:val="3"/>
        </w:numPr>
        <w:tabs>
          <w:tab w:pos="743" w:val="left" w:leader="none"/>
        </w:tabs>
        <w:spacing w:line="355" w:lineRule="auto" w:before="6" w:after="0"/>
        <w:ind w:left="743" w:right="21" w:hanging="360"/>
        <w:jc w:val="both"/>
        <w:rPr>
          <w:sz w:val="24"/>
        </w:rPr>
      </w:pPr>
      <w:r>
        <w:rPr>
          <w:sz w:val="24"/>
        </w:rPr>
        <w:t>Round-level</w:t>
      </w:r>
      <w:r>
        <w:rPr>
          <w:spacing w:val="-1"/>
          <w:sz w:val="24"/>
        </w:rPr>
        <w:t> </w:t>
      </w:r>
      <w:r>
        <w:rPr>
          <w:sz w:val="24"/>
        </w:rPr>
        <w:t>investment value:</w:t>
      </w:r>
      <w:r>
        <w:rPr>
          <w:spacing w:val="-1"/>
          <w:sz w:val="24"/>
        </w:rPr>
        <w:t> </w:t>
      </w:r>
      <w:r>
        <w:rPr>
          <w:sz w:val="24"/>
        </w:rPr>
        <w:t>measured as</w:t>
      </w:r>
      <w:r>
        <w:rPr>
          <w:spacing w:val="-1"/>
          <w:sz w:val="24"/>
        </w:rPr>
        <w:t> </w:t>
      </w:r>
      <w:r>
        <w:rPr>
          <w:sz w:val="24"/>
        </w:rPr>
        <w:t>the aggregated</w:t>
      </w:r>
      <w:r>
        <w:rPr>
          <w:spacing w:val="-4"/>
          <w:sz w:val="24"/>
        </w:rPr>
        <w:t> </w:t>
      </w:r>
      <w:r>
        <w:rPr>
          <w:sz w:val="24"/>
        </w:rPr>
        <w:t>Total</w:t>
      </w:r>
      <w:r>
        <w:rPr>
          <w:spacing w:val="-1"/>
          <w:sz w:val="24"/>
        </w:rPr>
        <w:t> </w:t>
      </w:r>
      <w:r>
        <w:rPr>
          <w:sz w:val="24"/>
        </w:rPr>
        <w:t>Round</w:t>
      </w:r>
      <w:r>
        <w:rPr>
          <w:spacing w:val="-5"/>
          <w:sz w:val="24"/>
        </w:rPr>
        <w:t> </w:t>
      </w:r>
      <w:r>
        <w:rPr>
          <w:sz w:val="24"/>
        </w:rPr>
        <w:t>Value</w:t>
      </w:r>
      <w:r>
        <w:rPr>
          <w:spacing w:val="-1"/>
          <w:sz w:val="24"/>
        </w:rPr>
        <w:t> </w:t>
      </w:r>
      <w:r>
        <w:rPr>
          <w:sz w:val="24"/>
        </w:rPr>
        <w:t>(where available)</w:t>
      </w:r>
      <w:r>
        <w:rPr>
          <w:spacing w:val="-15"/>
          <w:sz w:val="24"/>
        </w:rPr>
        <w:t> </w:t>
      </w:r>
      <w:r>
        <w:rPr>
          <w:sz w:val="24"/>
        </w:rPr>
        <w:t>and</w:t>
      </w:r>
      <w:r>
        <w:rPr>
          <w:spacing w:val="-13"/>
          <w:sz w:val="24"/>
        </w:rPr>
        <w:t> </w:t>
      </w:r>
      <w:r>
        <w:rPr>
          <w:sz w:val="24"/>
        </w:rPr>
        <w:t>summarized</w:t>
      </w:r>
      <w:r>
        <w:rPr>
          <w:spacing w:val="-14"/>
          <w:sz w:val="24"/>
        </w:rPr>
        <w:t> </w:t>
      </w:r>
      <w:r>
        <w:rPr>
          <w:sz w:val="24"/>
        </w:rPr>
        <w:t>by</w:t>
      </w:r>
      <w:r>
        <w:rPr>
          <w:spacing w:val="-14"/>
          <w:sz w:val="24"/>
        </w:rPr>
        <w:t> </w:t>
      </w:r>
      <w:r>
        <w:rPr>
          <w:sz w:val="24"/>
        </w:rPr>
        <w:t>year.</w:t>
      </w:r>
      <w:r>
        <w:rPr>
          <w:spacing w:val="-15"/>
          <w:sz w:val="24"/>
        </w:rPr>
        <w:t> </w:t>
      </w:r>
      <w:r>
        <w:rPr>
          <w:sz w:val="24"/>
        </w:rPr>
        <w:t>This</w:t>
      </w:r>
      <w:r>
        <w:rPr>
          <w:spacing w:val="-14"/>
          <w:sz w:val="24"/>
        </w:rPr>
        <w:t> </w:t>
      </w:r>
      <w:r>
        <w:rPr>
          <w:sz w:val="24"/>
        </w:rPr>
        <w:t>captured</w:t>
      </w:r>
      <w:r>
        <w:rPr>
          <w:spacing w:val="-14"/>
          <w:sz w:val="24"/>
        </w:rPr>
        <w:t> </w:t>
      </w:r>
      <w:r>
        <w:rPr>
          <w:sz w:val="24"/>
        </w:rPr>
        <w:t>the</w:t>
      </w:r>
      <w:r>
        <w:rPr>
          <w:spacing w:val="-15"/>
          <w:sz w:val="24"/>
        </w:rPr>
        <w:t> </w:t>
      </w:r>
      <w:r>
        <w:rPr>
          <w:sz w:val="24"/>
        </w:rPr>
        <w:t>directional</w:t>
      </w:r>
      <w:r>
        <w:rPr>
          <w:spacing w:val="-14"/>
          <w:sz w:val="24"/>
        </w:rPr>
        <w:t> </w:t>
      </w:r>
      <w:r>
        <w:rPr>
          <w:sz w:val="24"/>
        </w:rPr>
        <w:t>movement</w:t>
      </w:r>
      <w:r>
        <w:rPr>
          <w:spacing w:val="-12"/>
          <w:sz w:val="24"/>
        </w:rPr>
        <w:t> </w:t>
      </w:r>
      <w:r>
        <w:rPr>
          <w:sz w:val="24"/>
        </w:rPr>
        <w:t>of</w:t>
      </w:r>
      <w:r>
        <w:rPr>
          <w:spacing w:val="-15"/>
          <w:sz w:val="24"/>
        </w:rPr>
        <w:t> </w:t>
      </w:r>
      <w:r>
        <w:rPr>
          <w:sz w:val="24"/>
        </w:rPr>
        <w:t>invested capital at ground level, rather than “transaction-level investment size” per investor.</w:t>
      </w:r>
    </w:p>
    <w:p>
      <w:pPr>
        <w:pStyle w:val="ListParagraph"/>
        <w:spacing w:after="0" w:line="355" w:lineRule="auto"/>
        <w:jc w:val="both"/>
        <w:rPr>
          <w:sz w:val="24"/>
        </w:rPr>
        <w:sectPr>
          <w:pgSz w:w="11910" w:h="16840"/>
          <w:pgMar w:header="0" w:footer="1009" w:top="1360" w:bottom="1200" w:left="1417" w:right="1417"/>
        </w:sectPr>
      </w:pPr>
    </w:p>
    <w:p>
      <w:pPr>
        <w:pStyle w:val="ListParagraph"/>
        <w:numPr>
          <w:ilvl w:val="3"/>
          <w:numId w:val="3"/>
        </w:numPr>
        <w:tabs>
          <w:tab w:pos="743" w:val="left" w:leader="none"/>
        </w:tabs>
        <w:spacing w:line="355" w:lineRule="auto" w:before="83" w:after="0"/>
        <w:ind w:left="743" w:right="20" w:hanging="360"/>
        <w:jc w:val="both"/>
        <w:rPr>
          <w:sz w:val="24"/>
        </w:rPr>
      </w:pPr>
      <w:r>
        <w:rPr>
          <w:sz w:val="24"/>
        </w:rPr>
        <w:t>Sector allocation: measured through LSEG sector/industry classifications attached to each round and summarized as yearly or period-based distributions. This variable captured shifts in sector emphasis within PE deployment.</w:t>
      </w:r>
    </w:p>
    <w:p>
      <w:pPr>
        <w:pStyle w:val="ListParagraph"/>
        <w:numPr>
          <w:ilvl w:val="3"/>
          <w:numId w:val="3"/>
        </w:numPr>
        <w:tabs>
          <w:tab w:pos="743" w:val="left" w:leader="none"/>
        </w:tabs>
        <w:spacing w:line="348" w:lineRule="auto" w:before="8" w:after="0"/>
        <w:ind w:left="743" w:right="23" w:hanging="360"/>
        <w:jc w:val="both"/>
        <w:rPr>
          <w:sz w:val="24"/>
        </w:rPr>
      </w:pPr>
      <w:r>
        <w:rPr>
          <w:sz w:val="24"/>
        </w:rPr>
        <w:t>Exit frequency and exit-route distribution: measured as the count of exits by year and the</w:t>
      </w:r>
      <w:r>
        <w:rPr>
          <w:spacing w:val="-15"/>
          <w:sz w:val="24"/>
        </w:rPr>
        <w:t> </w:t>
      </w:r>
      <w:r>
        <w:rPr>
          <w:sz w:val="24"/>
        </w:rPr>
        <w:t>proportion</w:t>
      </w:r>
      <w:r>
        <w:rPr>
          <w:spacing w:val="-13"/>
          <w:sz w:val="24"/>
        </w:rPr>
        <w:t> </w:t>
      </w:r>
      <w:r>
        <w:rPr>
          <w:sz w:val="24"/>
        </w:rPr>
        <w:t>of</w:t>
      </w:r>
      <w:r>
        <w:rPr>
          <w:spacing w:val="-14"/>
          <w:sz w:val="24"/>
        </w:rPr>
        <w:t> </w:t>
      </w:r>
      <w:r>
        <w:rPr>
          <w:sz w:val="24"/>
        </w:rPr>
        <w:t>exits</w:t>
      </w:r>
      <w:r>
        <w:rPr>
          <w:spacing w:val="-13"/>
          <w:sz w:val="24"/>
        </w:rPr>
        <w:t> </w:t>
      </w:r>
      <w:r>
        <w:rPr>
          <w:sz w:val="24"/>
        </w:rPr>
        <w:t>by</w:t>
      </w:r>
      <w:r>
        <w:rPr>
          <w:spacing w:val="-15"/>
          <w:sz w:val="24"/>
        </w:rPr>
        <w:t> </w:t>
      </w:r>
      <w:r>
        <w:rPr>
          <w:sz w:val="24"/>
        </w:rPr>
        <w:t>route</w:t>
      </w:r>
      <w:r>
        <w:rPr>
          <w:spacing w:val="-14"/>
          <w:sz w:val="24"/>
        </w:rPr>
        <w:t> </w:t>
      </w:r>
      <w:r>
        <w:rPr>
          <w:sz w:val="24"/>
        </w:rPr>
        <w:t>(e.g.,</w:t>
      </w:r>
      <w:r>
        <w:rPr>
          <w:spacing w:val="-13"/>
          <w:sz w:val="24"/>
        </w:rPr>
        <w:t> </w:t>
      </w:r>
      <w:r>
        <w:rPr>
          <w:sz w:val="24"/>
        </w:rPr>
        <w:t>IPO</w:t>
      </w:r>
      <w:r>
        <w:rPr>
          <w:spacing w:val="-13"/>
          <w:sz w:val="24"/>
        </w:rPr>
        <w:t> </w:t>
      </w:r>
      <w:r>
        <w:rPr>
          <w:sz w:val="24"/>
        </w:rPr>
        <w:t>vs</w:t>
      </w:r>
      <w:r>
        <w:rPr>
          <w:spacing w:val="-13"/>
          <w:sz w:val="24"/>
        </w:rPr>
        <w:t> </w:t>
      </w:r>
      <w:r>
        <w:rPr>
          <w:sz w:val="24"/>
        </w:rPr>
        <w:t>M&amp;A</w:t>
      </w:r>
      <w:r>
        <w:rPr>
          <w:spacing w:val="-22"/>
          <w:sz w:val="24"/>
        </w:rPr>
        <w:t> </w:t>
      </w:r>
      <w:r>
        <w:rPr>
          <w:sz w:val="24"/>
        </w:rPr>
        <w:t>categories</w:t>
      </w:r>
      <w:r>
        <w:rPr>
          <w:spacing w:val="-11"/>
          <w:sz w:val="24"/>
        </w:rPr>
        <w:t> </w:t>
      </w:r>
      <w:r>
        <w:rPr>
          <w:sz w:val="24"/>
        </w:rPr>
        <w:t>as</w:t>
      </w:r>
      <w:r>
        <w:rPr>
          <w:spacing w:val="-13"/>
          <w:sz w:val="24"/>
        </w:rPr>
        <w:t> </w:t>
      </w:r>
      <w:r>
        <w:rPr>
          <w:sz w:val="24"/>
        </w:rPr>
        <w:t>labelled</w:t>
      </w:r>
      <w:r>
        <w:rPr>
          <w:spacing w:val="-13"/>
          <w:sz w:val="24"/>
        </w:rPr>
        <w:t> </w:t>
      </w:r>
      <w:r>
        <w:rPr>
          <w:sz w:val="24"/>
        </w:rPr>
        <w:t>in</w:t>
      </w:r>
      <w:r>
        <w:rPr>
          <w:spacing w:val="-13"/>
          <w:sz w:val="24"/>
        </w:rPr>
        <w:t> </w:t>
      </w:r>
      <w:r>
        <w:rPr>
          <w:sz w:val="24"/>
        </w:rPr>
        <w:t>the</w:t>
      </w:r>
      <w:r>
        <w:rPr>
          <w:spacing w:val="-14"/>
          <w:sz w:val="24"/>
        </w:rPr>
        <w:t> </w:t>
      </w:r>
      <w:r>
        <w:rPr>
          <w:sz w:val="24"/>
        </w:rPr>
        <w:t>dataset).</w:t>
      </w:r>
    </w:p>
    <w:p>
      <w:pPr>
        <w:pStyle w:val="BodyText"/>
        <w:spacing w:line="360" w:lineRule="auto" w:before="174"/>
        <w:ind w:left="23" w:right="21"/>
        <w:jc w:val="both"/>
      </w:pPr>
      <w:r>
        <w:rPr/>
        <w:t>Importantly, return-based performance metrics such as IRR or MOIC were not analyzed, because these measures were not consistently available in the extracted data and could not be computed</w:t>
      </w:r>
      <w:r>
        <w:rPr>
          <w:spacing w:val="-14"/>
        </w:rPr>
        <w:t> </w:t>
      </w:r>
      <w:r>
        <w:rPr/>
        <w:t>reliably</w:t>
      </w:r>
      <w:r>
        <w:rPr>
          <w:spacing w:val="-13"/>
        </w:rPr>
        <w:t> </w:t>
      </w:r>
      <w:r>
        <w:rPr/>
        <w:t>from</w:t>
      </w:r>
      <w:r>
        <w:rPr>
          <w:spacing w:val="-13"/>
        </w:rPr>
        <w:t> </w:t>
      </w:r>
      <w:r>
        <w:rPr/>
        <w:t>the</w:t>
      </w:r>
      <w:r>
        <w:rPr>
          <w:spacing w:val="-14"/>
        </w:rPr>
        <w:t> </w:t>
      </w:r>
      <w:r>
        <w:rPr/>
        <w:t>public</w:t>
      </w:r>
      <w:r>
        <w:rPr>
          <w:spacing w:val="-14"/>
        </w:rPr>
        <w:t> </w:t>
      </w:r>
      <w:r>
        <w:rPr/>
        <w:t>deal-level</w:t>
      </w:r>
      <w:r>
        <w:rPr>
          <w:spacing w:val="-13"/>
        </w:rPr>
        <w:t> </w:t>
      </w:r>
      <w:r>
        <w:rPr/>
        <w:t>fields.</w:t>
      </w:r>
      <w:r>
        <w:rPr>
          <w:spacing w:val="-15"/>
        </w:rPr>
        <w:t> </w:t>
      </w:r>
      <w:r>
        <w:rPr/>
        <w:t>Therefore,</w:t>
      </w:r>
      <w:r>
        <w:rPr>
          <w:spacing w:val="-13"/>
        </w:rPr>
        <w:t> </w:t>
      </w:r>
      <w:r>
        <w:rPr/>
        <w:t>the</w:t>
      </w:r>
      <w:r>
        <w:rPr>
          <w:spacing w:val="-14"/>
        </w:rPr>
        <w:t> </w:t>
      </w:r>
      <w:r>
        <w:rPr/>
        <w:t>exit</w:t>
      </w:r>
      <w:r>
        <w:rPr>
          <w:spacing w:val="-12"/>
        </w:rPr>
        <w:t> </w:t>
      </w:r>
      <w:r>
        <w:rPr/>
        <w:t>analysis</w:t>
      </w:r>
      <w:r>
        <w:rPr>
          <w:spacing w:val="-13"/>
        </w:rPr>
        <w:t> </w:t>
      </w:r>
      <w:r>
        <w:rPr/>
        <w:t>focused</w:t>
      </w:r>
      <w:r>
        <w:rPr>
          <w:spacing w:val="-13"/>
        </w:rPr>
        <w:t> </w:t>
      </w:r>
      <w:r>
        <w:rPr/>
        <w:t>strictly on exit occurrence patterns and exit route composition, not exit “returns” or “performance” (Kaufman, 2025).</w:t>
      </w:r>
    </w:p>
    <w:p>
      <w:pPr>
        <w:pStyle w:val="Heading3"/>
        <w:numPr>
          <w:ilvl w:val="2"/>
          <w:numId w:val="3"/>
        </w:numPr>
        <w:tabs>
          <w:tab w:pos="563" w:val="left" w:leader="none"/>
        </w:tabs>
        <w:spacing w:line="240" w:lineRule="auto" w:before="163" w:after="0"/>
        <w:ind w:left="563" w:right="0" w:hanging="540"/>
        <w:jc w:val="both"/>
      </w:pPr>
      <w:bookmarkStart w:name="_bookmark21" w:id="22"/>
      <w:bookmarkEnd w:id="22"/>
      <w:r>
        <w:rPr>
          <w:b w:val="0"/>
        </w:rPr>
      </w:r>
      <w:r>
        <w:rPr/>
        <w:t>Data</w:t>
      </w:r>
      <w:r>
        <w:rPr>
          <w:spacing w:val="-4"/>
        </w:rPr>
        <w:t> </w:t>
      </w:r>
      <w:r>
        <w:rPr/>
        <w:t>preparation</w:t>
      </w:r>
      <w:r>
        <w:rPr>
          <w:spacing w:val="-4"/>
        </w:rPr>
        <w:t> </w:t>
      </w:r>
      <w:r>
        <w:rPr/>
        <w:t>and</w:t>
      </w:r>
      <w:r>
        <w:rPr>
          <w:spacing w:val="-4"/>
        </w:rPr>
        <w:t> </w:t>
      </w:r>
      <w:r>
        <w:rPr/>
        <w:t>Excel</w:t>
      </w:r>
      <w:r>
        <w:rPr>
          <w:spacing w:val="-3"/>
        </w:rPr>
        <w:t> </w:t>
      </w:r>
      <w:r>
        <w:rPr>
          <w:spacing w:val="-2"/>
        </w:rPr>
        <w:t>workflow</w:t>
      </w:r>
    </w:p>
    <w:p>
      <w:pPr>
        <w:pStyle w:val="BodyText"/>
        <w:spacing w:line="360" w:lineRule="auto" w:before="216"/>
        <w:ind w:left="23" w:right="23"/>
        <w:jc w:val="both"/>
      </w:pPr>
      <w:r>
        <w:rPr/>
        <w:t>All quantitative processing was completed in Microsoft Excel and followed a structured </w:t>
      </w:r>
      <w:r>
        <w:rPr>
          <w:spacing w:val="-2"/>
        </w:rPr>
        <w:t>workflow:</w:t>
      </w:r>
    </w:p>
    <w:p>
      <w:pPr>
        <w:pStyle w:val="ListParagraph"/>
        <w:numPr>
          <w:ilvl w:val="3"/>
          <w:numId w:val="3"/>
        </w:numPr>
        <w:tabs>
          <w:tab w:pos="743" w:val="left" w:leader="none"/>
        </w:tabs>
        <w:spacing w:line="355" w:lineRule="auto" w:before="163" w:after="0"/>
        <w:ind w:left="743" w:right="20" w:hanging="360"/>
        <w:jc w:val="both"/>
        <w:rPr>
          <w:sz w:val="24"/>
        </w:rPr>
      </w:pPr>
      <w:r>
        <w:rPr>
          <w:sz w:val="24"/>
        </w:rPr>
        <w:t>Cleaning: inconsistent date fields and missing year values were handled through standardization and filtering; duplicate investor rows were resolved through round- level aggregation logic.</w:t>
      </w:r>
    </w:p>
    <w:p>
      <w:pPr>
        <w:pStyle w:val="ListParagraph"/>
        <w:numPr>
          <w:ilvl w:val="3"/>
          <w:numId w:val="3"/>
        </w:numPr>
        <w:tabs>
          <w:tab w:pos="743" w:val="left" w:leader="none"/>
        </w:tabs>
        <w:spacing w:line="355" w:lineRule="auto" w:before="8" w:after="0"/>
        <w:ind w:left="743" w:right="13" w:hanging="360"/>
        <w:jc w:val="both"/>
        <w:rPr>
          <w:sz w:val="24"/>
        </w:rPr>
      </w:pPr>
      <w:r>
        <w:rPr>
          <w:sz w:val="24"/>
        </w:rPr>
        <w:t>Aggregation: investment observations were aggregated using Round ID to produce a single record per round, enabling accurate yearly counts and sums without multi- investor duplication.</w:t>
      </w:r>
    </w:p>
    <w:p>
      <w:pPr>
        <w:pStyle w:val="ListParagraph"/>
        <w:numPr>
          <w:ilvl w:val="3"/>
          <w:numId w:val="3"/>
        </w:numPr>
        <w:tabs>
          <w:tab w:pos="743" w:val="left" w:leader="none"/>
        </w:tabs>
        <w:spacing w:line="350" w:lineRule="auto" w:before="6" w:after="0"/>
        <w:ind w:left="743" w:right="22" w:hanging="360"/>
        <w:jc w:val="both"/>
        <w:rPr>
          <w:sz w:val="24"/>
        </w:rPr>
      </w:pPr>
      <w:r>
        <w:rPr>
          <w:sz w:val="24"/>
        </w:rPr>
        <w:t>Pivot</w:t>
      </w:r>
      <w:r>
        <w:rPr>
          <w:spacing w:val="-15"/>
          <w:sz w:val="24"/>
        </w:rPr>
        <w:t> </w:t>
      </w:r>
      <w:r>
        <w:rPr>
          <w:sz w:val="24"/>
        </w:rPr>
        <w:t>tables:</w:t>
      </w:r>
      <w:r>
        <w:rPr>
          <w:spacing w:val="-15"/>
          <w:sz w:val="24"/>
        </w:rPr>
        <w:t> </w:t>
      </w:r>
      <w:r>
        <w:rPr>
          <w:sz w:val="24"/>
        </w:rPr>
        <w:t>pivot</w:t>
      </w:r>
      <w:r>
        <w:rPr>
          <w:spacing w:val="-15"/>
          <w:sz w:val="24"/>
        </w:rPr>
        <w:t> </w:t>
      </w:r>
      <w:r>
        <w:rPr>
          <w:sz w:val="24"/>
        </w:rPr>
        <w:t>tables</w:t>
      </w:r>
      <w:r>
        <w:rPr>
          <w:spacing w:val="-15"/>
          <w:sz w:val="24"/>
        </w:rPr>
        <w:t> </w:t>
      </w:r>
      <w:r>
        <w:rPr>
          <w:sz w:val="24"/>
        </w:rPr>
        <w:t>were</w:t>
      </w:r>
      <w:r>
        <w:rPr>
          <w:spacing w:val="-15"/>
          <w:sz w:val="24"/>
        </w:rPr>
        <w:t> </w:t>
      </w:r>
      <w:r>
        <w:rPr>
          <w:sz w:val="24"/>
        </w:rPr>
        <w:t>used</w:t>
      </w:r>
      <w:r>
        <w:rPr>
          <w:spacing w:val="-15"/>
          <w:sz w:val="24"/>
        </w:rPr>
        <w:t> </w:t>
      </w:r>
      <w:r>
        <w:rPr>
          <w:sz w:val="24"/>
        </w:rPr>
        <w:t>to</w:t>
      </w:r>
      <w:r>
        <w:rPr>
          <w:spacing w:val="-14"/>
          <w:sz w:val="24"/>
        </w:rPr>
        <w:t> </w:t>
      </w:r>
      <w:r>
        <w:rPr>
          <w:sz w:val="24"/>
        </w:rPr>
        <w:t>summaries</w:t>
      </w:r>
      <w:r>
        <w:rPr>
          <w:spacing w:val="-15"/>
          <w:sz w:val="24"/>
        </w:rPr>
        <w:t> </w:t>
      </w:r>
      <w:r>
        <w:rPr>
          <w:sz w:val="24"/>
        </w:rPr>
        <w:t>annual</w:t>
      </w:r>
      <w:r>
        <w:rPr>
          <w:spacing w:val="-15"/>
          <w:sz w:val="24"/>
        </w:rPr>
        <w:t> </w:t>
      </w:r>
      <w:r>
        <w:rPr>
          <w:sz w:val="24"/>
        </w:rPr>
        <w:t>deal</w:t>
      </w:r>
      <w:r>
        <w:rPr>
          <w:spacing w:val="-13"/>
          <w:sz w:val="24"/>
        </w:rPr>
        <w:t> </w:t>
      </w:r>
      <w:r>
        <w:rPr>
          <w:sz w:val="24"/>
        </w:rPr>
        <w:t>counts,</w:t>
      </w:r>
      <w:r>
        <w:rPr>
          <w:spacing w:val="-15"/>
          <w:sz w:val="24"/>
        </w:rPr>
        <w:t> </w:t>
      </w:r>
      <w:r>
        <w:rPr>
          <w:sz w:val="24"/>
        </w:rPr>
        <w:t>annual</w:t>
      </w:r>
      <w:r>
        <w:rPr>
          <w:spacing w:val="-13"/>
          <w:sz w:val="24"/>
        </w:rPr>
        <w:t> </w:t>
      </w:r>
      <w:r>
        <w:rPr>
          <w:sz w:val="24"/>
        </w:rPr>
        <w:t>total</w:t>
      </w:r>
      <w:r>
        <w:rPr>
          <w:spacing w:val="-15"/>
          <w:sz w:val="24"/>
        </w:rPr>
        <w:t> </w:t>
      </w:r>
      <w:r>
        <w:rPr>
          <w:sz w:val="24"/>
        </w:rPr>
        <w:t>round value, sector distributions, and exit-route distributions.</w:t>
      </w:r>
    </w:p>
    <w:p>
      <w:pPr>
        <w:pStyle w:val="ListParagraph"/>
        <w:numPr>
          <w:ilvl w:val="3"/>
          <w:numId w:val="3"/>
        </w:numPr>
        <w:tabs>
          <w:tab w:pos="743" w:val="left" w:leader="none"/>
        </w:tabs>
        <w:spacing w:line="355" w:lineRule="auto" w:before="13" w:after="0"/>
        <w:ind w:left="743" w:right="26" w:hanging="360"/>
        <w:jc w:val="both"/>
        <w:rPr>
          <w:sz w:val="24"/>
        </w:rPr>
      </w:pPr>
      <w:r>
        <w:rPr>
          <w:sz w:val="24"/>
        </w:rPr>
        <w:t>Charts and visualization: line charts and column charts were generated directly from pivot outputs to present (i) investment activity over time, (ii) capital deployment patterns, (iii) sector shifts, and (iv) exit-route composition.</w:t>
      </w:r>
    </w:p>
    <w:p>
      <w:pPr>
        <w:pStyle w:val="BodyText"/>
        <w:spacing w:line="360" w:lineRule="auto" w:before="167"/>
        <w:ind w:left="23" w:right="23"/>
        <w:jc w:val="both"/>
      </w:pPr>
      <w:r>
        <w:rPr/>
        <w:t>Raw extracts and cleaned working files were stored externally as part of the project documentation</w:t>
      </w:r>
      <w:r>
        <w:rPr>
          <w:spacing w:val="-12"/>
        </w:rPr>
        <w:t> </w:t>
      </w:r>
      <w:r>
        <w:rPr/>
        <w:t>(Google</w:t>
      </w:r>
      <w:r>
        <w:rPr>
          <w:spacing w:val="-12"/>
        </w:rPr>
        <w:t> </w:t>
      </w:r>
      <w:r>
        <w:rPr/>
        <w:t>Drive</w:t>
      </w:r>
      <w:r>
        <w:rPr>
          <w:spacing w:val="-12"/>
        </w:rPr>
        <w:t> </w:t>
      </w:r>
      <w:r>
        <w:rPr/>
        <w:t>annex),</w:t>
      </w:r>
      <w:r>
        <w:rPr>
          <w:spacing w:val="-12"/>
        </w:rPr>
        <w:t> </w:t>
      </w:r>
      <w:r>
        <w:rPr/>
        <w:t>ensuring</w:t>
      </w:r>
      <w:r>
        <w:rPr>
          <w:spacing w:val="-12"/>
        </w:rPr>
        <w:t> </w:t>
      </w:r>
      <w:r>
        <w:rPr/>
        <w:t>transparency</w:t>
      </w:r>
      <w:r>
        <w:rPr>
          <w:spacing w:val="-12"/>
        </w:rPr>
        <w:t> </w:t>
      </w:r>
      <w:r>
        <w:rPr/>
        <w:t>and</w:t>
      </w:r>
      <w:r>
        <w:rPr>
          <w:spacing w:val="-12"/>
        </w:rPr>
        <w:t> </w:t>
      </w:r>
      <w:r>
        <w:rPr/>
        <w:t>traceability</w:t>
      </w:r>
      <w:r>
        <w:rPr>
          <w:spacing w:val="-12"/>
        </w:rPr>
        <w:t> </w:t>
      </w:r>
      <w:r>
        <w:rPr/>
        <w:t>between</w:t>
      </w:r>
      <w:r>
        <w:rPr>
          <w:spacing w:val="-12"/>
        </w:rPr>
        <w:t> </w:t>
      </w:r>
      <w:r>
        <w:rPr/>
        <w:t>raw</w:t>
      </w:r>
      <w:r>
        <w:rPr>
          <w:spacing w:val="-12"/>
        </w:rPr>
        <w:t> </w:t>
      </w:r>
      <w:r>
        <w:rPr/>
        <w:t>data and the final analytical tables (Farid et al., 2025).</w:t>
      </w:r>
    </w:p>
    <w:p>
      <w:pPr>
        <w:pStyle w:val="Heading3"/>
        <w:numPr>
          <w:ilvl w:val="2"/>
          <w:numId w:val="3"/>
        </w:numPr>
        <w:tabs>
          <w:tab w:pos="548" w:val="left" w:leader="none"/>
        </w:tabs>
        <w:spacing w:line="240" w:lineRule="auto" w:before="160" w:after="0"/>
        <w:ind w:left="548" w:right="0" w:hanging="525"/>
        <w:jc w:val="both"/>
      </w:pPr>
      <w:bookmarkStart w:name="_bookmark22" w:id="23"/>
      <w:bookmarkEnd w:id="23"/>
      <w:r>
        <w:rPr>
          <w:b w:val="0"/>
        </w:rPr>
      </w:r>
      <w:r>
        <w:rPr/>
        <w:t>Analytical</w:t>
      </w:r>
      <w:r>
        <w:rPr>
          <w:spacing w:val="-2"/>
        </w:rPr>
        <w:t> approach</w:t>
      </w:r>
    </w:p>
    <w:p>
      <w:pPr>
        <w:pStyle w:val="BodyText"/>
        <w:spacing w:line="360" w:lineRule="auto" w:before="219"/>
        <w:ind w:left="23" w:right="24"/>
        <w:jc w:val="both"/>
      </w:pPr>
      <w:r>
        <w:rPr/>
        <w:t>Because the analysis was designed around Excel-based aggregation rather than statistical modelling, the quantitative approach was descriptive. It focused on:</w:t>
      </w:r>
    </w:p>
    <w:p>
      <w:pPr>
        <w:pStyle w:val="BodyText"/>
        <w:spacing w:after="0" w:line="360" w:lineRule="auto"/>
        <w:jc w:val="both"/>
        <w:sectPr>
          <w:pgSz w:w="11910" w:h="16840"/>
          <w:pgMar w:header="0" w:footer="1009" w:top="1340" w:bottom="1200" w:left="1417" w:right="1417"/>
        </w:sectPr>
      </w:pPr>
    </w:p>
    <w:p>
      <w:pPr>
        <w:pStyle w:val="ListParagraph"/>
        <w:numPr>
          <w:ilvl w:val="3"/>
          <w:numId w:val="3"/>
        </w:numPr>
        <w:tabs>
          <w:tab w:pos="743" w:val="left" w:leader="none"/>
        </w:tabs>
        <w:spacing w:line="350" w:lineRule="auto" w:before="83" w:after="0"/>
        <w:ind w:left="743" w:right="24" w:hanging="360"/>
        <w:jc w:val="left"/>
        <w:rPr>
          <w:sz w:val="24"/>
        </w:rPr>
      </w:pPr>
      <w:r>
        <w:rPr>
          <w:sz w:val="24"/>
        </w:rPr>
        <w:t>Descriptive</w:t>
      </w:r>
      <w:r>
        <w:rPr>
          <w:spacing w:val="40"/>
          <w:sz w:val="24"/>
        </w:rPr>
        <w:t> </w:t>
      </w:r>
      <w:r>
        <w:rPr>
          <w:sz w:val="24"/>
        </w:rPr>
        <w:t>aggregation:</w:t>
      </w:r>
      <w:r>
        <w:rPr>
          <w:spacing w:val="40"/>
          <w:sz w:val="24"/>
        </w:rPr>
        <w:t> </w:t>
      </w:r>
      <w:r>
        <w:rPr>
          <w:sz w:val="24"/>
        </w:rPr>
        <w:t>yearly</w:t>
      </w:r>
      <w:r>
        <w:rPr>
          <w:spacing w:val="40"/>
          <w:sz w:val="24"/>
        </w:rPr>
        <w:t> </w:t>
      </w:r>
      <w:r>
        <w:rPr>
          <w:sz w:val="24"/>
        </w:rPr>
        <w:t>totals</w:t>
      </w:r>
      <w:r>
        <w:rPr>
          <w:spacing w:val="40"/>
          <w:sz w:val="24"/>
        </w:rPr>
        <w:t> </w:t>
      </w:r>
      <w:r>
        <w:rPr>
          <w:sz w:val="24"/>
        </w:rPr>
        <w:t>and</w:t>
      </w:r>
      <w:r>
        <w:rPr>
          <w:spacing w:val="40"/>
          <w:sz w:val="24"/>
        </w:rPr>
        <w:t> </w:t>
      </w:r>
      <w:r>
        <w:rPr>
          <w:sz w:val="24"/>
        </w:rPr>
        <w:t>counts</w:t>
      </w:r>
      <w:r>
        <w:rPr>
          <w:spacing w:val="40"/>
          <w:sz w:val="24"/>
        </w:rPr>
        <w:t> </w:t>
      </w:r>
      <w:r>
        <w:rPr>
          <w:sz w:val="24"/>
        </w:rPr>
        <w:t>to</w:t>
      </w:r>
      <w:r>
        <w:rPr>
          <w:spacing w:val="40"/>
          <w:sz w:val="24"/>
        </w:rPr>
        <w:t> </w:t>
      </w:r>
      <w:r>
        <w:rPr>
          <w:sz w:val="24"/>
        </w:rPr>
        <w:t>describe</w:t>
      </w:r>
      <w:r>
        <w:rPr>
          <w:spacing w:val="40"/>
          <w:sz w:val="24"/>
        </w:rPr>
        <w:t> </w:t>
      </w:r>
      <w:r>
        <w:rPr>
          <w:sz w:val="24"/>
        </w:rPr>
        <w:t>market</w:t>
      </w:r>
      <w:r>
        <w:rPr>
          <w:spacing w:val="40"/>
          <w:sz w:val="24"/>
        </w:rPr>
        <w:t> </w:t>
      </w:r>
      <w:r>
        <w:rPr>
          <w:sz w:val="24"/>
        </w:rPr>
        <w:t>direction</w:t>
      </w:r>
      <w:r>
        <w:rPr>
          <w:spacing w:val="40"/>
          <w:sz w:val="24"/>
        </w:rPr>
        <w:t> </w:t>
      </w:r>
      <w:r>
        <w:rPr>
          <w:sz w:val="24"/>
        </w:rPr>
        <w:t>and turning points.</w:t>
      </w:r>
    </w:p>
    <w:p>
      <w:pPr>
        <w:pStyle w:val="ListParagraph"/>
        <w:numPr>
          <w:ilvl w:val="3"/>
          <w:numId w:val="3"/>
        </w:numPr>
        <w:tabs>
          <w:tab w:pos="743" w:val="left" w:leader="none"/>
        </w:tabs>
        <w:spacing w:line="350" w:lineRule="auto" w:before="12" w:after="0"/>
        <w:ind w:left="743" w:right="20" w:hanging="360"/>
        <w:jc w:val="left"/>
        <w:rPr>
          <w:sz w:val="24"/>
        </w:rPr>
      </w:pPr>
      <w:r>
        <w:rPr>
          <w:sz w:val="24"/>
        </w:rPr>
        <w:t>Trend</w:t>
      </w:r>
      <w:r>
        <w:rPr>
          <w:spacing w:val="-4"/>
          <w:sz w:val="24"/>
        </w:rPr>
        <w:t> </w:t>
      </w:r>
      <w:r>
        <w:rPr>
          <w:sz w:val="24"/>
        </w:rPr>
        <w:t>description:</w:t>
      </w:r>
      <w:r>
        <w:rPr>
          <w:spacing w:val="-4"/>
          <w:sz w:val="24"/>
        </w:rPr>
        <w:t> </w:t>
      </w:r>
      <w:r>
        <w:rPr>
          <w:sz w:val="24"/>
        </w:rPr>
        <w:t>visual</w:t>
      </w:r>
      <w:r>
        <w:rPr>
          <w:spacing w:val="-2"/>
          <w:sz w:val="24"/>
        </w:rPr>
        <w:t> </w:t>
      </w:r>
      <w:r>
        <w:rPr>
          <w:sz w:val="24"/>
        </w:rPr>
        <w:t>interpretation</w:t>
      </w:r>
      <w:r>
        <w:rPr>
          <w:spacing w:val="-4"/>
          <w:sz w:val="24"/>
        </w:rPr>
        <w:t> </w:t>
      </w:r>
      <w:r>
        <w:rPr>
          <w:sz w:val="24"/>
        </w:rPr>
        <w:t>of</w:t>
      </w:r>
      <w:r>
        <w:rPr>
          <w:spacing w:val="-4"/>
          <w:sz w:val="24"/>
        </w:rPr>
        <w:t> </w:t>
      </w:r>
      <w:r>
        <w:rPr>
          <w:sz w:val="24"/>
        </w:rPr>
        <w:t>time-series</w:t>
      </w:r>
      <w:r>
        <w:rPr>
          <w:spacing w:val="-5"/>
          <w:sz w:val="24"/>
        </w:rPr>
        <w:t> </w:t>
      </w:r>
      <w:r>
        <w:rPr>
          <w:sz w:val="24"/>
        </w:rPr>
        <w:t>changes</w:t>
      </w:r>
      <w:r>
        <w:rPr>
          <w:spacing w:val="-5"/>
          <w:sz w:val="24"/>
        </w:rPr>
        <w:t> </w:t>
      </w:r>
      <w:r>
        <w:rPr>
          <w:sz w:val="24"/>
        </w:rPr>
        <w:t>in</w:t>
      </w:r>
      <w:r>
        <w:rPr>
          <w:spacing w:val="-2"/>
          <w:sz w:val="24"/>
        </w:rPr>
        <w:t> </w:t>
      </w:r>
      <w:r>
        <w:rPr>
          <w:sz w:val="24"/>
        </w:rPr>
        <w:t>round</w:t>
      </w:r>
      <w:r>
        <w:rPr>
          <w:spacing w:val="-5"/>
          <w:sz w:val="24"/>
        </w:rPr>
        <w:t> </w:t>
      </w:r>
      <w:r>
        <w:rPr>
          <w:sz w:val="24"/>
        </w:rPr>
        <w:t>count</w:t>
      </w:r>
      <w:r>
        <w:rPr>
          <w:spacing w:val="-4"/>
          <w:sz w:val="24"/>
        </w:rPr>
        <w:t> </w:t>
      </w:r>
      <w:r>
        <w:rPr>
          <w:sz w:val="24"/>
        </w:rPr>
        <w:t>and</w:t>
      </w:r>
      <w:r>
        <w:rPr>
          <w:spacing w:val="-4"/>
          <w:sz w:val="24"/>
        </w:rPr>
        <w:t> </w:t>
      </w:r>
      <w:r>
        <w:rPr>
          <w:sz w:val="24"/>
        </w:rPr>
        <w:t>total round value.</w:t>
      </w:r>
    </w:p>
    <w:p>
      <w:pPr>
        <w:pStyle w:val="ListParagraph"/>
        <w:numPr>
          <w:ilvl w:val="3"/>
          <w:numId w:val="3"/>
        </w:numPr>
        <w:tabs>
          <w:tab w:pos="743" w:val="left" w:leader="none"/>
        </w:tabs>
        <w:spacing w:line="350" w:lineRule="auto" w:before="13" w:after="0"/>
        <w:ind w:left="743" w:right="18" w:hanging="360"/>
        <w:jc w:val="left"/>
        <w:rPr>
          <w:sz w:val="24"/>
        </w:rPr>
      </w:pPr>
      <w:r>
        <w:rPr>
          <w:sz w:val="24"/>
        </w:rPr>
        <w:t>Sector</w:t>
      </w:r>
      <w:r>
        <w:rPr>
          <w:spacing w:val="30"/>
          <w:sz w:val="24"/>
        </w:rPr>
        <w:t> </w:t>
      </w:r>
      <w:r>
        <w:rPr>
          <w:sz w:val="24"/>
        </w:rPr>
        <w:t>composition</w:t>
      </w:r>
      <w:r>
        <w:rPr>
          <w:spacing w:val="31"/>
          <w:sz w:val="24"/>
        </w:rPr>
        <w:t> </w:t>
      </w:r>
      <w:r>
        <w:rPr>
          <w:sz w:val="24"/>
        </w:rPr>
        <w:t>analysis:</w:t>
      </w:r>
      <w:r>
        <w:rPr>
          <w:spacing w:val="31"/>
          <w:sz w:val="24"/>
        </w:rPr>
        <w:t> </w:t>
      </w:r>
      <w:r>
        <w:rPr>
          <w:sz w:val="24"/>
        </w:rPr>
        <w:t>distribution-based</w:t>
      </w:r>
      <w:r>
        <w:rPr>
          <w:spacing w:val="30"/>
          <w:sz w:val="24"/>
        </w:rPr>
        <w:t> </w:t>
      </w:r>
      <w:r>
        <w:rPr>
          <w:sz w:val="24"/>
        </w:rPr>
        <w:t>comparisons</w:t>
      </w:r>
      <w:r>
        <w:rPr>
          <w:spacing w:val="31"/>
          <w:sz w:val="24"/>
        </w:rPr>
        <w:t> </w:t>
      </w:r>
      <w:r>
        <w:rPr>
          <w:sz w:val="24"/>
        </w:rPr>
        <w:t>across</w:t>
      </w:r>
      <w:r>
        <w:rPr>
          <w:spacing w:val="30"/>
          <w:sz w:val="24"/>
        </w:rPr>
        <w:t> </w:t>
      </w:r>
      <w:r>
        <w:rPr>
          <w:sz w:val="24"/>
        </w:rPr>
        <w:t>sectors</w:t>
      </w:r>
      <w:r>
        <w:rPr>
          <w:spacing w:val="30"/>
          <w:sz w:val="24"/>
        </w:rPr>
        <w:t> </w:t>
      </w:r>
      <w:r>
        <w:rPr>
          <w:sz w:val="24"/>
        </w:rPr>
        <w:t>to</w:t>
      </w:r>
      <w:r>
        <w:rPr>
          <w:spacing w:val="31"/>
          <w:sz w:val="24"/>
        </w:rPr>
        <w:t> </w:t>
      </w:r>
      <w:r>
        <w:rPr>
          <w:sz w:val="24"/>
        </w:rPr>
        <w:t>show how investment focus changed over time.</w:t>
      </w:r>
    </w:p>
    <w:p>
      <w:pPr>
        <w:pStyle w:val="ListParagraph"/>
        <w:numPr>
          <w:ilvl w:val="3"/>
          <w:numId w:val="3"/>
        </w:numPr>
        <w:tabs>
          <w:tab w:pos="743" w:val="left" w:leader="none"/>
        </w:tabs>
        <w:spacing w:line="350" w:lineRule="auto" w:before="13" w:after="0"/>
        <w:ind w:left="743" w:right="24" w:hanging="360"/>
        <w:jc w:val="left"/>
        <w:rPr>
          <w:sz w:val="24"/>
        </w:rPr>
      </w:pPr>
      <w:r>
        <w:rPr>
          <w:sz w:val="24"/>
        </w:rPr>
        <w:t>Exit</w:t>
      </w:r>
      <w:r>
        <w:rPr>
          <w:spacing w:val="40"/>
          <w:sz w:val="24"/>
        </w:rPr>
        <w:t> </w:t>
      </w:r>
      <w:r>
        <w:rPr>
          <w:sz w:val="24"/>
        </w:rPr>
        <w:t>pattern</w:t>
      </w:r>
      <w:r>
        <w:rPr>
          <w:spacing w:val="40"/>
          <w:sz w:val="24"/>
        </w:rPr>
        <w:t> </w:t>
      </w:r>
      <w:r>
        <w:rPr>
          <w:sz w:val="24"/>
        </w:rPr>
        <w:t>analysis:</w:t>
      </w:r>
      <w:r>
        <w:rPr>
          <w:spacing w:val="40"/>
          <w:sz w:val="24"/>
        </w:rPr>
        <w:t> </w:t>
      </w:r>
      <w:r>
        <w:rPr>
          <w:sz w:val="24"/>
        </w:rPr>
        <w:t>frequency</w:t>
      </w:r>
      <w:r>
        <w:rPr>
          <w:spacing w:val="40"/>
          <w:sz w:val="24"/>
        </w:rPr>
        <w:t> </w:t>
      </w:r>
      <w:r>
        <w:rPr>
          <w:sz w:val="24"/>
        </w:rPr>
        <w:t>and</w:t>
      </w:r>
      <w:r>
        <w:rPr>
          <w:spacing w:val="40"/>
          <w:sz w:val="24"/>
        </w:rPr>
        <w:t> </w:t>
      </w:r>
      <w:r>
        <w:rPr>
          <w:sz w:val="24"/>
        </w:rPr>
        <w:t>distribution</w:t>
      </w:r>
      <w:r>
        <w:rPr>
          <w:spacing w:val="40"/>
          <w:sz w:val="24"/>
        </w:rPr>
        <w:t> </w:t>
      </w:r>
      <w:r>
        <w:rPr>
          <w:sz w:val="24"/>
        </w:rPr>
        <w:t>of</w:t>
      </w:r>
      <w:r>
        <w:rPr>
          <w:spacing w:val="40"/>
          <w:sz w:val="24"/>
        </w:rPr>
        <w:t> </w:t>
      </w:r>
      <w:r>
        <w:rPr>
          <w:sz w:val="24"/>
        </w:rPr>
        <w:t>exit</w:t>
      </w:r>
      <w:r>
        <w:rPr>
          <w:spacing w:val="40"/>
          <w:sz w:val="24"/>
        </w:rPr>
        <w:t> </w:t>
      </w:r>
      <w:r>
        <w:rPr>
          <w:sz w:val="24"/>
        </w:rPr>
        <w:t>routes</w:t>
      </w:r>
      <w:r>
        <w:rPr>
          <w:spacing w:val="40"/>
          <w:sz w:val="24"/>
        </w:rPr>
        <w:t> </w:t>
      </w:r>
      <w:r>
        <w:rPr>
          <w:sz w:val="24"/>
        </w:rPr>
        <w:t>(IPO</w:t>
      </w:r>
      <w:r>
        <w:rPr>
          <w:spacing w:val="40"/>
          <w:sz w:val="24"/>
        </w:rPr>
        <w:t> </w:t>
      </w:r>
      <w:r>
        <w:rPr>
          <w:sz w:val="24"/>
        </w:rPr>
        <w:t>vs</w:t>
      </w:r>
      <w:r>
        <w:rPr>
          <w:spacing w:val="40"/>
          <w:sz w:val="24"/>
        </w:rPr>
        <w:t> </w:t>
      </w:r>
      <w:r>
        <w:rPr>
          <w:sz w:val="24"/>
        </w:rPr>
        <w:t>M&amp;A)</w:t>
      </w:r>
      <w:r>
        <w:rPr>
          <w:spacing w:val="40"/>
          <w:sz w:val="24"/>
        </w:rPr>
        <w:t> </w:t>
      </w:r>
      <w:r>
        <w:rPr>
          <w:sz w:val="24"/>
        </w:rPr>
        <w:t>to describe liquidity pathways observed in the dataset.</w:t>
      </w:r>
    </w:p>
    <w:p>
      <w:pPr>
        <w:pStyle w:val="BodyText"/>
        <w:spacing w:line="360" w:lineRule="auto" w:before="172"/>
        <w:ind w:left="23" w:right="23"/>
        <w:jc w:val="both"/>
      </w:pPr>
      <w:r>
        <w:rPr/>
        <w:t>No</w:t>
      </w:r>
      <w:r>
        <w:rPr>
          <w:spacing w:val="-7"/>
        </w:rPr>
        <w:t> </w:t>
      </w:r>
      <w:r>
        <w:rPr/>
        <w:t>inferential</w:t>
      </w:r>
      <w:r>
        <w:rPr>
          <w:spacing w:val="-6"/>
        </w:rPr>
        <w:t> </w:t>
      </w:r>
      <w:r>
        <w:rPr/>
        <w:t>statistics,</w:t>
      </w:r>
      <w:r>
        <w:rPr>
          <w:spacing w:val="-4"/>
        </w:rPr>
        <w:t> </w:t>
      </w:r>
      <w:r>
        <w:rPr/>
        <w:t>hypothesis</w:t>
      </w:r>
      <w:r>
        <w:rPr>
          <w:spacing w:val="-6"/>
        </w:rPr>
        <w:t> </w:t>
      </w:r>
      <w:r>
        <w:rPr/>
        <w:t>testing,</w:t>
      </w:r>
      <w:r>
        <w:rPr>
          <w:spacing w:val="-6"/>
        </w:rPr>
        <w:t> </w:t>
      </w:r>
      <w:r>
        <w:rPr/>
        <w:t>regression</w:t>
      </w:r>
      <w:r>
        <w:rPr>
          <w:spacing w:val="-6"/>
        </w:rPr>
        <w:t> </w:t>
      </w:r>
      <w:r>
        <w:rPr/>
        <w:t>analysis,</w:t>
      </w:r>
      <w:r>
        <w:rPr>
          <w:spacing w:val="-7"/>
        </w:rPr>
        <w:t> </w:t>
      </w:r>
      <w:r>
        <w:rPr/>
        <w:t>or</w:t>
      </w:r>
      <w:r>
        <w:rPr>
          <w:spacing w:val="-5"/>
        </w:rPr>
        <w:t> </w:t>
      </w:r>
      <w:r>
        <w:rPr/>
        <w:t>international</w:t>
      </w:r>
      <w:r>
        <w:rPr>
          <w:spacing w:val="-6"/>
        </w:rPr>
        <w:t> </w:t>
      </w:r>
      <w:r>
        <w:rPr/>
        <w:t>benchmarking were conducted. Regulatory milestones and reforms were not tested as causal drivers; they were referenced only as part of contextual interpretation of the period (Carney et al., 2024).</w:t>
      </w:r>
    </w:p>
    <w:p>
      <w:pPr>
        <w:pStyle w:val="Heading3"/>
        <w:numPr>
          <w:ilvl w:val="2"/>
          <w:numId w:val="3"/>
        </w:numPr>
        <w:tabs>
          <w:tab w:pos="558" w:val="left" w:leader="none"/>
        </w:tabs>
        <w:spacing w:line="240" w:lineRule="auto" w:before="159" w:after="0"/>
        <w:ind w:left="558" w:right="0" w:hanging="535"/>
        <w:jc w:val="both"/>
      </w:pPr>
      <w:bookmarkStart w:name="_bookmark23" w:id="24"/>
      <w:bookmarkEnd w:id="24"/>
      <w:r>
        <w:rPr>
          <w:b w:val="0"/>
        </w:rPr>
      </w:r>
      <w:r>
        <w:rPr>
          <w:spacing w:val="-2"/>
        </w:rPr>
        <w:t>Trend</w:t>
      </w:r>
      <w:r>
        <w:rPr>
          <w:spacing w:val="-16"/>
        </w:rPr>
        <w:t> </w:t>
      </w:r>
      <w:r>
        <w:rPr>
          <w:spacing w:val="-2"/>
        </w:rPr>
        <w:t>Analysis</w:t>
      </w:r>
      <w:r>
        <w:rPr>
          <w:spacing w:val="-1"/>
        </w:rPr>
        <w:t> </w:t>
      </w:r>
      <w:r>
        <w:rPr>
          <w:spacing w:val="-2"/>
        </w:rPr>
        <w:t>Methodology</w:t>
      </w:r>
    </w:p>
    <w:p>
      <w:pPr>
        <w:pStyle w:val="BodyText"/>
        <w:spacing w:line="360" w:lineRule="auto" w:before="219"/>
        <w:ind w:left="23" w:right="26"/>
        <w:jc w:val="both"/>
      </w:pPr>
      <w:r>
        <w:rPr/>
        <w:t>The fundamental means of the structural change will be trend analysis in order to determine the long-run changes. The analysis will focus on:</w:t>
      </w:r>
    </w:p>
    <w:p>
      <w:pPr>
        <w:pStyle w:val="ListParagraph"/>
        <w:numPr>
          <w:ilvl w:val="3"/>
          <w:numId w:val="3"/>
        </w:numPr>
        <w:tabs>
          <w:tab w:pos="743" w:val="left" w:leader="none"/>
        </w:tabs>
        <w:spacing w:line="355" w:lineRule="auto" w:before="163" w:after="0"/>
        <w:ind w:left="743" w:right="21" w:hanging="360"/>
        <w:jc w:val="both"/>
        <w:rPr>
          <w:sz w:val="24"/>
        </w:rPr>
      </w:pPr>
      <w:r>
        <w:rPr>
          <w:sz w:val="24"/>
        </w:rPr>
        <w:t>Significant Market Developments: These involve increases in the deal activity after regulatory milestones including the 2012 AIF Regulations and introduction of the Insolvency and Bankruptcy Code (IBC).</w:t>
      </w:r>
    </w:p>
    <w:p>
      <w:pPr>
        <w:pStyle w:val="ListParagraph"/>
        <w:numPr>
          <w:ilvl w:val="3"/>
          <w:numId w:val="3"/>
        </w:numPr>
        <w:tabs>
          <w:tab w:pos="743" w:val="left" w:leader="none"/>
        </w:tabs>
        <w:spacing w:line="355" w:lineRule="auto" w:before="6" w:after="0"/>
        <w:ind w:left="743" w:right="22" w:hanging="360"/>
        <w:jc w:val="both"/>
        <w:rPr>
          <w:sz w:val="24"/>
        </w:rPr>
      </w:pPr>
      <w:r>
        <w:rPr>
          <w:spacing w:val="-2"/>
          <w:sz w:val="24"/>
        </w:rPr>
        <w:t>Growth</w:t>
      </w:r>
      <w:r>
        <w:rPr>
          <w:spacing w:val="-7"/>
          <w:sz w:val="24"/>
        </w:rPr>
        <w:t> </w:t>
      </w:r>
      <w:r>
        <w:rPr>
          <w:spacing w:val="-2"/>
          <w:sz w:val="24"/>
        </w:rPr>
        <w:t>and</w:t>
      </w:r>
      <w:r>
        <w:rPr>
          <w:spacing w:val="-7"/>
          <w:sz w:val="24"/>
        </w:rPr>
        <w:t> </w:t>
      </w:r>
      <w:r>
        <w:rPr>
          <w:spacing w:val="-2"/>
          <w:sz w:val="24"/>
        </w:rPr>
        <w:t>Maturity</w:t>
      </w:r>
      <w:r>
        <w:rPr>
          <w:spacing w:val="-6"/>
          <w:sz w:val="24"/>
        </w:rPr>
        <w:t> </w:t>
      </w:r>
      <w:r>
        <w:rPr>
          <w:spacing w:val="-2"/>
          <w:sz w:val="24"/>
        </w:rPr>
        <w:t>Markers:</w:t>
      </w:r>
      <w:r>
        <w:rPr>
          <w:spacing w:val="-7"/>
          <w:sz w:val="24"/>
        </w:rPr>
        <w:t> </w:t>
      </w:r>
      <w:r>
        <w:rPr>
          <w:spacing w:val="-2"/>
          <w:sz w:val="24"/>
        </w:rPr>
        <w:t>Special</w:t>
      </w:r>
      <w:r>
        <w:rPr>
          <w:spacing w:val="-7"/>
          <w:sz w:val="24"/>
        </w:rPr>
        <w:t> </w:t>
      </w:r>
      <w:r>
        <w:rPr>
          <w:spacing w:val="-2"/>
          <w:sz w:val="24"/>
        </w:rPr>
        <w:t>focus</w:t>
      </w:r>
      <w:r>
        <w:rPr>
          <w:spacing w:val="-7"/>
          <w:sz w:val="24"/>
        </w:rPr>
        <w:t> </w:t>
      </w:r>
      <w:r>
        <w:rPr>
          <w:spacing w:val="-2"/>
          <w:sz w:val="24"/>
        </w:rPr>
        <w:t>will</w:t>
      </w:r>
      <w:r>
        <w:rPr>
          <w:spacing w:val="-6"/>
          <w:sz w:val="24"/>
        </w:rPr>
        <w:t> </w:t>
      </w:r>
      <w:r>
        <w:rPr>
          <w:spacing w:val="-2"/>
          <w:sz w:val="24"/>
        </w:rPr>
        <w:t>be</w:t>
      </w:r>
      <w:r>
        <w:rPr>
          <w:spacing w:val="-8"/>
          <w:sz w:val="24"/>
        </w:rPr>
        <w:t> </w:t>
      </w:r>
      <w:r>
        <w:rPr>
          <w:spacing w:val="-2"/>
          <w:sz w:val="24"/>
        </w:rPr>
        <w:t>on</w:t>
      </w:r>
      <w:r>
        <w:rPr>
          <w:spacing w:val="-7"/>
          <w:sz w:val="24"/>
        </w:rPr>
        <w:t> </w:t>
      </w:r>
      <w:r>
        <w:rPr>
          <w:spacing w:val="-2"/>
          <w:sz w:val="24"/>
        </w:rPr>
        <w:t>the</w:t>
      </w:r>
      <w:r>
        <w:rPr>
          <w:spacing w:val="-7"/>
          <w:sz w:val="24"/>
        </w:rPr>
        <w:t> </w:t>
      </w:r>
      <w:r>
        <w:rPr>
          <w:spacing w:val="-2"/>
          <w:sz w:val="24"/>
        </w:rPr>
        <w:t>times</w:t>
      </w:r>
      <w:r>
        <w:rPr>
          <w:spacing w:val="-7"/>
          <w:sz w:val="24"/>
        </w:rPr>
        <w:t> </w:t>
      </w:r>
      <w:r>
        <w:rPr>
          <w:spacing w:val="-2"/>
          <w:sz w:val="24"/>
        </w:rPr>
        <w:t>of</w:t>
      </w:r>
      <w:r>
        <w:rPr>
          <w:spacing w:val="-8"/>
          <w:sz w:val="24"/>
        </w:rPr>
        <w:t> </w:t>
      </w:r>
      <w:r>
        <w:rPr>
          <w:spacing w:val="-2"/>
          <w:sz w:val="24"/>
        </w:rPr>
        <w:t>growing</w:t>
      </w:r>
      <w:r>
        <w:rPr>
          <w:spacing w:val="-6"/>
          <w:sz w:val="24"/>
        </w:rPr>
        <w:t> </w:t>
      </w:r>
      <w:r>
        <w:rPr>
          <w:spacing w:val="-2"/>
          <w:sz w:val="24"/>
        </w:rPr>
        <w:t>investment </w:t>
      </w:r>
      <w:r>
        <w:rPr>
          <w:sz w:val="24"/>
        </w:rPr>
        <w:t>levels, deal volumes growing in buyout and industry expansions in such sectors as healthcare and technology, which are typical signs of market maturity.</w:t>
      </w:r>
    </w:p>
    <w:p>
      <w:pPr>
        <w:pStyle w:val="ListParagraph"/>
        <w:numPr>
          <w:ilvl w:val="3"/>
          <w:numId w:val="3"/>
        </w:numPr>
        <w:tabs>
          <w:tab w:pos="743" w:val="left" w:leader="none"/>
        </w:tabs>
        <w:spacing w:line="355" w:lineRule="auto" w:before="8" w:after="0"/>
        <w:ind w:left="743" w:right="24" w:hanging="360"/>
        <w:jc w:val="both"/>
        <w:rPr>
          <w:sz w:val="24"/>
        </w:rPr>
      </w:pPr>
      <w:r>
        <w:rPr>
          <w:sz w:val="24"/>
        </w:rPr>
        <w:t>Sectoral</w:t>
      </w:r>
      <w:r>
        <w:rPr>
          <w:spacing w:val="-10"/>
          <w:sz w:val="24"/>
        </w:rPr>
        <w:t> </w:t>
      </w:r>
      <w:r>
        <w:rPr>
          <w:sz w:val="24"/>
        </w:rPr>
        <w:t>Shifts:</w:t>
      </w:r>
      <w:r>
        <w:rPr>
          <w:spacing w:val="-15"/>
          <w:sz w:val="24"/>
        </w:rPr>
        <w:t> </w:t>
      </w:r>
      <w:r>
        <w:rPr>
          <w:sz w:val="24"/>
        </w:rPr>
        <w:t>The</w:t>
      </w:r>
      <w:r>
        <w:rPr>
          <w:spacing w:val="-12"/>
          <w:sz w:val="24"/>
        </w:rPr>
        <w:t> </w:t>
      </w:r>
      <w:r>
        <w:rPr>
          <w:sz w:val="24"/>
        </w:rPr>
        <w:t>paper</w:t>
      </w:r>
      <w:r>
        <w:rPr>
          <w:spacing w:val="-11"/>
          <w:sz w:val="24"/>
        </w:rPr>
        <w:t> </w:t>
      </w:r>
      <w:r>
        <w:rPr>
          <w:sz w:val="24"/>
        </w:rPr>
        <w:t>will</w:t>
      </w:r>
      <w:r>
        <w:rPr>
          <w:spacing w:val="-10"/>
          <w:sz w:val="24"/>
        </w:rPr>
        <w:t> </w:t>
      </w:r>
      <w:r>
        <w:rPr>
          <w:sz w:val="24"/>
        </w:rPr>
        <w:t>follow</w:t>
      </w:r>
      <w:r>
        <w:rPr>
          <w:spacing w:val="-11"/>
          <w:sz w:val="24"/>
        </w:rPr>
        <w:t> </w:t>
      </w:r>
      <w:r>
        <w:rPr>
          <w:sz w:val="24"/>
        </w:rPr>
        <w:t>how</w:t>
      </w:r>
      <w:r>
        <w:rPr>
          <w:spacing w:val="-14"/>
          <w:sz w:val="24"/>
        </w:rPr>
        <w:t> </w:t>
      </w:r>
      <w:r>
        <w:rPr>
          <w:sz w:val="24"/>
        </w:rPr>
        <w:t>the</w:t>
      </w:r>
      <w:r>
        <w:rPr>
          <w:spacing w:val="-11"/>
          <w:sz w:val="24"/>
        </w:rPr>
        <w:t> </w:t>
      </w:r>
      <w:r>
        <w:rPr>
          <w:sz w:val="24"/>
        </w:rPr>
        <w:t>investment</w:t>
      </w:r>
      <w:r>
        <w:rPr>
          <w:spacing w:val="-10"/>
          <w:sz w:val="24"/>
        </w:rPr>
        <w:t> </w:t>
      </w:r>
      <w:r>
        <w:rPr>
          <w:sz w:val="24"/>
        </w:rPr>
        <w:t>pattern</w:t>
      </w:r>
      <w:r>
        <w:rPr>
          <w:spacing w:val="-11"/>
          <w:sz w:val="24"/>
        </w:rPr>
        <w:t> </w:t>
      </w:r>
      <w:r>
        <w:rPr>
          <w:sz w:val="24"/>
        </w:rPr>
        <w:t>will</w:t>
      </w:r>
      <w:r>
        <w:rPr>
          <w:spacing w:val="-10"/>
          <w:sz w:val="24"/>
        </w:rPr>
        <w:t> </w:t>
      </w:r>
      <w:r>
        <w:rPr>
          <w:sz w:val="24"/>
        </w:rPr>
        <w:t>shift</w:t>
      </w:r>
      <w:r>
        <w:rPr>
          <w:spacing w:val="-15"/>
          <w:sz w:val="24"/>
        </w:rPr>
        <w:t> </w:t>
      </w:r>
      <w:r>
        <w:rPr>
          <w:sz w:val="24"/>
        </w:rPr>
        <w:t>to</w:t>
      </w:r>
      <w:r>
        <w:rPr>
          <w:spacing w:val="-10"/>
          <w:sz w:val="24"/>
        </w:rPr>
        <w:t> </w:t>
      </w:r>
      <w:r>
        <w:rPr>
          <w:sz w:val="24"/>
        </w:rPr>
        <w:t>areas</w:t>
      </w:r>
      <w:r>
        <w:rPr>
          <w:spacing w:val="-10"/>
          <w:sz w:val="24"/>
        </w:rPr>
        <w:t> </w:t>
      </w:r>
      <w:r>
        <w:rPr>
          <w:sz w:val="24"/>
        </w:rPr>
        <w:t>that are in line with the economic interests of India, such as the digital infrastructure and renewable energy.</w:t>
      </w:r>
    </w:p>
    <w:p>
      <w:pPr>
        <w:pStyle w:val="BodyText"/>
        <w:spacing w:line="360" w:lineRule="auto" w:before="165"/>
        <w:ind w:left="23" w:right="26"/>
        <w:jc w:val="both"/>
      </w:pPr>
      <w:r>
        <w:rPr/>
        <w:t>These trends will be depicted by visual means through the use of line graphs, year on year comparisons and so on.</w:t>
      </w:r>
    </w:p>
    <w:p>
      <w:pPr>
        <w:pStyle w:val="Heading3"/>
        <w:numPr>
          <w:ilvl w:val="2"/>
          <w:numId w:val="3"/>
        </w:numPr>
        <w:tabs>
          <w:tab w:pos="563" w:val="left" w:leader="none"/>
        </w:tabs>
        <w:spacing w:line="240" w:lineRule="auto" w:before="160" w:after="0"/>
        <w:ind w:left="563" w:right="0" w:hanging="540"/>
        <w:jc w:val="both"/>
      </w:pPr>
      <w:bookmarkStart w:name="_bookmark24" w:id="25"/>
      <w:bookmarkEnd w:id="25"/>
      <w:r>
        <w:rPr>
          <w:b w:val="0"/>
        </w:rPr>
      </w:r>
      <w:r>
        <w:rPr/>
        <w:t>Use</w:t>
      </w:r>
      <w:r>
        <w:rPr>
          <w:spacing w:val="-5"/>
        </w:rPr>
        <w:t> </w:t>
      </w:r>
      <w:r>
        <w:rPr/>
        <w:t>of</w:t>
      </w:r>
      <w:r>
        <w:rPr>
          <w:spacing w:val="-3"/>
        </w:rPr>
        <w:t> </w:t>
      </w:r>
      <w:r>
        <w:rPr/>
        <w:t>regulatory</w:t>
      </w:r>
      <w:r>
        <w:rPr>
          <w:spacing w:val="-1"/>
        </w:rPr>
        <w:t> </w:t>
      </w:r>
      <w:r>
        <w:rPr>
          <w:spacing w:val="-2"/>
        </w:rPr>
        <w:t>context</w:t>
      </w:r>
    </w:p>
    <w:p>
      <w:pPr>
        <w:pStyle w:val="BodyText"/>
        <w:spacing w:line="360" w:lineRule="auto" w:before="219"/>
        <w:ind w:left="23" w:right="21"/>
        <w:jc w:val="both"/>
      </w:pPr>
      <w:r>
        <w:rPr/>
        <w:t>Regulatory</w:t>
      </w:r>
      <w:r>
        <w:rPr>
          <w:spacing w:val="-15"/>
        </w:rPr>
        <w:t> </w:t>
      </w:r>
      <w:r>
        <w:rPr/>
        <w:t>developments</w:t>
      </w:r>
      <w:r>
        <w:rPr>
          <w:spacing w:val="-15"/>
        </w:rPr>
        <w:t> </w:t>
      </w:r>
      <w:r>
        <w:rPr/>
        <w:t>(e.g.,</w:t>
      </w:r>
      <w:r>
        <w:rPr>
          <w:spacing w:val="-15"/>
        </w:rPr>
        <w:t> </w:t>
      </w:r>
      <w:r>
        <w:rPr/>
        <w:t>shifts</w:t>
      </w:r>
      <w:r>
        <w:rPr>
          <w:spacing w:val="-15"/>
        </w:rPr>
        <w:t> </w:t>
      </w:r>
      <w:r>
        <w:rPr/>
        <w:t>in</w:t>
      </w:r>
      <w:r>
        <w:rPr>
          <w:spacing w:val="-15"/>
        </w:rPr>
        <w:t> </w:t>
      </w:r>
      <w:r>
        <w:rPr/>
        <w:t>alternative</w:t>
      </w:r>
      <w:r>
        <w:rPr>
          <w:spacing w:val="-15"/>
        </w:rPr>
        <w:t> </w:t>
      </w:r>
      <w:r>
        <w:rPr/>
        <w:t>investment</w:t>
      </w:r>
      <w:r>
        <w:rPr>
          <w:spacing w:val="-15"/>
        </w:rPr>
        <w:t> </w:t>
      </w:r>
      <w:r>
        <w:rPr/>
        <w:t>regulation</w:t>
      </w:r>
      <w:r>
        <w:rPr>
          <w:spacing w:val="-15"/>
        </w:rPr>
        <w:t> </w:t>
      </w:r>
      <w:r>
        <w:rPr/>
        <w:t>or</w:t>
      </w:r>
      <w:r>
        <w:rPr>
          <w:spacing w:val="-15"/>
        </w:rPr>
        <w:t> </w:t>
      </w:r>
      <w:r>
        <w:rPr/>
        <w:t>insolvency-related reforms)</w:t>
      </w:r>
      <w:r>
        <w:rPr>
          <w:spacing w:val="-8"/>
        </w:rPr>
        <w:t> </w:t>
      </w:r>
      <w:r>
        <w:rPr/>
        <w:t>were</w:t>
      </w:r>
      <w:r>
        <w:rPr>
          <w:spacing w:val="-11"/>
        </w:rPr>
        <w:t> </w:t>
      </w:r>
      <w:r>
        <w:rPr/>
        <w:t>incorporated</w:t>
      </w:r>
      <w:r>
        <w:rPr>
          <w:spacing w:val="-10"/>
        </w:rPr>
        <w:t> </w:t>
      </w:r>
      <w:r>
        <w:rPr/>
        <w:t>as</w:t>
      </w:r>
      <w:r>
        <w:rPr>
          <w:spacing w:val="-7"/>
        </w:rPr>
        <w:t> </w:t>
      </w:r>
      <w:r>
        <w:rPr/>
        <w:t>contextual</w:t>
      </w:r>
      <w:r>
        <w:rPr>
          <w:spacing w:val="-9"/>
        </w:rPr>
        <w:t> </w:t>
      </w:r>
      <w:r>
        <w:rPr/>
        <w:t>factors</w:t>
      </w:r>
      <w:r>
        <w:rPr>
          <w:spacing w:val="-8"/>
        </w:rPr>
        <w:t> </w:t>
      </w:r>
      <w:r>
        <w:rPr/>
        <w:t>to</w:t>
      </w:r>
      <w:r>
        <w:rPr>
          <w:spacing w:val="-9"/>
        </w:rPr>
        <w:t> </w:t>
      </w:r>
      <w:r>
        <w:rPr/>
        <w:t>interpret</w:t>
      </w:r>
      <w:r>
        <w:rPr>
          <w:spacing w:val="-9"/>
        </w:rPr>
        <w:t> </w:t>
      </w:r>
      <w:r>
        <w:rPr/>
        <w:t>the</w:t>
      </w:r>
      <w:r>
        <w:rPr>
          <w:spacing w:val="-11"/>
        </w:rPr>
        <w:t> </w:t>
      </w:r>
      <w:r>
        <w:rPr/>
        <w:t>timing</w:t>
      </w:r>
      <w:r>
        <w:rPr>
          <w:spacing w:val="-10"/>
        </w:rPr>
        <w:t> </w:t>
      </w:r>
      <w:r>
        <w:rPr/>
        <w:t>and</w:t>
      </w:r>
      <w:r>
        <w:rPr>
          <w:spacing w:val="-8"/>
        </w:rPr>
        <w:t> </w:t>
      </w:r>
      <w:r>
        <w:rPr/>
        <w:t>structure</w:t>
      </w:r>
      <w:r>
        <w:rPr>
          <w:spacing w:val="-9"/>
        </w:rPr>
        <w:t> </w:t>
      </w:r>
      <w:r>
        <w:rPr/>
        <w:t>of</w:t>
      </w:r>
      <w:r>
        <w:rPr>
          <w:spacing w:val="-10"/>
        </w:rPr>
        <w:t> </w:t>
      </w:r>
      <w:r>
        <w:rPr/>
        <w:t>market phases</w:t>
      </w:r>
      <w:r>
        <w:rPr>
          <w:spacing w:val="-7"/>
        </w:rPr>
        <w:t> </w:t>
      </w:r>
      <w:r>
        <w:rPr/>
        <w:t>observed</w:t>
      </w:r>
      <w:r>
        <w:rPr>
          <w:spacing w:val="-7"/>
        </w:rPr>
        <w:t> </w:t>
      </w:r>
      <w:r>
        <w:rPr/>
        <w:t>in</w:t>
      </w:r>
      <w:r>
        <w:rPr>
          <w:spacing w:val="-7"/>
        </w:rPr>
        <w:t> </w:t>
      </w:r>
      <w:r>
        <w:rPr/>
        <w:t>the</w:t>
      </w:r>
      <w:r>
        <w:rPr>
          <w:spacing w:val="-8"/>
        </w:rPr>
        <w:t> </w:t>
      </w:r>
      <w:r>
        <w:rPr/>
        <w:t>descriptive</w:t>
      </w:r>
      <w:r>
        <w:rPr>
          <w:spacing w:val="-8"/>
        </w:rPr>
        <w:t> </w:t>
      </w:r>
      <w:r>
        <w:rPr/>
        <w:t>trends.</w:t>
      </w:r>
      <w:r>
        <w:rPr>
          <w:spacing w:val="-12"/>
        </w:rPr>
        <w:t> </w:t>
      </w:r>
      <w:r>
        <w:rPr/>
        <w:t>The</w:t>
      </w:r>
      <w:r>
        <w:rPr>
          <w:spacing w:val="-8"/>
        </w:rPr>
        <w:t> </w:t>
      </w:r>
      <w:r>
        <w:rPr/>
        <w:t>study</w:t>
      </w:r>
      <w:r>
        <w:rPr>
          <w:spacing w:val="-7"/>
        </w:rPr>
        <w:t> </w:t>
      </w:r>
      <w:r>
        <w:rPr/>
        <w:t>avoided</w:t>
      </w:r>
      <w:r>
        <w:rPr>
          <w:spacing w:val="-8"/>
        </w:rPr>
        <w:t> </w:t>
      </w:r>
      <w:r>
        <w:rPr/>
        <w:t>causal</w:t>
      </w:r>
      <w:r>
        <w:rPr>
          <w:spacing w:val="-7"/>
        </w:rPr>
        <w:t> </w:t>
      </w:r>
      <w:r>
        <w:rPr/>
        <w:t>language</w:t>
      </w:r>
      <w:r>
        <w:rPr>
          <w:spacing w:val="-8"/>
        </w:rPr>
        <w:t> </w:t>
      </w:r>
      <w:r>
        <w:rPr/>
        <w:t>such</w:t>
      </w:r>
      <w:r>
        <w:rPr>
          <w:spacing w:val="-7"/>
        </w:rPr>
        <w:t> </w:t>
      </w:r>
      <w:r>
        <w:rPr/>
        <w:t>as</w:t>
      </w:r>
      <w:r>
        <w:rPr>
          <w:spacing w:val="-6"/>
        </w:rPr>
        <w:t> </w:t>
      </w:r>
      <w:r>
        <w:rPr/>
        <w:t>“impact” or</w:t>
      </w:r>
      <w:r>
        <w:rPr>
          <w:spacing w:val="-2"/>
        </w:rPr>
        <w:t> </w:t>
      </w:r>
      <w:r>
        <w:rPr/>
        <w:t>“effect,”</w:t>
      </w:r>
      <w:r>
        <w:rPr>
          <w:spacing w:val="-2"/>
        </w:rPr>
        <w:t> </w:t>
      </w:r>
      <w:r>
        <w:rPr/>
        <w:t>because</w:t>
      </w:r>
      <w:r>
        <w:rPr>
          <w:spacing w:val="-2"/>
        </w:rPr>
        <w:t> </w:t>
      </w:r>
      <w:r>
        <w:rPr/>
        <w:t>no causal</w:t>
      </w:r>
      <w:r>
        <w:rPr>
          <w:spacing w:val="-1"/>
        </w:rPr>
        <w:t> </w:t>
      </w:r>
      <w:r>
        <w:rPr/>
        <w:t>identification</w:t>
      </w:r>
      <w:r>
        <w:rPr>
          <w:spacing w:val="-1"/>
        </w:rPr>
        <w:t> </w:t>
      </w:r>
      <w:r>
        <w:rPr/>
        <w:t>strategy</w:t>
      </w:r>
      <w:r>
        <w:rPr>
          <w:spacing w:val="-1"/>
        </w:rPr>
        <w:t> </w:t>
      </w:r>
      <w:r>
        <w:rPr/>
        <w:t>or</w:t>
      </w:r>
      <w:r>
        <w:rPr>
          <w:spacing w:val="-2"/>
        </w:rPr>
        <w:t> </w:t>
      </w:r>
      <w:r>
        <w:rPr/>
        <w:t>statistical</w:t>
      </w:r>
      <w:r>
        <w:rPr>
          <w:spacing w:val="-1"/>
        </w:rPr>
        <w:t> </w:t>
      </w:r>
      <w:r>
        <w:rPr/>
        <w:t>test</w:t>
      </w:r>
      <w:r>
        <w:rPr>
          <w:spacing w:val="-1"/>
        </w:rPr>
        <w:t> </w:t>
      </w:r>
      <w:r>
        <w:rPr/>
        <w:t>was</w:t>
      </w:r>
      <w:r>
        <w:rPr>
          <w:spacing w:val="-1"/>
        </w:rPr>
        <w:t> </w:t>
      </w:r>
      <w:r>
        <w:rPr/>
        <w:t>performed. Instead, regulatory</w:t>
      </w:r>
      <w:r>
        <w:rPr>
          <w:spacing w:val="4"/>
        </w:rPr>
        <w:t> </w:t>
      </w:r>
      <w:r>
        <w:rPr/>
        <w:t>references</w:t>
      </w:r>
      <w:r>
        <w:rPr>
          <w:spacing w:val="5"/>
        </w:rPr>
        <w:t> </w:t>
      </w:r>
      <w:r>
        <w:rPr/>
        <w:t>were</w:t>
      </w:r>
      <w:r>
        <w:rPr>
          <w:spacing w:val="1"/>
        </w:rPr>
        <w:t> </w:t>
      </w:r>
      <w:r>
        <w:rPr/>
        <w:t>used</w:t>
      </w:r>
      <w:r>
        <w:rPr>
          <w:spacing w:val="4"/>
        </w:rPr>
        <w:t> </w:t>
      </w:r>
      <w:r>
        <w:rPr/>
        <w:t>to</w:t>
      </w:r>
      <w:r>
        <w:rPr>
          <w:spacing w:val="4"/>
        </w:rPr>
        <w:t> </w:t>
      </w:r>
      <w:r>
        <w:rPr/>
        <w:t>support</w:t>
      </w:r>
      <w:r>
        <w:rPr>
          <w:spacing w:val="2"/>
        </w:rPr>
        <w:t> </w:t>
      </w:r>
      <w:r>
        <w:rPr/>
        <w:t>narrative</w:t>
      </w:r>
      <w:r>
        <w:rPr>
          <w:spacing w:val="2"/>
        </w:rPr>
        <w:t> </w:t>
      </w:r>
      <w:r>
        <w:rPr/>
        <w:t>explanations</w:t>
      </w:r>
      <w:r>
        <w:rPr>
          <w:spacing w:val="3"/>
        </w:rPr>
        <w:t> </w:t>
      </w:r>
      <w:r>
        <w:rPr/>
        <w:t>of</w:t>
      </w:r>
      <w:r>
        <w:rPr>
          <w:spacing w:val="4"/>
        </w:rPr>
        <w:t> </w:t>
      </w:r>
      <w:r>
        <w:rPr/>
        <w:t>why</w:t>
      </w:r>
      <w:r>
        <w:rPr>
          <w:spacing w:val="3"/>
        </w:rPr>
        <w:t> </w:t>
      </w:r>
      <w:r>
        <w:rPr/>
        <w:t>certain</w:t>
      </w:r>
      <w:r>
        <w:rPr>
          <w:spacing w:val="4"/>
        </w:rPr>
        <w:t> </w:t>
      </w:r>
      <w:r>
        <w:rPr/>
        <w:t>periods</w:t>
      </w:r>
      <w:r>
        <w:rPr>
          <w:spacing w:val="3"/>
        </w:rPr>
        <w:t> </w:t>
      </w:r>
      <w:r>
        <w:rPr>
          <w:spacing w:val="-5"/>
        </w:rPr>
        <w:t>may</w:t>
      </w:r>
    </w:p>
    <w:p>
      <w:pPr>
        <w:pStyle w:val="BodyText"/>
        <w:spacing w:after="0" w:line="360" w:lineRule="auto"/>
        <w:jc w:val="both"/>
        <w:sectPr>
          <w:pgSz w:w="11910" w:h="16840"/>
          <w:pgMar w:header="0" w:footer="1009" w:top="1340" w:bottom="1280" w:left="1417" w:right="1417"/>
        </w:sectPr>
      </w:pPr>
    </w:p>
    <w:p>
      <w:pPr>
        <w:pStyle w:val="BodyText"/>
        <w:spacing w:line="360" w:lineRule="auto" w:before="61"/>
        <w:ind w:left="23" w:right="28"/>
        <w:jc w:val="both"/>
      </w:pPr>
      <w:r>
        <w:rPr/>
        <w:t>plausibly correspond with changes in market confidence, capital mobilization, or exit feasibility, consistent with a contextual interpretation approach.</w:t>
      </w:r>
    </w:p>
    <w:p>
      <w:pPr>
        <w:pStyle w:val="Heading2"/>
        <w:numPr>
          <w:ilvl w:val="1"/>
          <w:numId w:val="3"/>
        </w:numPr>
        <w:tabs>
          <w:tab w:pos="411" w:val="left" w:leader="none"/>
        </w:tabs>
        <w:spacing w:line="240" w:lineRule="auto" w:before="161" w:after="0"/>
        <w:ind w:left="411" w:right="0" w:hanging="388"/>
        <w:jc w:val="both"/>
      </w:pPr>
      <w:bookmarkStart w:name="_bookmark25" w:id="26"/>
      <w:bookmarkEnd w:id="26"/>
      <w:r>
        <w:rPr>
          <w:b w:val="0"/>
        </w:rPr>
      </w:r>
      <w:r>
        <w:rPr>
          <w:spacing w:val="-2"/>
        </w:rPr>
        <w:t>Qualitative</w:t>
      </w:r>
      <w:r>
        <w:rPr>
          <w:spacing w:val="-5"/>
        </w:rPr>
        <w:t> </w:t>
      </w:r>
      <w:r>
        <w:rPr>
          <w:spacing w:val="-2"/>
        </w:rPr>
        <w:t>Analysis</w:t>
      </w:r>
    </w:p>
    <w:p>
      <w:pPr>
        <w:pStyle w:val="BodyText"/>
        <w:spacing w:before="9"/>
        <w:rPr>
          <w:b/>
          <w:sz w:val="26"/>
        </w:rPr>
      </w:pPr>
    </w:p>
    <w:p>
      <w:pPr>
        <w:pStyle w:val="Heading3"/>
        <w:numPr>
          <w:ilvl w:val="2"/>
          <w:numId w:val="3"/>
        </w:numPr>
        <w:tabs>
          <w:tab w:pos="563" w:val="left" w:leader="none"/>
        </w:tabs>
        <w:spacing w:line="240" w:lineRule="auto" w:before="0" w:after="0"/>
        <w:ind w:left="563" w:right="0" w:hanging="540"/>
        <w:jc w:val="both"/>
      </w:pPr>
      <w:bookmarkStart w:name="_bookmark26" w:id="27"/>
      <w:bookmarkEnd w:id="27"/>
      <w:r>
        <w:rPr>
          <w:b w:val="0"/>
        </w:rPr>
      </w:r>
      <w:r>
        <w:rPr/>
        <w:t>Case</w:t>
      </w:r>
      <w:r>
        <w:rPr>
          <w:spacing w:val="-4"/>
        </w:rPr>
        <w:t> </w:t>
      </w:r>
      <w:r>
        <w:rPr/>
        <w:t>study</w:t>
      </w:r>
      <w:r>
        <w:rPr>
          <w:spacing w:val="-1"/>
        </w:rPr>
        <w:t> </w:t>
      </w:r>
      <w:r>
        <w:rPr/>
        <w:t>selection</w:t>
      </w:r>
      <w:r>
        <w:rPr>
          <w:spacing w:val="-2"/>
        </w:rPr>
        <w:t> </w:t>
      </w:r>
      <w:r>
        <w:rPr/>
        <w:t>and</w:t>
      </w:r>
      <w:r>
        <w:rPr>
          <w:spacing w:val="-1"/>
        </w:rPr>
        <w:t> </w:t>
      </w:r>
      <w:r>
        <w:rPr>
          <w:spacing w:val="-2"/>
        </w:rPr>
        <w:t>justification</w:t>
      </w:r>
    </w:p>
    <w:p>
      <w:pPr>
        <w:pStyle w:val="BodyText"/>
        <w:spacing w:line="360" w:lineRule="auto" w:before="218"/>
        <w:ind w:left="23" w:right="22"/>
        <w:jc w:val="both"/>
      </w:pPr>
      <w:r>
        <w:rPr/>
        <w:t>The</w:t>
      </w:r>
      <w:r>
        <w:rPr>
          <w:spacing w:val="-13"/>
        </w:rPr>
        <w:t> </w:t>
      </w:r>
      <w:r>
        <w:rPr/>
        <w:t>qualitative</w:t>
      </w:r>
      <w:r>
        <w:rPr>
          <w:spacing w:val="-13"/>
        </w:rPr>
        <w:t> </w:t>
      </w:r>
      <w:r>
        <w:rPr/>
        <w:t>component</w:t>
      </w:r>
      <w:r>
        <w:rPr>
          <w:spacing w:val="-12"/>
        </w:rPr>
        <w:t> </w:t>
      </w:r>
      <w:r>
        <w:rPr/>
        <w:t>used</w:t>
      </w:r>
      <w:r>
        <w:rPr>
          <w:spacing w:val="-12"/>
        </w:rPr>
        <w:t> </w:t>
      </w:r>
      <w:r>
        <w:rPr/>
        <w:t>two</w:t>
      </w:r>
      <w:r>
        <w:rPr>
          <w:spacing w:val="-12"/>
        </w:rPr>
        <w:t> </w:t>
      </w:r>
      <w:r>
        <w:rPr/>
        <w:t>illustrative</w:t>
      </w:r>
      <w:r>
        <w:rPr>
          <w:spacing w:val="-13"/>
        </w:rPr>
        <w:t> </w:t>
      </w:r>
      <w:r>
        <w:rPr/>
        <w:t>case</w:t>
      </w:r>
      <w:r>
        <w:rPr>
          <w:spacing w:val="-13"/>
        </w:rPr>
        <w:t> </w:t>
      </w:r>
      <w:r>
        <w:rPr/>
        <w:t>studies:</w:t>
      </w:r>
      <w:r>
        <w:rPr>
          <w:spacing w:val="-11"/>
        </w:rPr>
        <w:t> </w:t>
      </w:r>
      <w:r>
        <w:rPr/>
        <w:t>Flipkart</w:t>
      </w:r>
      <w:r>
        <w:rPr>
          <w:spacing w:val="-12"/>
        </w:rPr>
        <w:t> </w:t>
      </w:r>
      <w:r>
        <w:rPr/>
        <w:t>and</w:t>
      </w:r>
      <w:r>
        <w:rPr>
          <w:spacing w:val="-12"/>
        </w:rPr>
        <w:t> </w:t>
      </w:r>
      <w:r>
        <w:rPr/>
        <w:t>Zomato.</w:t>
      </w:r>
      <w:r>
        <w:rPr>
          <w:spacing w:val="-14"/>
        </w:rPr>
        <w:t> </w:t>
      </w:r>
      <w:r>
        <w:rPr/>
        <w:t>These</w:t>
      </w:r>
      <w:r>
        <w:rPr>
          <w:spacing w:val="-13"/>
        </w:rPr>
        <w:t> </w:t>
      </w:r>
      <w:r>
        <w:rPr/>
        <w:t>cases were</w:t>
      </w:r>
      <w:r>
        <w:rPr>
          <w:spacing w:val="-15"/>
        </w:rPr>
        <w:t> </w:t>
      </w:r>
      <w:r>
        <w:rPr/>
        <w:t>selected</w:t>
      </w:r>
      <w:r>
        <w:rPr>
          <w:spacing w:val="-14"/>
        </w:rPr>
        <w:t> </w:t>
      </w:r>
      <w:r>
        <w:rPr/>
        <w:t>because</w:t>
      </w:r>
      <w:r>
        <w:rPr>
          <w:spacing w:val="-14"/>
        </w:rPr>
        <w:t> </w:t>
      </w:r>
      <w:r>
        <w:rPr/>
        <w:t>they</w:t>
      </w:r>
      <w:r>
        <w:rPr>
          <w:spacing w:val="-13"/>
        </w:rPr>
        <w:t> </w:t>
      </w:r>
      <w:r>
        <w:rPr/>
        <w:t>reflected</w:t>
      </w:r>
      <w:r>
        <w:rPr>
          <w:spacing w:val="-13"/>
        </w:rPr>
        <w:t> </w:t>
      </w:r>
      <w:r>
        <w:rPr/>
        <w:t>two</w:t>
      </w:r>
      <w:r>
        <w:rPr>
          <w:spacing w:val="-13"/>
        </w:rPr>
        <w:t> </w:t>
      </w:r>
      <w:r>
        <w:rPr/>
        <w:t>high-visibility</w:t>
      </w:r>
      <w:r>
        <w:rPr>
          <w:spacing w:val="-13"/>
        </w:rPr>
        <w:t> </w:t>
      </w:r>
      <w:r>
        <w:rPr/>
        <w:t>exit</w:t>
      </w:r>
      <w:r>
        <w:rPr>
          <w:spacing w:val="-12"/>
        </w:rPr>
        <w:t> </w:t>
      </w:r>
      <w:r>
        <w:rPr/>
        <w:t>mechanisms</w:t>
      </w:r>
      <w:r>
        <w:rPr>
          <w:spacing w:val="-13"/>
        </w:rPr>
        <w:t> </w:t>
      </w:r>
      <w:r>
        <w:rPr/>
        <w:t>that</w:t>
      </w:r>
      <w:r>
        <w:rPr>
          <w:spacing w:val="-15"/>
        </w:rPr>
        <w:t> </w:t>
      </w:r>
      <w:r>
        <w:rPr/>
        <w:t>were</w:t>
      </w:r>
      <w:r>
        <w:rPr>
          <w:spacing w:val="-12"/>
        </w:rPr>
        <w:t> </w:t>
      </w:r>
      <w:r>
        <w:rPr/>
        <w:t>also</w:t>
      </w:r>
      <w:r>
        <w:rPr>
          <w:spacing w:val="-12"/>
        </w:rPr>
        <w:t> </w:t>
      </w:r>
      <w:r>
        <w:rPr/>
        <w:t>present in the quantitative exit-route distribution:</w:t>
      </w:r>
    </w:p>
    <w:p>
      <w:pPr>
        <w:pStyle w:val="ListParagraph"/>
        <w:numPr>
          <w:ilvl w:val="3"/>
          <w:numId w:val="3"/>
        </w:numPr>
        <w:tabs>
          <w:tab w:pos="743" w:val="left" w:leader="none"/>
        </w:tabs>
        <w:spacing w:line="355" w:lineRule="auto" w:before="163" w:after="0"/>
        <w:ind w:left="743" w:right="20" w:hanging="360"/>
        <w:jc w:val="both"/>
        <w:rPr>
          <w:sz w:val="24"/>
        </w:rPr>
      </w:pPr>
      <w:r>
        <w:rPr>
          <w:sz w:val="24"/>
        </w:rPr>
        <w:t>Flipkart illustrated a major M&amp;A exit pathway, with a widely discussed strategic acquisition outcome and associated implications for PE-backed scale-up and exit feasibility in India’s digital economy.</w:t>
      </w:r>
    </w:p>
    <w:p>
      <w:pPr>
        <w:pStyle w:val="ListParagraph"/>
        <w:numPr>
          <w:ilvl w:val="3"/>
          <w:numId w:val="3"/>
        </w:numPr>
        <w:tabs>
          <w:tab w:pos="743" w:val="left" w:leader="none"/>
        </w:tabs>
        <w:spacing w:line="355" w:lineRule="auto" w:before="8" w:after="0"/>
        <w:ind w:left="743" w:right="20" w:hanging="360"/>
        <w:jc w:val="both"/>
        <w:rPr>
          <w:sz w:val="24"/>
        </w:rPr>
      </w:pPr>
      <w:r>
        <w:rPr>
          <w:sz w:val="24"/>
        </w:rPr>
        <w:t>Zomato illustrated an IPO-oriented exit pathway, providing a contrasting example of how</w:t>
      </w:r>
      <w:r>
        <w:rPr>
          <w:spacing w:val="-15"/>
          <w:sz w:val="24"/>
        </w:rPr>
        <w:t> </w:t>
      </w:r>
      <w:r>
        <w:rPr>
          <w:sz w:val="24"/>
        </w:rPr>
        <w:t>public</w:t>
      </w:r>
      <w:r>
        <w:rPr>
          <w:spacing w:val="-15"/>
          <w:sz w:val="24"/>
        </w:rPr>
        <w:t> </w:t>
      </w:r>
      <w:r>
        <w:rPr>
          <w:sz w:val="24"/>
        </w:rPr>
        <w:t>markets</w:t>
      </w:r>
      <w:r>
        <w:rPr>
          <w:spacing w:val="-15"/>
          <w:sz w:val="24"/>
        </w:rPr>
        <w:t> </w:t>
      </w:r>
      <w:r>
        <w:rPr>
          <w:sz w:val="24"/>
        </w:rPr>
        <w:t>can</w:t>
      </w:r>
      <w:r>
        <w:rPr>
          <w:spacing w:val="-13"/>
          <w:sz w:val="24"/>
        </w:rPr>
        <w:t> </w:t>
      </w:r>
      <w:r>
        <w:rPr>
          <w:sz w:val="24"/>
        </w:rPr>
        <w:t>function</w:t>
      </w:r>
      <w:r>
        <w:rPr>
          <w:spacing w:val="-15"/>
          <w:sz w:val="24"/>
        </w:rPr>
        <w:t> </w:t>
      </w:r>
      <w:r>
        <w:rPr>
          <w:sz w:val="24"/>
        </w:rPr>
        <w:t>as</w:t>
      </w:r>
      <w:r>
        <w:rPr>
          <w:spacing w:val="-15"/>
          <w:sz w:val="24"/>
        </w:rPr>
        <w:t> </w:t>
      </w:r>
      <w:r>
        <w:rPr>
          <w:sz w:val="24"/>
        </w:rPr>
        <w:t>an</w:t>
      </w:r>
      <w:r>
        <w:rPr>
          <w:spacing w:val="-13"/>
          <w:sz w:val="24"/>
        </w:rPr>
        <w:t> </w:t>
      </w:r>
      <w:r>
        <w:rPr>
          <w:sz w:val="24"/>
        </w:rPr>
        <w:t>exit</w:t>
      </w:r>
      <w:r>
        <w:rPr>
          <w:spacing w:val="-15"/>
          <w:sz w:val="24"/>
        </w:rPr>
        <w:t> </w:t>
      </w:r>
      <w:r>
        <w:rPr>
          <w:sz w:val="24"/>
        </w:rPr>
        <w:t>route</w:t>
      </w:r>
      <w:r>
        <w:rPr>
          <w:spacing w:val="-15"/>
          <w:sz w:val="24"/>
        </w:rPr>
        <w:t> </w:t>
      </w:r>
      <w:r>
        <w:rPr>
          <w:sz w:val="24"/>
        </w:rPr>
        <w:t>for</w:t>
      </w:r>
      <w:r>
        <w:rPr>
          <w:spacing w:val="-15"/>
          <w:sz w:val="24"/>
        </w:rPr>
        <w:t> </w:t>
      </w:r>
      <w:r>
        <w:rPr>
          <w:sz w:val="24"/>
        </w:rPr>
        <w:t>growth-stage,</w:t>
      </w:r>
      <w:r>
        <w:rPr>
          <w:spacing w:val="-15"/>
          <w:sz w:val="24"/>
        </w:rPr>
        <w:t> </w:t>
      </w:r>
      <w:r>
        <w:rPr>
          <w:sz w:val="24"/>
        </w:rPr>
        <w:t>PE/VC-backed</w:t>
      </w:r>
      <w:r>
        <w:rPr>
          <w:spacing w:val="-13"/>
          <w:sz w:val="24"/>
        </w:rPr>
        <w:t> </w:t>
      </w:r>
      <w:r>
        <w:rPr>
          <w:sz w:val="24"/>
        </w:rPr>
        <w:t>firms in India.</w:t>
      </w:r>
    </w:p>
    <w:p>
      <w:pPr>
        <w:pStyle w:val="BodyText"/>
        <w:spacing w:line="360" w:lineRule="auto" w:before="164"/>
        <w:ind w:left="23" w:right="20"/>
        <w:jc w:val="both"/>
      </w:pPr>
      <w:r>
        <w:rPr/>
        <w:t>The case studies were not treated as representative of the whole market and were not used to test</w:t>
      </w:r>
      <w:r>
        <w:rPr>
          <w:spacing w:val="-8"/>
        </w:rPr>
        <w:t> </w:t>
      </w:r>
      <w:r>
        <w:rPr/>
        <w:t>generalisable</w:t>
      </w:r>
      <w:r>
        <w:rPr>
          <w:spacing w:val="-6"/>
        </w:rPr>
        <w:t> </w:t>
      </w:r>
      <w:r>
        <w:rPr/>
        <w:t>relationships.</w:t>
      </w:r>
      <w:r>
        <w:rPr>
          <w:spacing w:val="-11"/>
        </w:rPr>
        <w:t> </w:t>
      </w:r>
      <w:r>
        <w:rPr/>
        <w:t>Their</w:t>
      </w:r>
      <w:r>
        <w:rPr>
          <w:spacing w:val="-9"/>
        </w:rPr>
        <w:t> </w:t>
      </w:r>
      <w:r>
        <w:rPr/>
        <w:t>role</w:t>
      </w:r>
      <w:r>
        <w:rPr>
          <w:spacing w:val="-7"/>
        </w:rPr>
        <w:t> </w:t>
      </w:r>
      <w:r>
        <w:rPr/>
        <w:t>was</w:t>
      </w:r>
      <w:r>
        <w:rPr>
          <w:spacing w:val="-8"/>
        </w:rPr>
        <w:t> </w:t>
      </w:r>
      <w:r>
        <w:rPr/>
        <w:t>interpretive</w:t>
      </w:r>
      <w:r>
        <w:rPr>
          <w:spacing w:val="-7"/>
        </w:rPr>
        <w:t> </w:t>
      </w:r>
      <w:r>
        <w:rPr/>
        <w:t>and</w:t>
      </w:r>
      <w:r>
        <w:rPr>
          <w:spacing w:val="-6"/>
        </w:rPr>
        <w:t> </w:t>
      </w:r>
      <w:r>
        <w:rPr/>
        <w:t>explanatory:</w:t>
      </w:r>
      <w:r>
        <w:rPr>
          <w:spacing w:val="-6"/>
        </w:rPr>
        <w:t> </w:t>
      </w:r>
      <w:r>
        <w:rPr/>
        <w:t>to</w:t>
      </w:r>
      <w:r>
        <w:rPr>
          <w:spacing w:val="-8"/>
        </w:rPr>
        <w:t> </w:t>
      </w:r>
      <w:r>
        <w:rPr/>
        <w:t>demonstrate,</w:t>
      </w:r>
      <w:r>
        <w:rPr>
          <w:spacing w:val="-8"/>
        </w:rPr>
        <w:t> </w:t>
      </w:r>
      <w:r>
        <w:rPr/>
        <w:t>in concrete terms, how exit mechanisms identified in the quantitative distribution can unfold through different strategic pathways and market conditions.</w:t>
      </w:r>
    </w:p>
    <w:p>
      <w:pPr>
        <w:pStyle w:val="Heading3"/>
        <w:numPr>
          <w:ilvl w:val="2"/>
          <w:numId w:val="3"/>
        </w:numPr>
        <w:tabs>
          <w:tab w:pos="563" w:val="left" w:leader="none"/>
        </w:tabs>
        <w:spacing w:line="240" w:lineRule="auto" w:before="161" w:after="0"/>
        <w:ind w:left="563" w:right="0" w:hanging="540"/>
        <w:jc w:val="both"/>
      </w:pPr>
      <w:bookmarkStart w:name="_bookmark27" w:id="28"/>
      <w:bookmarkEnd w:id="28"/>
      <w:r>
        <w:rPr>
          <w:b w:val="0"/>
        </w:rPr>
      </w:r>
      <w:r>
        <w:rPr/>
        <w:t>Industry</w:t>
      </w:r>
      <w:r>
        <w:rPr>
          <w:spacing w:val="-5"/>
        </w:rPr>
        <w:t> </w:t>
      </w:r>
      <w:r>
        <w:rPr/>
        <w:t>report</w:t>
      </w:r>
      <w:r>
        <w:rPr>
          <w:spacing w:val="-4"/>
        </w:rPr>
        <w:t> </w:t>
      </w:r>
      <w:r>
        <w:rPr>
          <w:spacing w:val="-2"/>
        </w:rPr>
        <w:t>review</w:t>
      </w:r>
    </w:p>
    <w:p>
      <w:pPr>
        <w:pStyle w:val="BodyText"/>
        <w:spacing w:line="360" w:lineRule="auto" w:before="216"/>
        <w:ind w:left="23" w:right="11"/>
        <w:jc w:val="both"/>
      </w:pPr>
      <w:r>
        <w:rPr/>
        <w:t>Industry reports and commentary (PwC, EY, Bain &amp; Company, McKinsey, and IVCA publications)</w:t>
      </w:r>
      <w:r>
        <w:rPr>
          <w:spacing w:val="-3"/>
        </w:rPr>
        <w:t> </w:t>
      </w:r>
      <w:r>
        <w:rPr/>
        <w:t>were</w:t>
      </w:r>
      <w:r>
        <w:rPr>
          <w:spacing w:val="-5"/>
        </w:rPr>
        <w:t> </w:t>
      </w:r>
      <w:r>
        <w:rPr/>
        <w:t>reviewed</w:t>
      </w:r>
      <w:r>
        <w:rPr>
          <w:spacing w:val="-3"/>
        </w:rPr>
        <w:t> </w:t>
      </w:r>
      <w:r>
        <w:rPr/>
        <w:t>to</w:t>
      </w:r>
      <w:r>
        <w:rPr>
          <w:spacing w:val="-3"/>
        </w:rPr>
        <w:t> </w:t>
      </w:r>
      <w:r>
        <w:rPr/>
        <w:t>provide</w:t>
      </w:r>
      <w:r>
        <w:rPr>
          <w:spacing w:val="-4"/>
        </w:rPr>
        <w:t> </w:t>
      </w:r>
      <w:r>
        <w:rPr/>
        <w:t>macro-level</w:t>
      </w:r>
      <w:r>
        <w:rPr>
          <w:spacing w:val="-3"/>
        </w:rPr>
        <w:t> </w:t>
      </w:r>
      <w:r>
        <w:rPr/>
        <w:t>narrative</w:t>
      </w:r>
      <w:r>
        <w:rPr>
          <w:spacing w:val="-4"/>
        </w:rPr>
        <w:t> </w:t>
      </w:r>
      <w:r>
        <w:rPr/>
        <w:t>support</w:t>
      </w:r>
      <w:r>
        <w:rPr>
          <w:spacing w:val="-3"/>
        </w:rPr>
        <w:t> </w:t>
      </w:r>
      <w:r>
        <w:rPr/>
        <w:t>regarding</w:t>
      </w:r>
      <w:r>
        <w:rPr>
          <w:spacing w:val="-3"/>
        </w:rPr>
        <w:t> </w:t>
      </w:r>
      <w:r>
        <w:rPr/>
        <w:t>PE</w:t>
      </w:r>
      <w:r>
        <w:rPr>
          <w:spacing w:val="-3"/>
        </w:rPr>
        <w:t> </w:t>
      </w:r>
      <w:r>
        <w:rPr/>
        <w:t>sentiment, sector narratives, and commonly cited constraints in India’s investment environment. These sources were used to strengthen interpretation of the descriptive results (for example, why certain sectors become dominant in particular periods, or why exit route preferences shift). They were not treated as datasets and were not used for numerical estimation.</w:t>
      </w:r>
    </w:p>
    <w:p>
      <w:pPr>
        <w:pStyle w:val="Heading3"/>
        <w:numPr>
          <w:ilvl w:val="2"/>
          <w:numId w:val="3"/>
        </w:numPr>
        <w:tabs>
          <w:tab w:pos="563" w:val="left" w:leader="none"/>
        </w:tabs>
        <w:spacing w:line="240" w:lineRule="auto" w:before="162" w:after="0"/>
        <w:ind w:left="563" w:right="0" w:hanging="540"/>
        <w:jc w:val="both"/>
      </w:pPr>
      <w:bookmarkStart w:name="_bookmark28" w:id="29"/>
      <w:bookmarkEnd w:id="29"/>
      <w:r>
        <w:rPr>
          <w:b w:val="0"/>
        </w:rPr>
      </w:r>
      <w:r>
        <w:rPr/>
        <w:t>Case</w:t>
      </w:r>
      <w:r>
        <w:rPr>
          <w:spacing w:val="-4"/>
        </w:rPr>
        <w:t> </w:t>
      </w:r>
      <w:r>
        <w:rPr/>
        <w:t>study</w:t>
      </w:r>
      <w:r>
        <w:rPr>
          <w:spacing w:val="-2"/>
        </w:rPr>
        <w:t> </w:t>
      </w:r>
      <w:r>
        <w:rPr/>
        <w:t>analysis</w:t>
      </w:r>
      <w:r>
        <w:rPr>
          <w:spacing w:val="-2"/>
        </w:rPr>
        <w:t> procedure</w:t>
      </w:r>
    </w:p>
    <w:p>
      <w:pPr>
        <w:pStyle w:val="BodyText"/>
        <w:spacing w:before="218"/>
        <w:ind w:left="23"/>
        <w:jc w:val="both"/>
      </w:pPr>
      <w:r>
        <w:rPr/>
        <w:t>Each</w:t>
      </w:r>
      <w:r>
        <w:rPr>
          <w:spacing w:val="-3"/>
        </w:rPr>
        <w:t> </w:t>
      </w:r>
      <w:r>
        <w:rPr/>
        <w:t>case</w:t>
      </w:r>
      <w:r>
        <w:rPr>
          <w:spacing w:val="-2"/>
        </w:rPr>
        <w:t> </w:t>
      </w:r>
      <w:r>
        <w:rPr/>
        <w:t>was</w:t>
      </w:r>
      <w:r>
        <w:rPr>
          <w:spacing w:val="-2"/>
        </w:rPr>
        <w:t> </w:t>
      </w:r>
      <w:r>
        <w:rPr/>
        <w:t>analysed using</w:t>
      </w:r>
      <w:r>
        <w:rPr>
          <w:spacing w:val="-2"/>
        </w:rPr>
        <w:t> </w:t>
      </w:r>
      <w:r>
        <w:rPr/>
        <w:t>a</w:t>
      </w:r>
      <w:r>
        <w:rPr>
          <w:spacing w:val="-1"/>
        </w:rPr>
        <w:t> </w:t>
      </w:r>
      <w:r>
        <w:rPr/>
        <w:t>consistent</w:t>
      </w:r>
      <w:r>
        <w:rPr>
          <w:spacing w:val="-2"/>
        </w:rPr>
        <w:t> </w:t>
      </w:r>
      <w:r>
        <w:rPr/>
        <w:t>interpretive</w:t>
      </w:r>
      <w:r>
        <w:rPr>
          <w:spacing w:val="-1"/>
        </w:rPr>
        <w:t> </w:t>
      </w:r>
      <w:r>
        <w:rPr>
          <w:spacing w:val="-2"/>
        </w:rPr>
        <w:t>structure:</w:t>
      </w:r>
    </w:p>
    <w:p>
      <w:pPr>
        <w:pStyle w:val="BodyText"/>
        <w:spacing w:before="24"/>
      </w:pPr>
    </w:p>
    <w:p>
      <w:pPr>
        <w:pStyle w:val="ListParagraph"/>
        <w:numPr>
          <w:ilvl w:val="3"/>
          <w:numId w:val="3"/>
        </w:numPr>
        <w:tabs>
          <w:tab w:pos="743" w:val="left" w:leader="none"/>
        </w:tabs>
        <w:spacing w:line="350" w:lineRule="auto" w:before="0" w:after="0"/>
        <w:ind w:left="743" w:right="26" w:hanging="360"/>
        <w:jc w:val="both"/>
        <w:rPr>
          <w:sz w:val="24"/>
        </w:rPr>
      </w:pPr>
      <w:r>
        <w:rPr>
          <w:sz w:val="24"/>
        </w:rPr>
        <w:t>Deal and growth narrative: how the company’s scaling trajectory aligned with PE/VC funding patterns and the broader market environment.</w:t>
      </w:r>
    </w:p>
    <w:p>
      <w:pPr>
        <w:pStyle w:val="ListParagraph"/>
        <w:spacing w:after="0" w:line="350" w:lineRule="auto"/>
        <w:jc w:val="both"/>
        <w:rPr>
          <w:sz w:val="24"/>
        </w:rPr>
        <w:sectPr>
          <w:pgSz w:w="11910" w:h="16840"/>
          <w:pgMar w:header="0" w:footer="1009" w:top="1360" w:bottom="1200" w:left="1417" w:right="1417"/>
        </w:sectPr>
      </w:pPr>
    </w:p>
    <w:p>
      <w:pPr>
        <w:pStyle w:val="ListParagraph"/>
        <w:numPr>
          <w:ilvl w:val="3"/>
          <w:numId w:val="3"/>
        </w:numPr>
        <w:tabs>
          <w:tab w:pos="743" w:val="left" w:leader="none"/>
        </w:tabs>
        <w:spacing w:line="355" w:lineRule="auto" w:before="83" w:after="0"/>
        <w:ind w:left="743" w:right="22" w:hanging="360"/>
        <w:jc w:val="both"/>
        <w:rPr>
          <w:sz w:val="24"/>
        </w:rPr>
      </w:pPr>
      <w:r>
        <w:rPr>
          <w:sz w:val="24"/>
        </w:rPr>
        <w:t>Exit mechanism description: whether the exit route was primarily IPO or M&amp;A and what enabling conditions were evident (market timing, strategic buyer logic, public market readiness).</w:t>
      </w:r>
    </w:p>
    <w:p>
      <w:pPr>
        <w:pStyle w:val="ListParagraph"/>
        <w:numPr>
          <w:ilvl w:val="3"/>
          <w:numId w:val="3"/>
        </w:numPr>
        <w:tabs>
          <w:tab w:pos="743" w:val="left" w:leader="none"/>
        </w:tabs>
        <w:spacing w:line="355" w:lineRule="auto" w:before="8" w:after="0"/>
        <w:ind w:left="743" w:right="16" w:hanging="360"/>
        <w:jc w:val="both"/>
        <w:rPr>
          <w:sz w:val="24"/>
        </w:rPr>
      </w:pPr>
      <w:r>
        <w:rPr>
          <w:sz w:val="24"/>
        </w:rPr>
        <w:t>Implications for the ecosystem: how the case illustrates opportunities and constraints for exits in India (for example, public market appetite, acquisition pathways, timing considerations),</w:t>
      </w:r>
      <w:r>
        <w:rPr>
          <w:spacing w:val="-9"/>
          <w:sz w:val="24"/>
        </w:rPr>
        <w:t> </w:t>
      </w:r>
      <w:r>
        <w:rPr>
          <w:sz w:val="24"/>
        </w:rPr>
        <w:t>linking</w:t>
      </w:r>
      <w:r>
        <w:rPr>
          <w:spacing w:val="-8"/>
          <w:sz w:val="24"/>
        </w:rPr>
        <w:t> </w:t>
      </w:r>
      <w:r>
        <w:rPr>
          <w:sz w:val="24"/>
        </w:rPr>
        <w:t>back</w:t>
      </w:r>
      <w:r>
        <w:rPr>
          <w:spacing w:val="-8"/>
          <w:sz w:val="24"/>
        </w:rPr>
        <w:t> </w:t>
      </w:r>
      <w:r>
        <w:rPr>
          <w:sz w:val="24"/>
        </w:rPr>
        <w:t>to</w:t>
      </w:r>
      <w:r>
        <w:rPr>
          <w:spacing w:val="-8"/>
          <w:sz w:val="24"/>
        </w:rPr>
        <w:t> </w:t>
      </w:r>
      <w:r>
        <w:rPr>
          <w:sz w:val="24"/>
        </w:rPr>
        <w:t>the</w:t>
      </w:r>
      <w:r>
        <w:rPr>
          <w:spacing w:val="-9"/>
          <w:sz w:val="24"/>
        </w:rPr>
        <w:t> </w:t>
      </w:r>
      <w:r>
        <w:rPr>
          <w:sz w:val="24"/>
        </w:rPr>
        <w:t>exit-route</w:t>
      </w:r>
      <w:r>
        <w:rPr>
          <w:spacing w:val="-9"/>
          <w:sz w:val="24"/>
        </w:rPr>
        <w:t> </w:t>
      </w:r>
      <w:r>
        <w:rPr>
          <w:sz w:val="24"/>
        </w:rPr>
        <w:t>distributions</w:t>
      </w:r>
      <w:r>
        <w:rPr>
          <w:spacing w:val="-8"/>
          <w:sz w:val="24"/>
        </w:rPr>
        <w:t> </w:t>
      </w:r>
      <w:r>
        <w:rPr>
          <w:sz w:val="24"/>
        </w:rPr>
        <w:t>observed</w:t>
      </w:r>
      <w:r>
        <w:rPr>
          <w:spacing w:val="-8"/>
          <w:sz w:val="24"/>
        </w:rPr>
        <w:t> </w:t>
      </w:r>
      <w:r>
        <w:rPr>
          <w:sz w:val="24"/>
        </w:rPr>
        <w:t>in</w:t>
      </w:r>
      <w:r>
        <w:rPr>
          <w:spacing w:val="-8"/>
          <w:sz w:val="24"/>
        </w:rPr>
        <w:t> </w:t>
      </w:r>
      <w:r>
        <w:rPr>
          <w:sz w:val="24"/>
        </w:rPr>
        <w:t>the</w:t>
      </w:r>
      <w:r>
        <w:rPr>
          <w:spacing w:val="-6"/>
          <w:sz w:val="24"/>
        </w:rPr>
        <w:t> </w:t>
      </w:r>
      <w:r>
        <w:rPr>
          <w:sz w:val="24"/>
        </w:rPr>
        <w:t>quantitative </w:t>
      </w:r>
      <w:r>
        <w:rPr>
          <w:spacing w:val="-2"/>
          <w:sz w:val="24"/>
        </w:rPr>
        <w:t>findings.</w:t>
      </w:r>
    </w:p>
    <w:p>
      <w:pPr>
        <w:pStyle w:val="BodyText"/>
        <w:spacing w:line="360" w:lineRule="auto" w:before="169"/>
        <w:ind w:left="23" w:right="21"/>
        <w:jc w:val="both"/>
      </w:pPr>
      <w:r>
        <w:rPr/>
        <w:t>The analysis did not include investor-control analysis, detailed financial structuring, or return calculations, because these were outside the scope of the available data and beyond what the study empirically measured.</w:t>
      </w:r>
    </w:p>
    <w:p>
      <w:pPr>
        <w:pStyle w:val="Heading2"/>
        <w:numPr>
          <w:ilvl w:val="1"/>
          <w:numId w:val="3"/>
        </w:numPr>
        <w:tabs>
          <w:tab w:pos="411" w:val="left" w:leader="none"/>
        </w:tabs>
        <w:spacing w:line="240" w:lineRule="auto" w:before="163" w:after="0"/>
        <w:ind w:left="411" w:right="0" w:hanging="388"/>
        <w:jc w:val="both"/>
      </w:pPr>
      <w:bookmarkStart w:name="_bookmark29" w:id="30"/>
      <w:bookmarkEnd w:id="30"/>
      <w:r>
        <w:rPr>
          <w:b w:val="0"/>
        </w:rPr>
      </w:r>
      <w:r>
        <w:rPr/>
        <w:t>Integration</w:t>
      </w:r>
      <w:r>
        <w:rPr>
          <w:spacing w:val="-10"/>
        </w:rPr>
        <w:t> </w:t>
      </w:r>
      <w:r>
        <w:rPr/>
        <w:t>of</w:t>
      </w:r>
      <w:r>
        <w:rPr>
          <w:spacing w:val="-9"/>
        </w:rPr>
        <w:t> </w:t>
      </w:r>
      <w:r>
        <w:rPr/>
        <w:t>Quantitative</w:t>
      </w:r>
      <w:r>
        <w:rPr>
          <w:spacing w:val="-7"/>
        </w:rPr>
        <w:t> </w:t>
      </w:r>
      <w:r>
        <w:rPr/>
        <w:t>and</w:t>
      </w:r>
      <w:r>
        <w:rPr>
          <w:spacing w:val="-10"/>
        </w:rPr>
        <w:t> </w:t>
      </w:r>
      <w:r>
        <w:rPr/>
        <w:t>Qualitative</w:t>
      </w:r>
      <w:r>
        <w:rPr>
          <w:spacing w:val="-10"/>
        </w:rPr>
        <w:t> </w:t>
      </w:r>
      <w:r>
        <w:rPr>
          <w:spacing w:val="-2"/>
        </w:rPr>
        <w:t>Methods</w:t>
      </w:r>
    </w:p>
    <w:p>
      <w:pPr>
        <w:pStyle w:val="BodyText"/>
        <w:spacing w:before="8"/>
        <w:rPr>
          <w:b/>
          <w:sz w:val="26"/>
        </w:rPr>
      </w:pPr>
    </w:p>
    <w:p>
      <w:pPr>
        <w:pStyle w:val="Heading3"/>
        <w:numPr>
          <w:ilvl w:val="2"/>
          <w:numId w:val="3"/>
        </w:numPr>
        <w:tabs>
          <w:tab w:pos="563" w:val="left" w:leader="none"/>
        </w:tabs>
        <w:spacing w:line="240" w:lineRule="auto" w:before="0" w:after="0"/>
        <w:ind w:left="563" w:right="0" w:hanging="540"/>
        <w:jc w:val="both"/>
      </w:pPr>
      <w:bookmarkStart w:name="_bookmark30" w:id="31"/>
      <w:bookmarkEnd w:id="31"/>
      <w:r>
        <w:rPr>
          <w:b w:val="0"/>
        </w:rPr>
      </w:r>
      <w:r>
        <w:rPr>
          <w:spacing w:val="-2"/>
        </w:rPr>
        <w:t>Contextualization</w:t>
      </w:r>
    </w:p>
    <w:p>
      <w:pPr>
        <w:pStyle w:val="BodyText"/>
        <w:spacing w:line="360" w:lineRule="auto" w:before="219"/>
        <w:ind w:left="23" w:right="20"/>
        <w:jc w:val="both"/>
      </w:pPr>
      <w:r>
        <w:rPr/>
        <w:t>The mixed-method integration functioned as contextualization rather than validation. The quantitative</w:t>
      </w:r>
      <w:r>
        <w:rPr>
          <w:spacing w:val="-15"/>
        </w:rPr>
        <w:t> </w:t>
      </w:r>
      <w:r>
        <w:rPr/>
        <w:t>outputs</w:t>
      </w:r>
      <w:r>
        <w:rPr>
          <w:spacing w:val="-14"/>
        </w:rPr>
        <w:t> </w:t>
      </w:r>
      <w:r>
        <w:rPr/>
        <w:t>provided</w:t>
      </w:r>
      <w:r>
        <w:rPr>
          <w:spacing w:val="-14"/>
        </w:rPr>
        <w:t> </w:t>
      </w:r>
      <w:r>
        <w:rPr/>
        <w:t>an</w:t>
      </w:r>
      <w:r>
        <w:rPr>
          <w:spacing w:val="-14"/>
        </w:rPr>
        <w:t> </w:t>
      </w:r>
      <w:r>
        <w:rPr/>
        <w:t>evidence-based</w:t>
      </w:r>
      <w:r>
        <w:rPr>
          <w:spacing w:val="-12"/>
        </w:rPr>
        <w:t> </w:t>
      </w:r>
      <w:r>
        <w:rPr/>
        <w:t>descriptive</w:t>
      </w:r>
      <w:r>
        <w:rPr>
          <w:spacing w:val="-15"/>
        </w:rPr>
        <w:t> </w:t>
      </w:r>
      <w:r>
        <w:rPr/>
        <w:t>picture</w:t>
      </w:r>
      <w:r>
        <w:rPr>
          <w:spacing w:val="-15"/>
        </w:rPr>
        <w:t> </w:t>
      </w:r>
      <w:r>
        <w:rPr/>
        <w:t>of</w:t>
      </w:r>
      <w:r>
        <w:rPr>
          <w:spacing w:val="-15"/>
        </w:rPr>
        <w:t> </w:t>
      </w:r>
      <w:r>
        <w:rPr/>
        <w:t>how</w:t>
      </w:r>
      <w:r>
        <w:rPr>
          <w:spacing w:val="-15"/>
        </w:rPr>
        <w:t> </w:t>
      </w:r>
      <w:r>
        <w:rPr/>
        <w:t>deal</w:t>
      </w:r>
      <w:r>
        <w:rPr>
          <w:spacing w:val="-14"/>
        </w:rPr>
        <w:t> </w:t>
      </w:r>
      <w:r>
        <w:rPr/>
        <w:t>activity,</w:t>
      </w:r>
      <w:r>
        <w:rPr>
          <w:spacing w:val="-14"/>
        </w:rPr>
        <w:t> </w:t>
      </w:r>
      <w:r>
        <w:rPr/>
        <w:t>sector composition,</w:t>
      </w:r>
      <w:r>
        <w:rPr>
          <w:spacing w:val="-8"/>
        </w:rPr>
        <w:t> </w:t>
      </w:r>
      <w:r>
        <w:rPr/>
        <w:t>and</w:t>
      </w:r>
      <w:r>
        <w:rPr>
          <w:spacing w:val="-8"/>
        </w:rPr>
        <w:t> </w:t>
      </w:r>
      <w:r>
        <w:rPr/>
        <w:t>exit</w:t>
      </w:r>
      <w:r>
        <w:rPr>
          <w:spacing w:val="-8"/>
        </w:rPr>
        <w:t> </w:t>
      </w:r>
      <w:r>
        <w:rPr/>
        <w:t>routes</w:t>
      </w:r>
      <w:r>
        <w:rPr>
          <w:spacing w:val="-8"/>
        </w:rPr>
        <w:t> </w:t>
      </w:r>
      <w:r>
        <w:rPr/>
        <w:t>changed</w:t>
      </w:r>
      <w:r>
        <w:rPr>
          <w:spacing w:val="-8"/>
        </w:rPr>
        <w:t> </w:t>
      </w:r>
      <w:r>
        <w:rPr/>
        <w:t>between</w:t>
      </w:r>
      <w:r>
        <w:rPr>
          <w:spacing w:val="-8"/>
        </w:rPr>
        <w:t> </w:t>
      </w:r>
      <w:r>
        <w:rPr/>
        <w:t>2005</w:t>
      </w:r>
      <w:r>
        <w:rPr>
          <w:spacing w:val="-8"/>
        </w:rPr>
        <w:t> </w:t>
      </w:r>
      <w:r>
        <w:rPr/>
        <w:t>and</w:t>
      </w:r>
      <w:r>
        <w:rPr>
          <w:spacing w:val="-8"/>
        </w:rPr>
        <w:t> </w:t>
      </w:r>
      <w:r>
        <w:rPr/>
        <w:t>2024.</w:t>
      </w:r>
      <w:r>
        <w:rPr>
          <w:spacing w:val="-13"/>
        </w:rPr>
        <w:t> </w:t>
      </w:r>
      <w:r>
        <w:rPr/>
        <w:t>The</w:t>
      </w:r>
      <w:r>
        <w:rPr>
          <w:spacing w:val="-9"/>
        </w:rPr>
        <w:t> </w:t>
      </w:r>
      <w:r>
        <w:rPr/>
        <w:t>qualitative</w:t>
      </w:r>
      <w:r>
        <w:rPr>
          <w:spacing w:val="-9"/>
        </w:rPr>
        <w:t> </w:t>
      </w:r>
      <w:r>
        <w:rPr/>
        <w:t>component</w:t>
      </w:r>
      <w:r>
        <w:rPr>
          <w:spacing w:val="-8"/>
        </w:rPr>
        <w:t> </w:t>
      </w:r>
      <w:r>
        <w:rPr/>
        <w:t>then offered</w:t>
      </w:r>
      <w:r>
        <w:rPr>
          <w:spacing w:val="-15"/>
        </w:rPr>
        <w:t> </w:t>
      </w:r>
      <w:r>
        <w:rPr/>
        <w:t>interpretive</w:t>
      </w:r>
      <w:r>
        <w:rPr>
          <w:spacing w:val="-15"/>
        </w:rPr>
        <w:t> </w:t>
      </w:r>
      <w:r>
        <w:rPr/>
        <w:t>support</w:t>
      </w:r>
      <w:r>
        <w:rPr>
          <w:spacing w:val="-15"/>
        </w:rPr>
        <w:t> </w:t>
      </w:r>
      <w:r>
        <w:rPr/>
        <w:t>by</w:t>
      </w:r>
      <w:r>
        <w:rPr>
          <w:spacing w:val="-15"/>
        </w:rPr>
        <w:t> </w:t>
      </w:r>
      <w:r>
        <w:rPr/>
        <w:t>explaining</w:t>
      </w:r>
      <w:r>
        <w:rPr>
          <w:spacing w:val="-15"/>
        </w:rPr>
        <w:t> </w:t>
      </w:r>
      <w:r>
        <w:rPr/>
        <w:t>how</w:t>
      </w:r>
      <w:r>
        <w:rPr>
          <w:spacing w:val="-15"/>
        </w:rPr>
        <w:t> </w:t>
      </w:r>
      <w:r>
        <w:rPr/>
        <w:t>particular</w:t>
      </w:r>
      <w:r>
        <w:rPr>
          <w:spacing w:val="-15"/>
        </w:rPr>
        <w:t> </w:t>
      </w:r>
      <w:r>
        <w:rPr/>
        <w:t>exit</w:t>
      </w:r>
      <w:r>
        <w:rPr>
          <w:spacing w:val="-15"/>
        </w:rPr>
        <w:t> </w:t>
      </w:r>
      <w:r>
        <w:rPr/>
        <w:t>mechanisms</w:t>
      </w:r>
      <w:r>
        <w:rPr>
          <w:spacing w:val="-15"/>
        </w:rPr>
        <w:t> </w:t>
      </w:r>
      <w:r>
        <w:rPr/>
        <w:t>and</w:t>
      </w:r>
      <w:r>
        <w:rPr>
          <w:spacing w:val="-15"/>
        </w:rPr>
        <w:t> </w:t>
      </w:r>
      <w:r>
        <w:rPr/>
        <w:t>sector</w:t>
      </w:r>
      <w:r>
        <w:rPr>
          <w:spacing w:val="-15"/>
        </w:rPr>
        <w:t> </w:t>
      </w:r>
      <w:r>
        <w:rPr/>
        <w:t>narratives can arise in practice, using Flipkart and Zomato as illustrative examples and industry reports </w:t>
      </w:r>
      <w:r>
        <w:rPr>
          <w:spacing w:val="-2"/>
        </w:rPr>
        <w:t>as</w:t>
      </w:r>
      <w:r>
        <w:rPr>
          <w:spacing w:val="-5"/>
        </w:rPr>
        <w:t> </w:t>
      </w:r>
      <w:r>
        <w:rPr>
          <w:spacing w:val="-2"/>
        </w:rPr>
        <w:t>background framing.</w:t>
      </w:r>
      <w:r>
        <w:rPr>
          <w:spacing w:val="-11"/>
        </w:rPr>
        <w:t> </w:t>
      </w:r>
      <w:r>
        <w:rPr>
          <w:spacing w:val="-2"/>
        </w:rPr>
        <w:t>This</w:t>
      </w:r>
      <w:r>
        <w:rPr>
          <w:spacing w:val="-3"/>
        </w:rPr>
        <w:t> </w:t>
      </w:r>
      <w:r>
        <w:rPr>
          <w:spacing w:val="-2"/>
        </w:rPr>
        <w:t>strengthened</w:t>
      </w:r>
      <w:r>
        <w:rPr>
          <w:spacing w:val="-5"/>
        </w:rPr>
        <w:t> </w:t>
      </w:r>
      <w:r>
        <w:rPr>
          <w:spacing w:val="-2"/>
        </w:rPr>
        <w:t>the</w:t>
      </w:r>
      <w:r>
        <w:rPr>
          <w:spacing w:val="-3"/>
        </w:rPr>
        <w:t> </w:t>
      </w:r>
      <w:r>
        <w:rPr>
          <w:spacing w:val="-2"/>
        </w:rPr>
        <w:t>explanatory</w:t>
      </w:r>
      <w:r>
        <w:rPr>
          <w:spacing w:val="-5"/>
        </w:rPr>
        <w:t> </w:t>
      </w:r>
      <w:r>
        <w:rPr>
          <w:spacing w:val="-2"/>
        </w:rPr>
        <w:t>quality</w:t>
      </w:r>
      <w:r>
        <w:rPr>
          <w:spacing w:val="-3"/>
        </w:rPr>
        <w:t> </w:t>
      </w:r>
      <w:r>
        <w:rPr>
          <w:spacing w:val="-2"/>
        </w:rPr>
        <w:t>of</w:t>
      </w:r>
      <w:r>
        <w:rPr>
          <w:spacing w:val="-6"/>
        </w:rPr>
        <w:t> </w:t>
      </w:r>
      <w:r>
        <w:rPr>
          <w:spacing w:val="-2"/>
        </w:rPr>
        <w:t>the</w:t>
      </w:r>
      <w:r>
        <w:rPr>
          <w:spacing w:val="-5"/>
        </w:rPr>
        <w:t> </w:t>
      </w:r>
      <w:r>
        <w:rPr>
          <w:spacing w:val="-2"/>
        </w:rPr>
        <w:t>study</w:t>
      </w:r>
      <w:r>
        <w:rPr>
          <w:spacing w:val="-3"/>
        </w:rPr>
        <w:t> </w:t>
      </w:r>
      <w:r>
        <w:rPr>
          <w:spacing w:val="-2"/>
        </w:rPr>
        <w:t>without</w:t>
      </w:r>
      <w:r>
        <w:rPr>
          <w:spacing w:val="-3"/>
        </w:rPr>
        <w:t> </w:t>
      </w:r>
      <w:r>
        <w:rPr>
          <w:spacing w:val="-2"/>
        </w:rPr>
        <w:t>claiming </w:t>
      </w:r>
      <w:r>
        <w:rPr/>
        <w:t>statistical correlation testing or empirical verification between qualitative narratives and quantitative measures.</w:t>
      </w:r>
    </w:p>
    <w:p>
      <w:pPr>
        <w:pStyle w:val="Heading3"/>
        <w:numPr>
          <w:ilvl w:val="2"/>
          <w:numId w:val="3"/>
        </w:numPr>
        <w:tabs>
          <w:tab w:pos="563" w:val="left" w:leader="none"/>
        </w:tabs>
        <w:spacing w:line="240" w:lineRule="auto" w:before="159" w:after="0"/>
        <w:ind w:left="563" w:right="0" w:hanging="540"/>
        <w:jc w:val="both"/>
      </w:pPr>
      <w:bookmarkStart w:name="_bookmark31" w:id="32"/>
      <w:bookmarkEnd w:id="32"/>
      <w:r>
        <w:rPr>
          <w:b w:val="0"/>
        </w:rPr>
      </w:r>
      <w:r>
        <w:rPr/>
        <w:t>Complementarity</w:t>
      </w:r>
      <w:r>
        <w:rPr>
          <w:spacing w:val="-3"/>
        </w:rPr>
        <w:t> </w:t>
      </w:r>
      <w:r>
        <w:rPr/>
        <w:t>of</w:t>
      </w:r>
      <w:r>
        <w:rPr>
          <w:spacing w:val="-3"/>
        </w:rPr>
        <w:t> </w:t>
      </w:r>
      <w:r>
        <w:rPr>
          <w:spacing w:val="-2"/>
        </w:rPr>
        <w:t>methods</w:t>
      </w:r>
    </w:p>
    <w:p>
      <w:pPr>
        <w:pStyle w:val="BodyText"/>
        <w:spacing w:line="360" w:lineRule="auto" w:before="219"/>
        <w:ind w:left="23" w:right="19"/>
        <w:jc w:val="both"/>
      </w:pPr>
      <w:r>
        <w:rPr/>
        <w:t>The quantitative component provided breadth (market-wide pattern description), while the qualitative component provided depth (mechanism-oriented illustration). Together, this produced a more coherent account of India’s PE ecosystem, where numerical trends were presented alongside plausible explanations grounded in real exit pathways and sector-level narratives (Östlund et al., 2020).</w:t>
      </w:r>
    </w:p>
    <w:p>
      <w:pPr>
        <w:pStyle w:val="Heading2"/>
        <w:numPr>
          <w:ilvl w:val="1"/>
          <w:numId w:val="3"/>
        </w:numPr>
        <w:tabs>
          <w:tab w:pos="411" w:val="left" w:leader="none"/>
        </w:tabs>
        <w:spacing w:line="240" w:lineRule="auto" w:before="160" w:after="0"/>
        <w:ind w:left="411" w:right="0" w:hanging="388"/>
        <w:jc w:val="both"/>
      </w:pPr>
      <w:bookmarkStart w:name="_bookmark32" w:id="33"/>
      <w:bookmarkEnd w:id="33"/>
      <w:r>
        <w:rPr>
          <w:b w:val="0"/>
        </w:rPr>
      </w:r>
      <w:r>
        <w:rPr/>
        <w:t>Limitations</w:t>
      </w:r>
      <w:r>
        <w:rPr>
          <w:spacing w:val="-9"/>
        </w:rPr>
        <w:t> </w:t>
      </w:r>
      <w:r>
        <w:rPr/>
        <w:t>and</w:t>
      </w:r>
      <w:r>
        <w:rPr>
          <w:spacing w:val="-10"/>
        </w:rPr>
        <w:t> </w:t>
      </w:r>
      <w:r>
        <w:rPr/>
        <w:t>Ethical</w:t>
      </w:r>
      <w:r>
        <w:rPr>
          <w:spacing w:val="-10"/>
        </w:rPr>
        <w:t> </w:t>
      </w:r>
      <w:r>
        <w:rPr>
          <w:spacing w:val="-2"/>
        </w:rPr>
        <w:t>Considerations</w:t>
      </w:r>
    </w:p>
    <w:p>
      <w:pPr>
        <w:pStyle w:val="BodyText"/>
        <w:spacing w:before="12"/>
        <w:rPr>
          <w:b/>
          <w:sz w:val="26"/>
        </w:rPr>
      </w:pPr>
    </w:p>
    <w:p>
      <w:pPr>
        <w:pStyle w:val="Heading3"/>
        <w:numPr>
          <w:ilvl w:val="2"/>
          <w:numId w:val="3"/>
        </w:numPr>
        <w:tabs>
          <w:tab w:pos="563" w:val="left" w:leader="none"/>
        </w:tabs>
        <w:spacing w:line="240" w:lineRule="auto" w:before="0" w:after="0"/>
        <w:ind w:left="563" w:right="0" w:hanging="540"/>
        <w:jc w:val="both"/>
      </w:pPr>
      <w:bookmarkStart w:name="_bookmark33" w:id="34"/>
      <w:bookmarkEnd w:id="34"/>
      <w:r>
        <w:rPr>
          <w:b w:val="0"/>
        </w:rPr>
      </w:r>
      <w:r>
        <w:rPr/>
        <w:t>Data</w:t>
      </w:r>
      <w:r>
        <w:rPr>
          <w:spacing w:val="-2"/>
        </w:rPr>
        <w:t> </w:t>
      </w:r>
      <w:r>
        <w:rPr/>
        <w:t>availability</w:t>
      </w:r>
      <w:r>
        <w:rPr>
          <w:spacing w:val="-2"/>
        </w:rPr>
        <w:t> </w:t>
      </w:r>
      <w:r>
        <w:rPr/>
        <w:t>and</w:t>
      </w:r>
      <w:r>
        <w:rPr>
          <w:spacing w:val="-2"/>
        </w:rPr>
        <w:t> completeness</w:t>
      </w:r>
    </w:p>
    <w:p>
      <w:pPr>
        <w:pStyle w:val="BodyText"/>
        <w:spacing w:line="360" w:lineRule="auto" w:before="218"/>
        <w:ind w:left="23" w:right="24"/>
        <w:jc w:val="both"/>
      </w:pPr>
      <w:r>
        <w:rPr/>
        <w:t>A key limitation arose from the nature of deal databases. Even in comprehensive platforms such</w:t>
      </w:r>
      <w:r>
        <w:rPr>
          <w:spacing w:val="-16"/>
        </w:rPr>
        <w:t> </w:t>
      </w:r>
      <w:r>
        <w:rPr/>
        <w:t>as</w:t>
      </w:r>
      <w:r>
        <w:rPr>
          <w:spacing w:val="-11"/>
        </w:rPr>
        <w:t> </w:t>
      </w:r>
      <w:r>
        <w:rPr/>
        <w:t>LSEG</w:t>
      </w:r>
      <w:r>
        <w:rPr>
          <w:spacing w:val="-15"/>
        </w:rPr>
        <w:t> </w:t>
      </w:r>
      <w:r>
        <w:rPr/>
        <w:t>(Refinitiv),</w:t>
      </w:r>
      <w:r>
        <w:rPr>
          <w:spacing w:val="-14"/>
        </w:rPr>
        <w:t> </w:t>
      </w:r>
      <w:r>
        <w:rPr/>
        <w:t>some</w:t>
      </w:r>
      <w:r>
        <w:rPr>
          <w:spacing w:val="-15"/>
        </w:rPr>
        <w:t> </w:t>
      </w:r>
      <w:r>
        <w:rPr/>
        <w:t>observations</w:t>
      </w:r>
      <w:r>
        <w:rPr>
          <w:spacing w:val="-13"/>
        </w:rPr>
        <w:t> </w:t>
      </w:r>
      <w:r>
        <w:rPr/>
        <w:t>may</w:t>
      </w:r>
      <w:r>
        <w:rPr>
          <w:spacing w:val="-12"/>
        </w:rPr>
        <w:t> </w:t>
      </w:r>
      <w:r>
        <w:rPr/>
        <w:t>have</w:t>
      </w:r>
      <w:r>
        <w:rPr>
          <w:spacing w:val="-15"/>
        </w:rPr>
        <w:t> </w:t>
      </w:r>
      <w:r>
        <w:rPr/>
        <w:t>missing</w:t>
      </w:r>
      <w:r>
        <w:rPr>
          <w:spacing w:val="-13"/>
        </w:rPr>
        <w:t> </w:t>
      </w:r>
      <w:r>
        <w:rPr/>
        <w:t>values</w:t>
      </w:r>
      <w:r>
        <w:rPr>
          <w:spacing w:val="-13"/>
        </w:rPr>
        <w:t> </w:t>
      </w:r>
      <w:r>
        <w:rPr/>
        <w:t>(e.g.,</w:t>
      </w:r>
      <w:r>
        <w:rPr>
          <w:spacing w:val="-11"/>
        </w:rPr>
        <w:t> </w:t>
      </w:r>
      <w:r>
        <w:rPr/>
        <w:t>undisclosed</w:t>
      </w:r>
      <w:r>
        <w:rPr>
          <w:spacing w:val="-14"/>
        </w:rPr>
        <w:t> </w:t>
      </w:r>
      <w:r>
        <w:rPr>
          <w:spacing w:val="-2"/>
        </w:rPr>
        <w:t>round</w:t>
      </w:r>
    </w:p>
    <w:p>
      <w:pPr>
        <w:pStyle w:val="BodyText"/>
        <w:spacing w:after="0" w:line="360" w:lineRule="auto"/>
        <w:jc w:val="both"/>
        <w:sectPr>
          <w:pgSz w:w="11910" w:h="16840"/>
          <w:pgMar w:header="0" w:footer="1009" w:top="1340" w:bottom="1200" w:left="1417" w:right="1417"/>
        </w:sectPr>
      </w:pPr>
    </w:p>
    <w:p>
      <w:pPr>
        <w:pStyle w:val="BodyText"/>
        <w:spacing w:line="360" w:lineRule="auto" w:before="61"/>
        <w:ind w:left="23" w:right="20"/>
        <w:jc w:val="both"/>
      </w:pPr>
      <w:r>
        <w:rPr/>
        <w:t>values,</w:t>
      </w:r>
      <w:r>
        <w:rPr>
          <w:spacing w:val="-15"/>
        </w:rPr>
        <w:t> </w:t>
      </w:r>
      <w:r>
        <w:rPr/>
        <w:t>inconsistent</w:t>
      </w:r>
      <w:r>
        <w:rPr>
          <w:spacing w:val="-15"/>
        </w:rPr>
        <w:t> </w:t>
      </w:r>
      <w:r>
        <w:rPr/>
        <w:t>sector</w:t>
      </w:r>
      <w:r>
        <w:rPr>
          <w:spacing w:val="-15"/>
        </w:rPr>
        <w:t> </w:t>
      </w:r>
      <w:r>
        <w:rPr/>
        <w:t>tags</w:t>
      </w:r>
      <w:r>
        <w:rPr>
          <w:spacing w:val="-15"/>
        </w:rPr>
        <w:t> </w:t>
      </w:r>
      <w:r>
        <w:rPr/>
        <w:t>across</w:t>
      </w:r>
      <w:r>
        <w:rPr>
          <w:spacing w:val="-15"/>
        </w:rPr>
        <w:t> </w:t>
      </w:r>
      <w:r>
        <w:rPr/>
        <w:t>older</w:t>
      </w:r>
      <w:r>
        <w:rPr>
          <w:spacing w:val="-15"/>
        </w:rPr>
        <w:t> </w:t>
      </w:r>
      <w:r>
        <w:rPr/>
        <w:t>records,</w:t>
      </w:r>
      <w:r>
        <w:rPr>
          <w:spacing w:val="-15"/>
        </w:rPr>
        <w:t> </w:t>
      </w:r>
      <w:r>
        <w:rPr/>
        <w:t>or</w:t>
      </w:r>
      <w:r>
        <w:rPr>
          <w:spacing w:val="-15"/>
        </w:rPr>
        <w:t> </w:t>
      </w:r>
      <w:r>
        <w:rPr/>
        <w:t>partial</w:t>
      </w:r>
      <w:r>
        <w:rPr>
          <w:spacing w:val="-15"/>
        </w:rPr>
        <w:t> </w:t>
      </w:r>
      <w:r>
        <w:rPr/>
        <w:t>exit</w:t>
      </w:r>
      <w:r>
        <w:rPr>
          <w:spacing w:val="-15"/>
        </w:rPr>
        <w:t> </w:t>
      </w:r>
      <w:r>
        <w:rPr/>
        <w:t>classifications).</w:t>
      </w:r>
      <w:r>
        <w:rPr>
          <w:spacing w:val="-15"/>
        </w:rPr>
        <w:t> </w:t>
      </w:r>
      <w:r>
        <w:rPr/>
        <w:t>Earlier</w:t>
      </w:r>
      <w:r>
        <w:rPr>
          <w:spacing w:val="-15"/>
        </w:rPr>
        <w:t> </w:t>
      </w:r>
      <w:r>
        <w:rPr/>
        <w:t>years in particular may contain more incomplete documentation due to lower disclosure and reporting intensity in historical periods. These constraints limited the analysis to descriptive patterns</w:t>
      </w:r>
      <w:r>
        <w:rPr>
          <w:spacing w:val="-10"/>
        </w:rPr>
        <w:t> </w:t>
      </w:r>
      <w:r>
        <w:rPr/>
        <w:t>that</w:t>
      </w:r>
      <w:r>
        <w:rPr>
          <w:spacing w:val="-10"/>
        </w:rPr>
        <w:t> </w:t>
      </w:r>
      <w:r>
        <w:rPr/>
        <w:t>could</w:t>
      </w:r>
      <w:r>
        <w:rPr>
          <w:spacing w:val="-9"/>
        </w:rPr>
        <w:t> </w:t>
      </w:r>
      <w:r>
        <w:rPr/>
        <w:t>be</w:t>
      </w:r>
      <w:r>
        <w:rPr>
          <w:spacing w:val="-8"/>
        </w:rPr>
        <w:t> </w:t>
      </w:r>
      <w:r>
        <w:rPr/>
        <w:t>robustly</w:t>
      </w:r>
      <w:r>
        <w:rPr>
          <w:spacing w:val="-10"/>
        </w:rPr>
        <w:t> </w:t>
      </w:r>
      <w:r>
        <w:rPr/>
        <w:t>derived</w:t>
      </w:r>
      <w:r>
        <w:rPr>
          <w:spacing w:val="-10"/>
        </w:rPr>
        <w:t> </w:t>
      </w:r>
      <w:r>
        <w:rPr/>
        <w:t>from</w:t>
      </w:r>
      <w:r>
        <w:rPr>
          <w:spacing w:val="-9"/>
        </w:rPr>
        <w:t> </w:t>
      </w:r>
      <w:r>
        <w:rPr/>
        <w:t>the</w:t>
      </w:r>
      <w:r>
        <w:rPr>
          <w:spacing w:val="-8"/>
        </w:rPr>
        <w:t> </w:t>
      </w:r>
      <w:r>
        <w:rPr/>
        <w:t>available</w:t>
      </w:r>
      <w:r>
        <w:rPr>
          <w:spacing w:val="-10"/>
        </w:rPr>
        <w:t> </w:t>
      </w:r>
      <w:r>
        <w:rPr/>
        <w:t>fields</w:t>
      </w:r>
      <w:r>
        <w:rPr>
          <w:spacing w:val="-9"/>
        </w:rPr>
        <w:t> </w:t>
      </w:r>
      <w:r>
        <w:rPr/>
        <w:t>and</w:t>
      </w:r>
      <w:r>
        <w:rPr>
          <w:spacing w:val="-10"/>
        </w:rPr>
        <w:t> </w:t>
      </w:r>
      <w:r>
        <w:rPr/>
        <w:t>justified</w:t>
      </w:r>
      <w:r>
        <w:rPr>
          <w:spacing w:val="-10"/>
        </w:rPr>
        <w:t> </w:t>
      </w:r>
      <w:r>
        <w:rPr/>
        <w:t>a</w:t>
      </w:r>
      <w:r>
        <w:rPr>
          <w:spacing w:val="-11"/>
        </w:rPr>
        <w:t> </w:t>
      </w:r>
      <w:r>
        <w:rPr/>
        <w:t>focus</w:t>
      </w:r>
      <w:r>
        <w:rPr>
          <w:spacing w:val="-9"/>
        </w:rPr>
        <w:t> </w:t>
      </w:r>
      <w:r>
        <w:rPr/>
        <w:t>on</w:t>
      </w:r>
      <w:r>
        <w:rPr>
          <w:spacing w:val="-7"/>
        </w:rPr>
        <w:t> </w:t>
      </w:r>
      <w:r>
        <w:rPr/>
        <w:t>counts, sums, and distributions rather than return or performance estimation.</w:t>
      </w:r>
    </w:p>
    <w:p>
      <w:pPr>
        <w:pStyle w:val="Heading3"/>
        <w:numPr>
          <w:ilvl w:val="2"/>
          <w:numId w:val="3"/>
        </w:numPr>
        <w:tabs>
          <w:tab w:pos="563" w:val="left" w:leader="none"/>
        </w:tabs>
        <w:spacing w:line="240" w:lineRule="auto" w:before="160" w:after="0"/>
        <w:ind w:left="563" w:right="0" w:hanging="540"/>
        <w:jc w:val="both"/>
      </w:pPr>
      <w:bookmarkStart w:name="_bookmark34" w:id="35"/>
      <w:bookmarkEnd w:id="35"/>
      <w:r>
        <w:rPr>
          <w:b w:val="0"/>
        </w:rPr>
      </w:r>
      <w:r>
        <w:rPr/>
        <w:t>Ethics</w:t>
      </w:r>
      <w:r>
        <w:rPr>
          <w:spacing w:val="-3"/>
        </w:rPr>
        <w:t> </w:t>
      </w:r>
      <w:r>
        <w:rPr/>
        <w:t>and</w:t>
      </w:r>
      <w:r>
        <w:rPr>
          <w:spacing w:val="-2"/>
        </w:rPr>
        <w:t> </w:t>
      </w:r>
      <w:r>
        <w:rPr/>
        <w:t>data</w:t>
      </w:r>
      <w:r>
        <w:rPr>
          <w:spacing w:val="-1"/>
        </w:rPr>
        <w:t> </w:t>
      </w:r>
      <w:r>
        <w:rPr>
          <w:spacing w:val="-2"/>
        </w:rPr>
        <w:t>handling</w:t>
      </w:r>
    </w:p>
    <w:p>
      <w:pPr>
        <w:pStyle w:val="BodyText"/>
        <w:spacing w:line="360" w:lineRule="auto" w:before="218"/>
        <w:ind w:left="23" w:right="18"/>
        <w:jc w:val="both"/>
      </w:pPr>
      <w:r>
        <w:rPr/>
        <w:t>This</w:t>
      </w:r>
      <w:r>
        <w:rPr>
          <w:spacing w:val="-5"/>
        </w:rPr>
        <w:t> </w:t>
      </w:r>
      <w:r>
        <w:rPr/>
        <w:t>study</w:t>
      </w:r>
      <w:r>
        <w:rPr>
          <w:spacing w:val="-5"/>
        </w:rPr>
        <w:t> </w:t>
      </w:r>
      <w:r>
        <w:rPr/>
        <w:t>used</w:t>
      </w:r>
      <w:r>
        <w:rPr>
          <w:spacing w:val="-6"/>
        </w:rPr>
        <w:t> </w:t>
      </w:r>
      <w:r>
        <w:rPr/>
        <w:t>only</w:t>
      </w:r>
      <w:r>
        <w:rPr>
          <w:spacing w:val="-5"/>
        </w:rPr>
        <w:t> </w:t>
      </w:r>
      <w:r>
        <w:rPr/>
        <w:t>publicly</w:t>
      </w:r>
      <w:r>
        <w:rPr>
          <w:spacing w:val="-5"/>
        </w:rPr>
        <w:t> </w:t>
      </w:r>
      <w:r>
        <w:rPr/>
        <w:t>available</w:t>
      </w:r>
      <w:r>
        <w:rPr>
          <w:spacing w:val="-6"/>
        </w:rPr>
        <w:t> </w:t>
      </w:r>
      <w:r>
        <w:rPr/>
        <w:t>secondary</w:t>
      </w:r>
      <w:r>
        <w:rPr>
          <w:spacing w:val="-3"/>
        </w:rPr>
        <w:t> </w:t>
      </w:r>
      <w:r>
        <w:rPr/>
        <w:t>data</w:t>
      </w:r>
      <w:r>
        <w:rPr>
          <w:spacing w:val="-6"/>
        </w:rPr>
        <w:t> </w:t>
      </w:r>
      <w:r>
        <w:rPr/>
        <w:t>and</w:t>
      </w:r>
      <w:r>
        <w:rPr>
          <w:spacing w:val="-6"/>
        </w:rPr>
        <w:t> </w:t>
      </w:r>
      <w:r>
        <w:rPr/>
        <w:t>published</w:t>
      </w:r>
      <w:r>
        <w:rPr>
          <w:spacing w:val="-6"/>
        </w:rPr>
        <w:t> </w:t>
      </w:r>
      <w:r>
        <w:rPr/>
        <w:t>sources.</w:t>
      </w:r>
      <w:r>
        <w:rPr>
          <w:spacing w:val="-6"/>
        </w:rPr>
        <w:t> </w:t>
      </w:r>
      <w:r>
        <w:rPr/>
        <w:t>No</w:t>
      </w:r>
      <w:r>
        <w:rPr>
          <w:spacing w:val="-6"/>
        </w:rPr>
        <w:t> </w:t>
      </w:r>
      <w:r>
        <w:rPr/>
        <w:t>confidential datasets, personal data, or non-public firm information were accessed. As a result, anonymization procedures were not applicable. Ethical practice was instead maintained through accurate reporting, transparent description of data sources, correct citation of all materials,</w:t>
      </w:r>
      <w:r>
        <w:rPr>
          <w:spacing w:val="-11"/>
        </w:rPr>
        <w:t> </w:t>
      </w:r>
      <w:r>
        <w:rPr/>
        <w:t>and</w:t>
      </w:r>
      <w:r>
        <w:rPr>
          <w:spacing w:val="-12"/>
        </w:rPr>
        <w:t> </w:t>
      </w:r>
      <w:r>
        <w:rPr/>
        <w:t>avoidance</w:t>
      </w:r>
      <w:r>
        <w:rPr>
          <w:spacing w:val="-10"/>
        </w:rPr>
        <w:t> </w:t>
      </w:r>
      <w:r>
        <w:rPr/>
        <w:t>of</w:t>
      </w:r>
      <w:r>
        <w:rPr>
          <w:spacing w:val="-12"/>
        </w:rPr>
        <w:t> </w:t>
      </w:r>
      <w:r>
        <w:rPr/>
        <w:t>misrepresentation</w:t>
      </w:r>
      <w:r>
        <w:rPr>
          <w:spacing w:val="-11"/>
        </w:rPr>
        <w:t> </w:t>
      </w:r>
      <w:r>
        <w:rPr/>
        <w:t>of</w:t>
      </w:r>
      <w:r>
        <w:rPr>
          <w:spacing w:val="-12"/>
        </w:rPr>
        <w:t> </w:t>
      </w:r>
      <w:r>
        <w:rPr/>
        <w:t>company</w:t>
      </w:r>
      <w:r>
        <w:rPr>
          <w:spacing w:val="-12"/>
        </w:rPr>
        <w:t> </w:t>
      </w:r>
      <w:r>
        <w:rPr/>
        <w:t>outcomes</w:t>
      </w:r>
      <w:r>
        <w:rPr>
          <w:spacing w:val="-11"/>
        </w:rPr>
        <w:t> </w:t>
      </w:r>
      <w:r>
        <w:rPr/>
        <w:t>or</w:t>
      </w:r>
      <w:r>
        <w:rPr>
          <w:spacing w:val="-12"/>
        </w:rPr>
        <w:t> </w:t>
      </w:r>
      <w:r>
        <w:rPr/>
        <w:t>market</w:t>
      </w:r>
      <w:r>
        <w:rPr>
          <w:spacing w:val="-11"/>
        </w:rPr>
        <w:t> </w:t>
      </w:r>
      <w:r>
        <w:rPr/>
        <w:t>dynamics</w:t>
      </w:r>
      <w:r>
        <w:rPr>
          <w:spacing w:val="-11"/>
        </w:rPr>
        <w:t> </w:t>
      </w:r>
      <w:r>
        <w:rPr/>
        <w:t>(Pina et al., 2024).</w:t>
      </w:r>
    </w:p>
    <w:p>
      <w:pPr>
        <w:pStyle w:val="Heading3"/>
        <w:numPr>
          <w:ilvl w:val="2"/>
          <w:numId w:val="3"/>
        </w:numPr>
        <w:tabs>
          <w:tab w:pos="558" w:val="left" w:leader="none"/>
        </w:tabs>
        <w:spacing w:line="240" w:lineRule="auto" w:before="159" w:after="0"/>
        <w:ind w:left="558" w:right="0" w:hanging="535"/>
        <w:jc w:val="both"/>
      </w:pPr>
      <w:bookmarkStart w:name="_bookmark35" w:id="36"/>
      <w:bookmarkEnd w:id="36"/>
      <w:r>
        <w:rPr>
          <w:b w:val="0"/>
        </w:rPr>
      </w:r>
      <w:r>
        <w:rPr/>
        <w:t>Validity</w:t>
      </w:r>
      <w:r>
        <w:rPr>
          <w:spacing w:val="-8"/>
        </w:rPr>
        <w:t> </w:t>
      </w:r>
      <w:r>
        <w:rPr/>
        <w:t>and</w:t>
      </w:r>
      <w:r>
        <w:rPr>
          <w:spacing w:val="-9"/>
        </w:rPr>
        <w:t> </w:t>
      </w:r>
      <w:r>
        <w:rPr/>
        <w:t>reliability</w:t>
      </w:r>
      <w:r>
        <w:rPr>
          <w:spacing w:val="-8"/>
        </w:rPr>
        <w:t> </w:t>
      </w:r>
      <w:r>
        <w:rPr/>
        <w:t>(reframed</w:t>
      </w:r>
      <w:r>
        <w:rPr>
          <w:spacing w:val="-7"/>
        </w:rPr>
        <w:t> </w:t>
      </w:r>
      <w:r>
        <w:rPr/>
        <w:t>to</w:t>
      </w:r>
      <w:r>
        <w:rPr>
          <w:spacing w:val="-7"/>
        </w:rPr>
        <w:t> </w:t>
      </w:r>
      <w:r>
        <w:rPr/>
        <w:t>match</w:t>
      </w:r>
      <w:r>
        <w:rPr>
          <w:spacing w:val="-4"/>
        </w:rPr>
        <w:t> </w:t>
      </w:r>
      <w:r>
        <w:rPr>
          <w:spacing w:val="-2"/>
        </w:rPr>
        <w:t>methods)</w:t>
      </w:r>
    </w:p>
    <w:p>
      <w:pPr>
        <w:pStyle w:val="BodyText"/>
        <w:spacing w:line="360" w:lineRule="auto" w:before="219"/>
        <w:ind w:left="23" w:right="21"/>
        <w:jc w:val="both"/>
      </w:pPr>
      <w:r>
        <w:rPr/>
        <w:t>Reliability</w:t>
      </w:r>
      <w:r>
        <w:rPr>
          <w:spacing w:val="-15"/>
        </w:rPr>
        <w:t> </w:t>
      </w:r>
      <w:r>
        <w:rPr/>
        <w:t>was</w:t>
      </w:r>
      <w:r>
        <w:rPr>
          <w:spacing w:val="-15"/>
        </w:rPr>
        <w:t> </w:t>
      </w:r>
      <w:r>
        <w:rPr/>
        <w:t>supported</w:t>
      </w:r>
      <w:r>
        <w:rPr>
          <w:spacing w:val="-15"/>
        </w:rPr>
        <w:t> </w:t>
      </w:r>
      <w:r>
        <w:rPr/>
        <w:t>through</w:t>
      </w:r>
      <w:r>
        <w:rPr>
          <w:spacing w:val="-15"/>
        </w:rPr>
        <w:t> </w:t>
      </w:r>
      <w:r>
        <w:rPr/>
        <w:t>consistent</w:t>
      </w:r>
      <w:r>
        <w:rPr>
          <w:spacing w:val="-15"/>
        </w:rPr>
        <w:t> </w:t>
      </w:r>
      <w:r>
        <w:rPr/>
        <w:t>extraction</w:t>
      </w:r>
      <w:r>
        <w:rPr>
          <w:spacing w:val="-15"/>
        </w:rPr>
        <w:t> </w:t>
      </w:r>
      <w:r>
        <w:rPr/>
        <w:t>from</w:t>
      </w:r>
      <w:r>
        <w:rPr>
          <w:spacing w:val="-15"/>
        </w:rPr>
        <w:t> </w:t>
      </w:r>
      <w:r>
        <w:rPr/>
        <w:t>a</w:t>
      </w:r>
      <w:r>
        <w:rPr>
          <w:spacing w:val="-15"/>
        </w:rPr>
        <w:t> </w:t>
      </w:r>
      <w:r>
        <w:rPr/>
        <w:t>single</w:t>
      </w:r>
      <w:r>
        <w:rPr>
          <w:spacing w:val="-15"/>
        </w:rPr>
        <w:t> </w:t>
      </w:r>
      <w:r>
        <w:rPr/>
        <w:t>core</w:t>
      </w:r>
      <w:r>
        <w:rPr>
          <w:spacing w:val="-15"/>
        </w:rPr>
        <w:t> </w:t>
      </w:r>
      <w:r>
        <w:rPr/>
        <w:t>deal</w:t>
      </w:r>
      <w:r>
        <w:rPr>
          <w:spacing w:val="-15"/>
        </w:rPr>
        <w:t> </w:t>
      </w:r>
      <w:r>
        <w:rPr/>
        <w:t>database</w:t>
      </w:r>
      <w:r>
        <w:rPr>
          <w:spacing w:val="-15"/>
        </w:rPr>
        <w:t> </w:t>
      </w:r>
      <w:r>
        <w:rPr/>
        <w:t>(LSEG Refinitiv)</w:t>
      </w:r>
      <w:r>
        <w:rPr>
          <w:spacing w:val="-15"/>
        </w:rPr>
        <w:t> </w:t>
      </w:r>
      <w:r>
        <w:rPr/>
        <w:t>and</w:t>
      </w:r>
      <w:r>
        <w:rPr>
          <w:spacing w:val="-15"/>
        </w:rPr>
        <w:t> </w:t>
      </w:r>
      <w:r>
        <w:rPr/>
        <w:t>through</w:t>
      </w:r>
      <w:r>
        <w:rPr>
          <w:spacing w:val="-15"/>
        </w:rPr>
        <w:t> </w:t>
      </w:r>
      <w:r>
        <w:rPr/>
        <w:t>transparent</w:t>
      </w:r>
      <w:r>
        <w:rPr>
          <w:spacing w:val="-15"/>
        </w:rPr>
        <w:t> </w:t>
      </w:r>
      <w:r>
        <w:rPr/>
        <w:t>Excel</w:t>
      </w:r>
      <w:r>
        <w:rPr>
          <w:spacing w:val="-15"/>
        </w:rPr>
        <w:t> </w:t>
      </w:r>
      <w:r>
        <w:rPr/>
        <w:t>aggregation</w:t>
      </w:r>
      <w:r>
        <w:rPr>
          <w:spacing w:val="-15"/>
        </w:rPr>
        <w:t> </w:t>
      </w:r>
      <w:r>
        <w:rPr/>
        <w:t>procedures</w:t>
      </w:r>
      <w:r>
        <w:rPr>
          <w:spacing w:val="-15"/>
        </w:rPr>
        <w:t> </w:t>
      </w:r>
      <w:r>
        <w:rPr/>
        <w:t>(round-level</w:t>
      </w:r>
      <w:r>
        <w:rPr>
          <w:spacing w:val="-15"/>
        </w:rPr>
        <w:t> </w:t>
      </w:r>
      <w:r>
        <w:rPr/>
        <w:t>deduplication</w:t>
      </w:r>
      <w:r>
        <w:rPr>
          <w:spacing w:val="-15"/>
        </w:rPr>
        <w:t> </w:t>
      </w:r>
      <w:r>
        <w:rPr/>
        <w:t>via Round</w:t>
      </w:r>
      <w:r>
        <w:rPr>
          <w:spacing w:val="-6"/>
        </w:rPr>
        <w:t> </w:t>
      </w:r>
      <w:r>
        <w:rPr/>
        <w:t>ID,</w:t>
      </w:r>
      <w:r>
        <w:rPr>
          <w:spacing w:val="-6"/>
        </w:rPr>
        <w:t> </w:t>
      </w:r>
      <w:r>
        <w:rPr/>
        <w:t>consistent</w:t>
      </w:r>
      <w:r>
        <w:rPr>
          <w:spacing w:val="-6"/>
        </w:rPr>
        <w:t> </w:t>
      </w:r>
      <w:r>
        <w:rPr/>
        <w:t>year-based</w:t>
      </w:r>
      <w:r>
        <w:rPr>
          <w:spacing w:val="-4"/>
        </w:rPr>
        <w:t> </w:t>
      </w:r>
      <w:r>
        <w:rPr/>
        <w:t>grouping,</w:t>
      </w:r>
      <w:r>
        <w:rPr>
          <w:spacing w:val="-4"/>
        </w:rPr>
        <w:t> </w:t>
      </w:r>
      <w:r>
        <w:rPr/>
        <w:t>and</w:t>
      </w:r>
      <w:r>
        <w:rPr>
          <w:spacing w:val="-6"/>
        </w:rPr>
        <w:t> </w:t>
      </w:r>
      <w:r>
        <w:rPr/>
        <w:t>stable</w:t>
      </w:r>
      <w:r>
        <w:rPr>
          <w:spacing w:val="-6"/>
        </w:rPr>
        <w:t> </w:t>
      </w:r>
      <w:r>
        <w:rPr/>
        <w:t>sector</w:t>
      </w:r>
      <w:r>
        <w:rPr>
          <w:spacing w:val="-5"/>
        </w:rPr>
        <w:t> </w:t>
      </w:r>
      <w:r>
        <w:rPr/>
        <w:t>classification</w:t>
      </w:r>
      <w:r>
        <w:rPr>
          <w:spacing w:val="-6"/>
        </w:rPr>
        <w:t> </w:t>
      </w:r>
      <w:r>
        <w:rPr/>
        <w:t>rules).</w:t>
      </w:r>
      <w:r>
        <w:rPr>
          <w:spacing w:val="-10"/>
        </w:rPr>
        <w:t> </w:t>
      </w:r>
      <w:r>
        <w:rPr/>
        <w:t>Validity</w:t>
      </w:r>
      <w:r>
        <w:rPr>
          <w:spacing w:val="-6"/>
        </w:rPr>
        <w:t> </w:t>
      </w:r>
      <w:r>
        <w:rPr/>
        <w:t>was approached</w:t>
      </w:r>
      <w:r>
        <w:rPr>
          <w:spacing w:val="-11"/>
        </w:rPr>
        <w:t> </w:t>
      </w:r>
      <w:r>
        <w:rPr/>
        <w:t>through</w:t>
      </w:r>
      <w:r>
        <w:rPr>
          <w:spacing w:val="-9"/>
        </w:rPr>
        <w:t> </w:t>
      </w:r>
      <w:r>
        <w:rPr/>
        <w:t>methodological</w:t>
      </w:r>
      <w:r>
        <w:rPr>
          <w:spacing w:val="-10"/>
        </w:rPr>
        <w:t> </w:t>
      </w:r>
      <w:r>
        <w:rPr/>
        <w:t>alignment—ensuring</w:t>
      </w:r>
      <w:r>
        <w:rPr>
          <w:spacing w:val="-11"/>
        </w:rPr>
        <w:t> </w:t>
      </w:r>
      <w:r>
        <w:rPr/>
        <w:t>that</w:t>
      </w:r>
      <w:r>
        <w:rPr>
          <w:spacing w:val="-11"/>
        </w:rPr>
        <w:t> </w:t>
      </w:r>
      <w:r>
        <w:rPr/>
        <w:t>each</w:t>
      </w:r>
      <w:r>
        <w:rPr>
          <w:spacing w:val="-11"/>
        </w:rPr>
        <w:t> </w:t>
      </w:r>
      <w:r>
        <w:rPr/>
        <w:t>claim</w:t>
      </w:r>
      <w:r>
        <w:rPr>
          <w:spacing w:val="-10"/>
        </w:rPr>
        <w:t> </w:t>
      </w:r>
      <w:r>
        <w:rPr/>
        <w:t>made</w:t>
      </w:r>
      <w:r>
        <w:rPr>
          <w:spacing w:val="-12"/>
        </w:rPr>
        <w:t> </w:t>
      </w:r>
      <w:r>
        <w:rPr/>
        <w:t>in</w:t>
      </w:r>
      <w:r>
        <w:rPr>
          <w:spacing w:val="-10"/>
        </w:rPr>
        <w:t> </w:t>
      </w:r>
      <w:r>
        <w:rPr/>
        <w:t>the</w:t>
      </w:r>
      <w:r>
        <w:rPr>
          <w:spacing w:val="-9"/>
        </w:rPr>
        <w:t> </w:t>
      </w:r>
      <w:r>
        <w:rPr/>
        <w:t>findings corresponded to what was actually measured (counts, sums, distributions, and visual trends). The qualitative element strengthened interpretive validity by providing mechanism-oriented illustrations rather than statistical corroboration.</w:t>
      </w:r>
    </w:p>
    <w:p>
      <w:pPr>
        <w:pStyle w:val="Heading2"/>
        <w:numPr>
          <w:ilvl w:val="1"/>
          <w:numId w:val="3"/>
        </w:numPr>
        <w:tabs>
          <w:tab w:pos="411" w:val="left" w:leader="none"/>
        </w:tabs>
        <w:spacing w:line="240" w:lineRule="auto" w:before="160" w:after="0"/>
        <w:ind w:left="411" w:right="0" w:hanging="388"/>
        <w:jc w:val="both"/>
      </w:pPr>
      <w:bookmarkStart w:name="_bookmark36" w:id="37"/>
      <w:bookmarkEnd w:id="37"/>
      <w:r>
        <w:rPr>
          <w:b w:val="0"/>
        </w:rPr>
      </w:r>
      <w:r>
        <w:rPr>
          <w:spacing w:val="-2"/>
        </w:rPr>
        <w:t>Conclusion</w:t>
      </w:r>
    </w:p>
    <w:p>
      <w:pPr>
        <w:pStyle w:val="BodyText"/>
        <w:spacing w:line="360" w:lineRule="auto" w:before="232"/>
        <w:ind w:left="23" w:right="20"/>
        <w:jc w:val="both"/>
      </w:pPr>
      <w:r>
        <w:rPr/>
        <w:t>The revised methodology reflected what was actually completed in the study. Quantitatively, the research used LSEG (Refinitiv) as the single transaction-level source and analyzed 5,967 investment</w:t>
      </w:r>
      <w:r>
        <w:rPr>
          <w:spacing w:val="-8"/>
        </w:rPr>
        <w:t> </w:t>
      </w:r>
      <w:r>
        <w:rPr/>
        <w:t>rounds</w:t>
      </w:r>
      <w:r>
        <w:rPr>
          <w:spacing w:val="-8"/>
        </w:rPr>
        <w:t> </w:t>
      </w:r>
      <w:r>
        <w:rPr/>
        <w:t>and</w:t>
      </w:r>
      <w:r>
        <w:rPr>
          <w:spacing w:val="-6"/>
        </w:rPr>
        <w:t> </w:t>
      </w:r>
      <w:r>
        <w:rPr/>
        <w:t>715</w:t>
      </w:r>
      <w:r>
        <w:rPr>
          <w:spacing w:val="-8"/>
        </w:rPr>
        <w:t> </w:t>
      </w:r>
      <w:r>
        <w:rPr/>
        <w:t>exit</w:t>
      </w:r>
      <w:r>
        <w:rPr>
          <w:spacing w:val="-8"/>
        </w:rPr>
        <w:t> </w:t>
      </w:r>
      <w:r>
        <w:rPr/>
        <w:t>observations</w:t>
      </w:r>
      <w:r>
        <w:rPr>
          <w:spacing w:val="-8"/>
        </w:rPr>
        <w:t> </w:t>
      </w:r>
      <w:r>
        <w:rPr/>
        <w:t>through</w:t>
      </w:r>
      <w:r>
        <w:rPr>
          <w:spacing w:val="-8"/>
        </w:rPr>
        <w:t> </w:t>
      </w:r>
      <w:r>
        <w:rPr/>
        <w:t>Excel-based</w:t>
      </w:r>
      <w:r>
        <w:rPr>
          <w:spacing w:val="-6"/>
        </w:rPr>
        <w:t> </w:t>
      </w:r>
      <w:r>
        <w:rPr/>
        <w:t>cleaning,</w:t>
      </w:r>
      <w:r>
        <w:rPr>
          <w:spacing w:val="-8"/>
        </w:rPr>
        <w:t> </w:t>
      </w:r>
      <w:r>
        <w:rPr/>
        <w:t>aggregation,</w:t>
      </w:r>
      <w:r>
        <w:rPr>
          <w:spacing w:val="-8"/>
        </w:rPr>
        <w:t> </w:t>
      </w:r>
      <w:r>
        <w:rPr/>
        <w:t>pivot tables, and chart visualization. Analytically, the approach remained descriptive, focusing on trend depiction and distribution analysis rather than inferential statistics, performance measurement, or cross-country benchmarking. Qualitatively, the study used Flipkart and Zomato</w:t>
      </w:r>
      <w:r>
        <w:rPr>
          <w:spacing w:val="-5"/>
        </w:rPr>
        <w:t> </w:t>
      </w:r>
      <w:r>
        <w:rPr/>
        <w:t>as</w:t>
      </w:r>
      <w:r>
        <w:rPr>
          <w:spacing w:val="-6"/>
        </w:rPr>
        <w:t> </w:t>
      </w:r>
      <w:r>
        <w:rPr/>
        <w:t>illustrative</w:t>
      </w:r>
      <w:r>
        <w:rPr>
          <w:spacing w:val="-7"/>
        </w:rPr>
        <w:t> </w:t>
      </w:r>
      <w:r>
        <w:rPr/>
        <w:t>cases</w:t>
      </w:r>
      <w:r>
        <w:rPr>
          <w:spacing w:val="-6"/>
        </w:rPr>
        <w:t> </w:t>
      </w:r>
      <w:r>
        <w:rPr/>
        <w:t>to</w:t>
      </w:r>
      <w:r>
        <w:rPr>
          <w:spacing w:val="-5"/>
        </w:rPr>
        <w:t> </w:t>
      </w:r>
      <w:r>
        <w:rPr/>
        <w:t>explain</w:t>
      </w:r>
      <w:r>
        <w:rPr>
          <w:spacing w:val="-6"/>
        </w:rPr>
        <w:t> </w:t>
      </w:r>
      <w:r>
        <w:rPr/>
        <w:t>exit</w:t>
      </w:r>
      <w:r>
        <w:rPr>
          <w:spacing w:val="-5"/>
        </w:rPr>
        <w:t> </w:t>
      </w:r>
      <w:r>
        <w:rPr/>
        <w:t>mechanisms</w:t>
      </w:r>
      <w:r>
        <w:rPr>
          <w:spacing w:val="-6"/>
        </w:rPr>
        <w:t> </w:t>
      </w:r>
      <w:r>
        <w:rPr/>
        <w:t>observed</w:t>
      </w:r>
      <w:r>
        <w:rPr>
          <w:spacing w:val="-6"/>
        </w:rPr>
        <w:t> </w:t>
      </w:r>
      <w:r>
        <w:rPr/>
        <w:t>in</w:t>
      </w:r>
      <w:r>
        <w:rPr>
          <w:spacing w:val="-5"/>
        </w:rPr>
        <w:t> </w:t>
      </w:r>
      <w:r>
        <w:rPr/>
        <w:t>the</w:t>
      </w:r>
      <w:r>
        <w:rPr>
          <w:spacing w:val="-6"/>
        </w:rPr>
        <w:t> </w:t>
      </w:r>
      <w:r>
        <w:rPr/>
        <w:t>quantitative</w:t>
      </w:r>
      <w:r>
        <w:rPr>
          <w:spacing w:val="-6"/>
        </w:rPr>
        <w:t> </w:t>
      </w:r>
      <w:r>
        <w:rPr/>
        <w:t>exit-route distributions, supported by industry reports for contextual interpretation. Overall, the mixed- method design produced a structured and credible account of India’s PE market evolution between 2005 and 2024, while remaining appropriately bounded by the data fields available and the descriptive nature of the analytical techniques.</w:t>
      </w:r>
    </w:p>
    <w:p>
      <w:pPr>
        <w:pStyle w:val="BodyText"/>
        <w:spacing w:after="0" w:line="360" w:lineRule="auto"/>
        <w:jc w:val="both"/>
        <w:sectPr>
          <w:pgSz w:w="11910" w:h="16840"/>
          <w:pgMar w:header="0" w:footer="1009" w:top="1360" w:bottom="1280" w:left="1417" w:right="1417"/>
        </w:sectPr>
      </w:pPr>
    </w:p>
    <w:p>
      <w:pPr>
        <w:pStyle w:val="Heading1"/>
        <w:ind w:firstLine="0"/>
        <w:jc w:val="both"/>
      </w:pPr>
      <w:bookmarkStart w:name="_bookmark37" w:id="38"/>
      <w:bookmarkEnd w:id="38"/>
      <w:r>
        <w:rPr>
          <w:b w:val="0"/>
        </w:rPr>
      </w:r>
      <w:r>
        <w:rPr/>
        <w:t>Chapter</w:t>
      </w:r>
      <w:r>
        <w:rPr>
          <w:spacing w:val="-11"/>
        </w:rPr>
        <w:t> </w:t>
      </w:r>
      <w:r>
        <w:rPr/>
        <w:t>4:</w:t>
      </w:r>
      <w:r>
        <w:rPr>
          <w:spacing w:val="-2"/>
        </w:rPr>
        <w:t> </w:t>
      </w:r>
      <w:r>
        <w:rPr/>
        <w:t>Result</w:t>
      </w:r>
      <w:r>
        <w:rPr>
          <w:spacing w:val="-6"/>
        </w:rPr>
        <w:t> </w:t>
      </w:r>
      <w:r>
        <w:rPr/>
        <w:t>and</w:t>
      </w:r>
      <w:r>
        <w:rPr>
          <w:spacing w:val="-3"/>
        </w:rPr>
        <w:t> </w:t>
      </w:r>
      <w:r>
        <w:rPr>
          <w:spacing w:val="-2"/>
        </w:rPr>
        <w:t>analysis</w:t>
      </w:r>
    </w:p>
    <w:p>
      <w:pPr>
        <w:pStyle w:val="Heading2"/>
        <w:numPr>
          <w:ilvl w:val="1"/>
          <w:numId w:val="5"/>
        </w:numPr>
        <w:tabs>
          <w:tab w:pos="411" w:val="left" w:leader="none"/>
        </w:tabs>
        <w:spacing w:line="240" w:lineRule="auto" w:before="321" w:after="0"/>
        <w:ind w:left="411" w:right="0" w:hanging="388"/>
        <w:jc w:val="both"/>
      </w:pPr>
      <w:bookmarkStart w:name="_bookmark38" w:id="39"/>
      <w:bookmarkEnd w:id="39"/>
      <w:r>
        <w:rPr>
          <w:b w:val="0"/>
        </w:rPr>
      </w:r>
      <w:r>
        <w:rPr/>
        <w:t>Introduction</w:t>
      </w:r>
      <w:r>
        <w:rPr>
          <w:spacing w:val="-13"/>
        </w:rPr>
        <w:t> </w:t>
      </w:r>
      <w:r>
        <w:rPr/>
        <w:t>to</w:t>
      </w:r>
      <w:r>
        <w:rPr>
          <w:spacing w:val="-8"/>
        </w:rPr>
        <w:t> </w:t>
      </w:r>
      <w:r>
        <w:rPr/>
        <w:t>the</w:t>
      </w:r>
      <w:r>
        <w:rPr>
          <w:spacing w:val="-16"/>
        </w:rPr>
        <w:t> </w:t>
      </w:r>
      <w:r>
        <w:rPr>
          <w:spacing w:val="-2"/>
        </w:rPr>
        <w:t>Analysis</w:t>
      </w:r>
    </w:p>
    <w:p>
      <w:pPr>
        <w:pStyle w:val="BodyText"/>
        <w:spacing w:line="360" w:lineRule="auto" w:before="226"/>
        <w:ind w:left="23" w:right="18"/>
        <w:jc w:val="both"/>
      </w:pPr>
      <w:r>
        <w:rPr/>
        <w:t>The</w:t>
      </w:r>
      <w:r>
        <w:rPr>
          <w:spacing w:val="-9"/>
        </w:rPr>
        <w:t> </w:t>
      </w:r>
      <w:r>
        <w:rPr/>
        <w:t>analysis</w:t>
      </w:r>
      <w:r>
        <w:rPr>
          <w:spacing w:val="-8"/>
        </w:rPr>
        <w:t> </w:t>
      </w:r>
      <w:r>
        <w:rPr/>
        <w:t>is</w:t>
      </w:r>
      <w:r>
        <w:rPr>
          <w:spacing w:val="-8"/>
        </w:rPr>
        <w:t> </w:t>
      </w:r>
      <w:r>
        <w:rPr/>
        <w:t>based</w:t>
      </w:r>
      <w:r>
        <w:rPr>
          <w:spacing w:val="-8"/>
        </w:rPr>
        <w:t> </w:t>
      </w:r>
      <w:r>
        <w:rPr/>
        <w:t>on</w:t>
      </w:r>
      <w:r>
        <w:rPr>
          <w:spacing w:val="-11"/>
        </w:rPr>
        <w:t> </w:t>
      </w:r>
      <w:r>
        <w:rPr/>
        <w:t>data</w:t>
      </w:r>
      <w:r>
        <w:rPr>
          <w:spacing w:val="-9"/>
        </w:rPr>
        <w:t> </w:t>
      </w:r>
      <w:r>
        <w:rPr/>
        <w:t>extracted</w:t>
      </w:r>
      <w:r>
        <w:rPr>
          <w:spacing w:val="-8"/>
        </w:rPr>
        <w:t> </w:t>
      </w:r>
      <w:r>
        <w:rPr/>
        <w:t>from</w:t>
      </w:r>
      <w:r>
        <w:rPr>
          <w:spacing w:val="-8"/>
        </w:rPr>
        <w:t> </w:t>
      </w:r>
      <w:r>
        <w:rPr/>
        <w:t>LSEG</w:t>
      </w:r>
      <w:r>
        <w:rPr>
          <w:spacing w:val="-9"/>
        </w:rPr>
        <w:t> </w:t>
      </w:r>
      <w:r>
        <w:rPr/>
        <w:t>(Refinitiv),</w:t>
      </w:r>
      <w:r>
        <w:rPr>
          <w:spacing w:val="-9"/>
        </w:rPr>
        <w:t> </w:t>
      </w:r>
      <w:r>
        <w:rPr/>
        <w:t>which</w:t>
      </w:r>
      <w:r>
        <w:rPr>
          <w:spacing w:val="-8"/>
        </w:rPr>
        <w:t> </w:t>
      </w:r>
      <w:r>
        <w:rPr/>
        <w:t>provides</w:t>
      </w:r>
      <w:r>
        <w:rPr>
          <w:spacing w:val="-8"/>
        </w:rPr>
        <w:t> </w:t>
      </w:r>
      <w:r>
        <w:rPr/>
        <w:t>comprehensive transaction-level private equity investment and exit data for India from 2005 to 2024. Supplementary</w:t>
      </w:r>
      <w:r>
        <w:rPr>
          <w:spacing w:val="-14"/>
        </w:rPr>
        <w:t> </w:t>
      </w:r>
      <w:r>
        <w:rPr/>
        <w:t>sources,</w:t>
      </w:r>
      <w:r>
        <w:rPr>
          <w:spacing w:val="-14"/>
        </w:rPr>
        <w:t> </w:t>
      </w:r>
      <w:r>
        <w:rPr/>
        <w:t>including</w:t>
      </w:r>
      <w:r>
        <w:rPr>
          <w:spacing w:val="-14"/>
        </w:rPr>
        <w:t> </w:t>
      </w:r>
      <w:r>
        <w:rPr/>
        <w:t>publications</w:t>
      </w:r>
      <w:r>
        <w:rPr>
          <w:spacing w:val="-14"/>
        </w:rPr>
        <w:t> </w:t>
      </w:r>
      <w:r>
        <w:rPr/>
        <w:t>from</w:t>
      </w:r>
      <w:r>
        <w:rPr>
          <w:spacing w:val="-14"/>
        </w:rPr>
        <w:t> </w:t>
      </w:r>
      <w:r>
        <w:rPr/>
        <w:t>RBI</w:t>
      </w:r>
      <w:r>
        <w:rPr>
          <w:spacing w:val="-14"/>
        </w:rPr>
        <w:t> </w:t>
      </w:r>
      <w:r>
        <w:rPr/>
        <w:t>and</w:t>
      </w:r>
      <w:r>
        <w:rPr>
          <w:spacing w:val="-14"/>
        </w:rPr>
        <w:t> </w:t>
      </w:r>
      <w:r>
        <w:rPr/>
        <w:t>SEBI,</w:t>
      </w:r>
      <w:r>
        <w:rPr>
          <w:spacing w:val="-14"/>
        </w:rPr>
        <w:t> </w:t>
      </w:r>
      <w:r>
        <w:rPr/>
        <w:t>were</w:t>
      </w:r>
      <w:r>
        <w:rPr>
          <w:spacing w:val="-15"/>
        </w:rPr>
        <w:t> </w:t>
      </w:r>
      <w:r>
        <w:rPr/>
        <w:t>used</w:t>
      </w:r>
      <w:r>
        <w:rPr>
          <w:spacing w:val="-14"/>
        </w:rPr>
        <w:t> </w:t>
      </w:r>
      <w:r>
        <w:rPr/>
        <w:t>to</w:t>
      </w:r>
      <w:r>
        <w:rPr>
          <w:spacing w:val="-11"/>
        </w:rPr>
        <w:t> </w:t>
      </w:r>
      <w:r>
        <w:rPr/>
        <w:t>contextualize market conditions, but these were not used as datasets for quantitative extraction.</w:t>
      </w:r>
    </w:p>
    <w:p>
      <w:pPr>
        <w:pStyle w:val="BodyText"/>
        <w:spacing w:line="360" w:lineRule="auto" w:before="162"/>
        <w:ind w:left="23" w:right="19"/>
        <w:jc w:val="both"/>
      </w:pPr>
      <w:r>
        <w:rPr/>
        <w:t>The analysis is organized in a way that deals with the core research questions sequentially. Trends in deal flow and capital deployment is responding to RQ1: How has the PE market in India evolved over time? Sectoral analysis and investment stages answer the question RQ2: What determines sector and stage allocation? Exit activity and performance, RQ3: How successful</w:t>
      </w:r>
      <w:r>
        <w:rPr>
          <w:spacing w:val="-8"/>
        </w:rPr>
        <w:t> </w:t>
      </w:r>
      <w:r>
        <w:rPr/>
        <w:t>and</w:t>
      </w:r>
      <w:r>
        <w:rPr>
          <w:spacing w:val="-8"/>
        </w:rPr>
        <w:t> </w:t>
      </w:r>
      <w:r>
        <w:rPr/>
        <w:t>liquid</w:t>
      </w:r>
      <w:r>
        <w:rPr>
          <w:spacing w:val="-8"/>
        </w:rPr>
        <w:t> </w:t>
      </w:r>
      <w:r>
        <w:rPr/>
        <w:t>is</w:t>
      </w:r>
      <w:r>
        <w:rPr>
          <w:spacing w:val="-8"/>
        </w:rPr>
        <w:t> </w:t>
      </w:r>
      <w:r>
        <w:rPr/>
        <w:t>the</w:t>
      </w:r>
      <w:r>
        <w:rPr>
          <w:spacing w:val="-9"/>
        </w:rPr>
        <w:t> </w:t>
      </w:r>
      <w:r>
        <w:rPr/>
        <w:t>Indian</w:t>
      </w:r>
      <w:r>
        <w:rPr>
          <w:spacing w:val="-8"/>
        </w:rPr>
        <w:t> </w:t>
      </w:r>
      <w:r>
        <w:rPr/>
        <w:t>exit</w:t>
      </w:r>
      <w:r>
        <w:rPr>
          <w:spacing w:val="-8"/>
        </w:rPr>
        <w:t> </w:t>
      </w:r>
      <w:r>
        <w:rPr/>
        <w:t>environment?</w:t>
      </w:r>
      <w:r>
        <w:rPr>
          <w:spacing w:val="-9"/>
        </w:rPr>
        <w:t> </w:t>
      </w:r>
      <w:r>
        <w:rPr/>
        <w:t>Comparative</w:t>
      </w:r>
      <w:r>
        <w:rPr>
          <w:spacing w:val="-9"/>
        </w:rPr>
        <w:t> </w:t>
      </w:r>
      <w:r>
        <w:rPr/>
        <w:t>insights</w:t>
      </w:r>
      <w:r>
        <w:rPr>
          <w:spacing w:val="-8"/>
        </w:rPr>
        <w:t> </w:t>
      </w:r>
      <w:r>
        <w:rPr/>
        <w:t>with</w:t>
      </w:r>
      <w:r>
        <w:rPr>
          <w:spacing w:val="-8"/>
        </w:rPr>
        <w:t> </w:t>
      </w:r>
      <w:r>
        <w:rPr/>
        <w:t>peer</w:t>
      </w:r>
      <w:r>
        <w:rPr>
          <w:spacing w:val="-9"/>
        </w:rPr>
        <w:t> </w:t>
      </w:r>
      <w:r>
        <w:rPr/>
        <w:t>emerging markets add to RQ4: How does India's PE landscape fare in terms of capital flows?</w:t>
      </w:r>
    </w:p>
    <w:p>
      <w:pPr>
        <w:pStyle w:val="Heading2"/>
        <w:numPr>
          <w:ilvl w:val="1"/>
          <w:numId w:val="5"/>
        </w:numPr>
        <w:tabs>
          <w:tab w:pos="411" w:val="left" w:leader="none"/>
        </w:tabs>
        <w:spacing w:line="240" w:lineRule="auto" w:before="159" w:after="0"/>
        <w:ind w:left="411" w:right="0" w:hanging="388"/>
        <w:jc w:val="both"/>
      </w:pPr>
      <w:bookmarkStart w:name="_bookmark39" w:id="40"/>
      <w:bookmarkEnd w:id="40"/>
      <w:r>
        <w:rPr>
          <w:b w:val="0"/>
        </w:rPr>
      </w:r>
      <w:r>
        <w:rPr/>
        <w:t>Descriptive</w:t>
      </w:r>
      <w:r>
        <w:rPr>
          <w:spacing w:val="-8"/>
        </w:rPr>
        <w:t> </w:t>
      </w:r>
      <w:r>
        <w:rPr/>
        <w:t>Overview</w:t>
      </w:r>
      <w:r>
        <w:rPr>
          <w:spacing w:val="-7"/>
        </w:rPr>
        <w:t> </w:t>
      </w:r>
      <w:r>
        <w:rPr/>
        <w:t>of</w:t>
      </w:r>
      <w:r>
        <w:rPr>
          <w:spacing w:val="-7"/>
        </w:rPr>
        <w:t> </w:t>
      </w:r>
      <w:r>
        <w:rPr/>
        <w:t>the</w:t>
      </w:r>
      <w:r>
        <w:rPr>
          <w:spacing w:val="-4"/>
        </w:rPr>
        <w:t> </w:t>
      </w:r>
      <w:r>
        <w:rPr>
          <w:spacing w:val="-2"/>
        </w:rPr>
        <w:t>Dataset</w:t>
      </w:r>
    </w:p>
    <w:p>
      <w:pPr>
        <w:pStyle w:val="BodyText"/>
        <w:spacing w:line="360" w:lineRule="auto" w:before="229"/>
        <w:ind w:left="23" w:right="19"/>
        <w:jc w:val="both"/>
      </w:pPr>
      <w:r>
        <w:rPr/>
        <w:t>The</w:t>
      </w:r>
      <w:r>
        <w:rPr>
          <w:spacing w:val="-13"/>
        </w:rPr>
        <w:t> </w:t>
      </w:r>
      <w:r>
        <w:rPr/>
        <w:t>empirical</w:t>
      </w:r>
      <w:r>
        <w:rPr>
          <w:spacing w:val="-12"/>
        </w:rPr>
        <w:t> </w:t>
      </w:r>
      <w:r>
        <w:rPr/>
        <w:t>analysis</w:t>
      </w:r>
      <w:r>
        <w:rPr>
          <w:spacing w:val="-12"/>
        </w:rPr>
        <w:t> </w:t>
      </w:r>
      <w:r>
        <w:rPr/>
        <w:t>is</w:t>
      </w:r>
      <w:r>
        <w:rPr>
          <w:spacing w:val="-10"/>
        </w:rPr>
        <w:t> </w:t>
      </w:r>
      <w:r>
        <w:rPr/>
        <w:t>based</w:t>
      </w:r>
      <w:r>
        <w:rPr>
          <w:spacing w:val="-12"/>
        </w:rPr>
        <w:t> </w:t>
      </w:r>
      <w:r>
        <w:rPr/>
        <w:t>on</w:t>
      </w:r>
      <w:r>
        <w:rPr>
          <w:spacing w:val="-12"/>
        </w:rPr>
        <w:t> </w:t>
      </w:r>
      <w:r>
        <w:rPr/>
        <w:t>two</w:t>
      </w:r>
      <w:r>
        <w:rPr>
          <w:spacing w:val="-11"/>
        </w:rPr>
        <w:t> </w:t>
      </w:r>
      <w:r>
        <w:rPr/>
        <w:t>cleaned</w:t>
      </w:r>
      <w:r>
        <w:rPr>
          <w:spacing w:val="-12"/>
        </w:rPr>
        <w:t> </w:t>
      </w:r>
      <w:r>
        <w:rPr/>
        <w:t>datasets</w:t>
      </w:r>
      <w:r>
        <w:rPr>
          <w:spacing w:val="-11"/>
        </w:rPr>
        <w:t> </w:t>
      </w:r>
      <w:r>
        <w:rPr/>
        <w:t>extracted</w:t>
      </w:r>
      <w:r>
        <w:rPr>
          <w:spacing w:val="-11"/>
        </w:rPr>
        <w:t> </w:t>
      </w:r>
      <w:r>
        <w:rPr/>
        <w:t>from</w:t>
      </w:r>
      <w:r>
        <w:rPr>
          <w:spacing w:val="-12"/>
        </w:rPr>
        <w:t> </w:t>
      </w:r>
      <w:r>
        <w:rPr/>
        <w:t>LSEG,</w:t>
      </w:r>
      <w:r>
        <w:rPr>
          <w:spacing w:val="-13"/>
        </w:rPr>
        <w:t> </w:t>
      </w:r>
      <w:r>
        <w:rPr/>
        <w:t>covering</w:t>
      </w:r>
      <w:r>
        <w:rPr>
          <w:spacing w:val="-12"/>
        </w:rPr>
        <w:t> </w:t>
      </w:r>
      <w:r>
        <w:rPr/>
        <w:t>private equity investments and exits in India from 2005 to 2024. The investment dataset comprises 5,967 records, each representing an investment round. Key variables include company name, investment stage (e.g., Expansion, Acquisition, Buyout), round value in USD million, investment</w:t>
      </w:r>
      <w:r>
        <w:rPr>
          <w:spacing w:val="-15"/>
        </w:rPr>
        <w:t> </w:t>
      </w:r>
      <w:r>
        <w:rPr/>
        <w:t>year,</w:t>
      </w:r>
      <w:r>
        <w:rPr>
          <w:spacing w:val="-15"/>
        </w:rPr>
        <w:t> </w:t>
      </w:r>
      <w:r>
        <w:rPr/>
        <w:t>and</w:t>
      </w:r>
      <w:r>
        <w:rPr>
          <w:spacing w:val="-15"/>
        </w:rPr>
        <w:t> </w:t>
      </w:r>
      <w:r>
        <w:rPr/>
        <w:t>sector</w:t>
      </w:r>
      <w:r>
        <w:rPr>
          <w:spacing w:val="-15"/>
        </w:rPr>
        <w:t> </w:t>
      </w:r>
      <w:r>
        <w:rPr/>
        <w:t>classification</w:t>
      </w:r>
      <w:r>
        <w:rPr>
          <w:spacing w:val="-15"/>
        </w:rPr>
        <w:t> </w:t>
      </w:r>
      <w:r>
        <w:rPr/>
        <w:t>based</w:t>
      </w:r>
      <w:r>
        <w:rPr>
          <w:spacing w:val="-15"/>
        </w:rPr>
        <w:t> </w:t>
      </w:r>
      <w:r>
        <w:rPr/>
        <w:t>on</w:t>
      </w:r>
      <w:r>
        <w:rPr>
          <w:spacing w:val="-15"/>
        </w:rPr>
        <w:t> </w:t>
      </w:r>
      <w:r>
        <w:rPr/>
        <w:t>the</w:t>
      </w:r>
      <w:r>
        <w:rPr>
          <w:spacing w:val="-15"/>
        </w:rPr>
        <w:t> </w:t>
      </w:r>
      <w:r>
        <w:rPr/>
        <w:t>TRBC</w:t>
      </w:r>
      <w:r>
        <w:rPr>
          <w:spacing w:val="-15"/>
        </w:rPr>
        <w:t> </w:t>
      </w:r>
      <w:r>
        <w:rPr/>
        <w:t>economic</w:t>
      </w:r>
      <w:r>
        <w:rPr>
          <w:spacing w:val="-15"/>
        </w:rPr>
        <w:t> </w:t>
      </w:r>
      <w:r>
        <w:rPr/>
        <w:t>taxonomy.</w:t>
      </w:r>
      <w:r>
        <w:rPr>
          <w:spacing w:val="-15"/>
        </w:rPr>
        <w:t> </w:t>
      </w:r>
      <w:r>
        <w:rPr/>
        <w:t>This</w:t>
      </w:r>
      <w:r>
        <w:rPr>
          <w:spacing w:val="-15"/>
        </w:rPr>
        <w:t> </w:t>
      </w:r>
      <w:r>
        <w:rPr/>
        <w:t>dataset enables longitudinal analysis of deal volume, capital deployment trends, and sectoral investment composition. Pivot tables and charts in Excel summarize the frequency and distribution of these categories. The exit dataset includes 715 exit observations, detailing company name, exit type (IPO, M&amp;A, Secondary Sale), exit year, and sector.</w:t>
      </w:r>
      <w:r>
        <w:rPr>
          <w:spacing w:val="-2"/>
        </w:rPr>
        <w:t> </w:t>
      </w:r>
      <w:r>
        <w:rPr/>
        <w:t>These exits are </w:t>
      </w:r>
      <w:r>
        <w:rPr>
          <w:spacing w:val="-2"/>
        </w:rPr>
        <w:t>categorized</w:t>
      </w:r>
      <w:r>
        <w:rPr>
          <w:spacing w:val="-5"/>
        </w:rPr>
        <w:t> </w:t>
      </w:r>
      <w:r>
        <w:rPr>
          <w:spacing w:val="-2"/>
        </w:rPr>
        <w:t>to</w:t>
      </w:r>
      <w:r>
        <w:rPr>
          <w:spacing w:val="-3"/>
        </w:rPr>
        <w:t> </w:t>
      </w:r>
      <w:r>
        <w:rPr>
          <w:spacing w:val="-2"/>
        </w:rPr>
        <w:t>analyze</w:t>
      </w:r>
      <w:r>
        <w:rPr>
          <w:spacing w:val="-6"/>
        </w:rPr>
        <w:t> </w:t>
      </w:r>
      <w:r>
        <w:rPr>
          <w:spacing w:val="-2"/>
        </w:rPr>
        <w:t>liquidity</w:t>
      </w:r>
      <w:r>
        <w:rPr>
          <w:spacing w:val="-3"/>
        </w:rPr>
        <w:t> </w:t>
      </w:r>
      <w:r>
        <w:rPr>
          <w:spacing w:val="-2"/>
        </w:rPr>
        <w:t>pathways</w:t>
      </w:r>
      <w:r>
        <w:rPr>
          <w:spacing w:val="-5"/>
        </w:rPr>
        <w:t> </w:t>
      </w:r>
      <w:r>
        <w:rPr>
          <w:spacing w:val="-2"/>
        </w:rPr>
        <w:t>and</w:t>
      </w:r>
      <w:r>
        <w:rPr>
          <w:spacing w:val="-5"/>
        </w:rPr>
        <w:t> </w:t>
      </w:r>
      <w:r>
        <w:rPr>
          <w:spacing w:val="-2"/>
        </w:rPr>
        <w:t>provide</w:t>
      </w:r>
      <w:r>
        <w:rPr>
          <w:spacing w:val="-5"/>
        </w:rPr>
        <w:t> </w:t>
      </w:r>
      <w:r>
        <w:rPr>
          <w:spacing w:val="-2"/>
        </w:rPr>
        <w:t>insights</w:t>
      </w:r>
      <w:r>
        <w:rPr>
          <w:spacing w:val="-3"/>
        </w:rPr>
        <w:t> </w:t>
      </w:r>
      <w:r>
        <w:rPr>
          <w:spacing w:val="-2"/>
        </w:rPr>
        <w:t>into</w:t>
      </w:r>
      <w:r>
        <w:rPr>
          <w:spacing w:val="-5"/>
        </w:rPr>
        <w:t> </w:t>
      </w:r>
      <w:r>
        <w:rPr>
          <w:spacing w:val="-2"/>
        </w:rPr>
        <w:t>exit</w:t>
      </w:r>
      <w:r>
        <w:rPr>
          <w:spacing w:val="-3"/>
        </w:rPr>
        <w:t> </w:t>
      </w:r>
      <w:r>
        <w:rPr>
          <w:spacing w:val="-2"/>
        </w:rPr>
        <w:t>strategies</w:t>
      </w:r>
      <w:r>
        <w:rPr>
          <w:spacing w:val="-5"/>
        </w:rPr>
        <w:t> </w:t>
      </w:r>
      <w:r>
        <w:rPr>
          <w:spacing w:val="-2"/>
        </w:rPr>
        <w:t>within</w:t>
      </w:r>
      <w:r>
        <w:rPr>
          <w:spacing w:val="-5"/>
        </w:rPr>
        <w:t> </w:t>
      </w:r>
      <w:r>
        <w:rPr>
          <w:spacing w:val="-2"/>
        </w:rPr>
        <w:t>India’s </w:t>
      </w:r>
      <w:r>
        <w:rPr/>
        <w:t>private equity market.</w:t>
      </w:r>
    </w:p>
    <w:p>
      <w:pPr>
        <w:pStyle w:val="Heading3"/>
        <w:numPr>
          <w:ilvl w:val="2"/>
          <w:numId w:val="5"/>
        </w:numPr>
        <w:tabs>
          <w:tab w:pos="563" w:val="left" w:leader="none"/>
        </w:tabs>
        <w:spacing w:line="240" w:lineRule="auto" w:before="160" w:after="0"/>
        <w:ind w:left="563" w:right="0" w:hanging="540"/>
        <w:jc w:val="both"/>
      </w:pPr>
      <w:bookmarkStart w:name="_bookmark40" w:id="41"/>
      <w:bookmarkEnd w:id="41"/>
      <w:r>
        <w:rPr>
          <w:b w:val="0"/>
        </w:rPr>
      </w:r>
      <w:r>
        <w:rPr/>
        <w:t>Investment</w:t>
      </w:r>
      <w:r>
        <w:rPr>
          <w:spacing w:val="-4"/>
        </w:rPr>
        <w:t> </w:t>
      </w:r>
      <w:r>
        <w:rPr/>
        <w:t>Dataset</w:t>
      </w:r>
      <w:r>
        <w:rPr>
          <w:spacing w:val="-4"/>
        </w:rPr>
        <w:t> </w:t>
      </w:r>
      <w:r>
        <w:rPr>
          <w:spacing w:val="-2"/>
        </w:rPr>
        <w:t>Summary</w:t>
      </w:r>
    </w:p>
    <w:p>
      <w:pPr>
        <w:pStyle w:val="BodyText"/>
        <w:spacing w:line="360" w:lineRule="auto" w:before="219"/>
        <w:ind w:left="23" w:right="16"/>
        <w:jc w:val="both"/>
      </w:pPr>
      <w:r>
        <w:rPr/>
        <w:t>The investment dataset includes aggregated round-level investment values rather than per- transaction investment size. Exit performance was not analyzed due to the unavailability of return-based</w:t>
      </w:r>
      <w:r>
        <w:rPr>
          <w:spacing w:val="-7"/>
        </w:rPr>
        <w:t> </w:t>
      </w:r>
      <w:r>
        <w:rPr/>
        <w:t>metrics</w:t>
      </w:r>
      <w:r>
        <w:rPr>
          <w:spacing w:val="-7"/>
        </w:rPr>
        <w:t> </w:t>
      </w:r>
      <w:r>
        <w:rPr/>
        <w:t>(IRR,</w:t>
      </w:r>
      <w:r>
        <w:rPr>
          <w:spacing w:val="-7"/>
        </w:rPr>
        <w:t> </w:t>
      </w:r>
      <w:r>
        <w:rPr/>
        <w:t>MOIC).</w:t>
      </w:r>
      <w:r>
        <w:rPr>
          <w:spacing w:val="-8"/>
        </w:rPr>
        <w:t> </w:t>
      </w:r>
      <w:r>
        <w:rPr/>
        <w:t>Instead,</w:t>
      </w:r>
      <w:r>
        <w:rPr>
          <w:spacing w:val="-5"/>
        </w:rPr>
        <w:t> </w:t>
      </w:r>
      <w:r>
        <w:rPr/>
        <w:t>exit</w:t>
      </w:r>
      <w:r>
        <w:rPr>
          <w:spacing w:val="-6"/>
        </w:rPr>
        <w:t> </w:t>
      </w:r>
      <w:r>
        <w:rPr/>
        <w:t>frequency</w:t>
      </w:r>
      <w:r>
        <w:rPr>
          <w:spacing w:val="-4"/>
        </w:rPr>
        <w:t> </w:t>
      </w:r>
      <w:r>
        <w:rPr/>
        <w:t>and</w:t>
      </w:r>
      <w:r>
        <w:rPr>
          <w:spacing w:val="-7"/>
        </w:rPr>
        <w:t> </w:t>
      </w:r>
      <w:r>
        <w:rPr/>
        <w:t>exit</w:t>
      </w:r>
      <w:r>
        <w:rPr>
          <w:spacing w:val="-6"/>
        </w:rPr>
        <w:t> </w:t>
      </w:r>
      <w:r>
        <w:rPr/>
        <w:t>route</w:t>
      </w:r>
      <w:r>
        <w:rPr>
          <w:spacing w:val="-8"/>
        </w:rPr>
        <w:t> </w:t>
      </w:r>
      <w:r>
        <w:rPr/>
        <w:t>distributions</w:t>
      </w:r>
      <w:r>
        <w:rPr>
          <w:spacing w:val="-5"/>
        </w:rPr>
        <w:t> </w:t>
      </w:r>
      <w:r>
        <w:rPr/>
        <w:t>(M&amp;A, IPOs) were analyzed.</w:t>
      </w:r>
    </w:p>
    <w:p>
      <w:pPr>
        <w:pStyle w:val="BodyText"/>
        <w:spacing w:after="0" w:line="360" w:lineRule="auto"/>
        <w:jc w:val="both"/>
        <w:sectPr>
          <w:pgSz w:w="11910" w:h="16840"/>
          <w:pgMar w:header="0" w:footer="1009" w:top="1360" w:bottom="1200" w:left="1417" w:right="1417"/>
        </w:sectPr>
      </w:pPr>
    </w:p>
    <w:p>
      <w:pPr>
        <w:pStyle w:val="BodyText"/>
        <w:ind w:left="351"/>
        <w:rPr>
          <w:sz w:val="20"/>
        </w:rPr>
      </w:pPr>
      <w:r>
        <w:rPr>
          <w:sz w:val="20"/>
        </w:rPr>
        <w:drawing>
          <wp:inline distT="0" distB="0" distL="0" distR="0">
            <wp:extent cx="5280166" cy="2426588"/>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5280166" cy="2426588"/>
                    </a:xfrm>
                    <a:prstGeom prst="rect">
                      <a:avLst/>
                    </a:prstGeom>
                  </pic:spPr>
                </pic:pic>
              </a:graphicData>
            </a:graphic>
          </wp:inline>
        </w:drawing>
      </w:r>
      <w:r>
        <w:rPr>
          <w:sz w:val="20"/>
        </w:rPr>
      </w:r>
    </w:p>
    <w:p>
      <w:pPr>
        <w:pStyle w:val="BodyText"/>
        <w:spacing w:before="116"/>
        <w:rPr>
          <w:sz w:val="18"/>
        </w:rPr>
      </w:pPr>
    </w:p>
    <w:p>
      <w:pPr>
        <w:spacing w:before="0"/>
        <w:ind w:left="3" w:right="1" w:firstLine="0"/>
        <w:jc w:val="center"/>
        <w:rPr>
          <w:i/>
          <w:sz w:val="18"/>
        </w:rPr>
      </w:pPr>
      <w:r>
        <w:rPr>
          <w:i/>
          <w:color w:val="44536A"/>
          <w:sz w:val="18"/>
        </w:rPr>
        <w:t>Figure</w:t>
      </w:r>
      <w:r>
        <w:rPr>
          <w:i/>
          <w:color w:val="44536A"/>
          <w:spacing w:val="-3"/>
          <w:sz w:val="18"/>
        </w:rPr>
        <w:t> </w:t>
      </w:r>
      <w:r>
        <w:rPr>
          <w:i/>
          <w:color w:val="44536A"/>
          <w:sz w:val="18"/>
        </w:rPr>
        <w:t>1:</w:t>
      </w:r>
      <w:r>
        <w:rPr>
          <w:i/>
          <w:color w:val="44536A"/>
          <w:spacing w:val="-3"/>
          <w:sz w:val="18"/>
        </w:rPr>
        <w:t> </w:t>
      </w:r>
      <w:r>
        <w:rPr>
          <w:i/>
          <w:color w:val="44536A"/>
          <w:sz w:val="18"/>
        </w:rPr>
        <w:t>Investment</w:t>
      </w:r>
      <w:r>
        <w:rPr>
          <w:i/>
          <w:color w:val="44536A"/>
          <w:spacing w:val="-4"/>
          <w:sz w:val="18"/>
        </w:rPr>
        <w:t> </w:t>
      </w:r>
      <w:r>
        <w:rPr>
          <w:i/>
          <w:color w:val="44536A"/>
          <w:sz w:val="18"/>
        </w:rPr>
        <w:t>dataset</w:t>
      </w:r>
      <w:r>
        <w:rPr>
          <w:i/>
          <w:color w:val="44536A"/>
          <w:spacing w:val="-2"/>
          <w:sz w:val="18"/>
        </w:rPr>
        <w:t> summary</w:t>
      </w:r>
    </w:p>
    <w:p>
      <w:pPr>
        <w:pStyle w:val="BodyText"/>
        <w:spacing w:line="360" w:lineRule="auto" w:before="196"/>
        <w:ind w:left="23" w:right="22"/>
        <w:jc w:val="both"/>
      </w:pPr>
      <w:r>
        <w:rPr/>
        <mc:AlternateContent>
          <mc:Choice Requires="wps">
            <w:drawing>
              <wp:anchor distT="0" distB="0" distL="0" distR="0" allowOverlap="1" layoutInCell="1" locked="0" behindDoc="0" simplePos="0" relativeHeight="15730176">
                <wp:simplePos x="0" y="0"/>
                <wp:positionH relativeFrom="page">
                  <wp:posOffset>1489392</wp:posOffset>
                </wp:positionH>
                <wp:positionV relativeFrom="paragraph">
                  <wp:posOffset>1799167</wp:posOffset>
                </wp:positionV>
                <wp:extent cx="4581525" cy="275272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4581525" cy="2752725"/>
                          <a:chExt cx="4581525" cy="2752725"/>
                        </a:xfrm>
                      </wpg:grpSpPr>
                      <wps:wsp>
                        <wps:cNvPr id="11" name="Graphic 11"/>
                        <wps:cNvSpPr/>
                        <wps:spPr>
                          <a:xfrm>
                            <a:off x="736663" y="506793"/>
                            <a:ext cx="3007995" cy="1270"/>
                          </a:xfrm>
                          <a:custGeom>
                            <a:avLst/>
                            <a:gdLst/>
                            <a:ahLst/>
                            <a:cxnLst/>
                            <a:rect l="l" t="t" r="r" b="b"/>
                            <a:pathLst>
                              <a:path w="3007995" h="0">
                                <a:moveTo>
                                  <a:pt x="0" y="0"/>
                                </a:moveTo>
                                <a:lnTo>
                                  <a:pt x="3007995" y="0"/>
                                </a:lnTo>
                              </a:path>
                            </a:pathLst>
                          </a:custGeom>
                          <a:ln w="9525">
                            <a:solidFill>
                              <a:srgbClr val="D9D9D9"/>
                            </a:solidFill>
                            <a:prstDash val="solid"/>
                          </a:ln>
                        </wps:spPr>
                        <wps:bodyPr wrap="square" lIns="0" tIns="0" rIns="0" bIns="0" rtlCol="0">
                          <a:prstTxWarp prst="textNoShape">
                            <a:avLst/>
                          </a:prstTxWarp>
                          <a:noAutofit/>
                        </wps:bodyPr>
                      </wps:wsp>
                      <pic:pic>
                        <pic:nvPicPr>
                          <pic:cNvPr id="12" name="Image 12"/>
                          <pic:cNvPicPr/>
                        </pic:nvPicPr>
                        <pic:blipFill>
                          <a:blip r:embed="rId10" cstate="print"/>
                          <a:stretch>
                            <a:fillRect/>
                          </a:stretch>
                        </pic:blipFill>
                        <pic:spPr>
                          <a:xfrm>
                            <a:off x="736663" y="653986"/>
                            <a:ext cx="3007995" cy="1461515"/>
                          </a:xfrm>
                          <a:prstGeom prst="rect">
                            <a:avLst/>
                          </a:prstGeom>
                        </pic:spPr>
                      </pic:pic>
                      <pic:pic>
                        <pic:nvPicPr>
                          <pic:cNvPr id="13" name="Image 13"/>
                          <pic:cNvPicPr/>
                        </pic:nvPicPr>
                        <pic:blipFill>
                          <a:blip r:embed="rId11" cstate="print"/>
                          <a:stretch>
                            <a:fillRect/>
                          </a:stretch>
                        </pic:blipFill>
                        <pic:spPr>
                          <a:xfrm>
                            <a:off x="728027" y="2001177"/>
                            <a:ext cx="165379" cy="165379"/>
                          </a:xfrm>
                          <a:prstGeom prst="rect">
                            <a:avLst/>
                          </a:prstGeom>
                        </pic:spPr>
                      </pic:pic>
                      <pic:pic>
                        <pic:nvPicPr>
                          <pic:cNvPr id="14" name="Image 14"/>
                          <pic:cNvPicPr/>
                        </pic:nvPicPr>
                        <pic:blipFill>
                          <a:blip r:embed="rId11" cstate="print"/>
                          <a:stretch>
                            <a:fillRect/>
                          </a:stretch>
                        </pic:blipFill>
                        <pic:spPr>
                          <a:xfrm>
                            <a:off x="878903" y="1970697"/>
                            <a:ext cx="165379" cy="165379"/>
                          </a:xfrm>
                          <a:prstGeom prst="rect">
                            <a:avLst/>
                          </a:prstGeom>
                        </pic:spPr>
                      </pic:pic>
                      <pic:pic>
                        <pic:nvPicPr>
                          <pic:cNvPr id="15" name="Image 15"/>
                          <pic:cNvPicPr/>
                        </pic:nvPicPr>
                        <pic:blipFill>
                          <a:blip r:embed="rId11" cstate="print"/>
                          <a:stretch>
                            <a:fillRect/>
                          </a:stretch>
                        </pic:blipFill>
                        <pic:spPr>
                          <a:xfrm>
                            <a:off x="1028255" y="1786305"/>
                            <a:ext cx="165379" cy="165366"/>
                          </a:xfrm>
                          <a:prstGeom prst="rect">
                            <a:avLst/>
                          </a:prstGeom>
                        </pic:spPr>
                      </pic:pic>
                      <pic:pic>
                        <pic:nvPicPr>
                          <pic:cNvPr id="16" name="Image 16"/>
                          <pic:cNvPicPr/>
                        </pic:nvPicPr>
                        <pic:blipFill>
                          <a:blip r:embed="rId11" cstate="print"/>
                          <a:stretch>
                            <a:fillRect/>
                          </a:stretch>
                        </pic:blipFill>
                        <pic:spPr>
                          <a:xfrm>
                            <a:off x="1179131" y="1920417"/>
                            <a:ext cx="165379" cy="165366"/>
                          </a:xfrm>
                          <a:prstGeom prst="rect">
                            <a:avLst/>
                          </a:prstGeom>
                        </pic:spPr>
                      </pic:pic>
                      <pic:pic>
                        <pic:nvPicPr>
                          <pic:cNvPr id="17" name="Image 17"/>
                          <pic:cNvPicPr/>
                        </pic:nvPicPr>
                        <pic:blipFill>
                          <a:blip r:embed="rId11" cstate="print"/>
                          <a:stretch>
                            <a:fillRect/>
                          </a:stretch>
                        </pic:blipFill>
                        <pic:spPr>
                          <a:xfrm>
                            <a:off x="1330007" y="1978329"/>
                            <a:ext cx="165379" cy="165366"/>
                          </a:xfrm>
                          <a:prstGeom prst="rect">
                            <a:avLst/>
                          </a:prstGeom>
                        </pic:spPr>
                      </pic:pic>
                      <pic:pic>
                        <pic:nvPicPr>
                          <pic:cNvPr id="18" name="Image 18"/>
                          <pic:cNvPicPr/>
                        </pic:nvPicPr>
                        <pic:blipFill>
                          <a:blip r:embed="rId11" cstate="print"/>
                          <a:stretch>
                            <a:fillRect/>
                          </a:stretch>
                        </pic:blipFill>
                        <pic:spPr>
                          <a:xfrm>
                            <a:off x="1479359" y="1921929"/>
                            <a:ext cx="165379" cy="165379"/>
                          </a:xfrm>
                          <a:prstGeom prst="rect">
                            <a:avLst/>
                          </a:prstGeom>
                        </pic:spPr>
                      </pic:pic>
                      <pic:pic>
                        <pic:nvPicPr>
                          <pic:cNvPr id="19" name="Image 19"/>
                          <pic:cNvPicPr/>
                        </pic:nvPicPr>
                        <pic:blipFill>
                          <a:blip r:embed="rId11" cstate="print"/>
                          <a:stretch>
                            <a:fillRect/>
                          </a:stretch>
                        </pic:blipFill>
                        <pic:spPr>
                          <a:xfrm>
                            <a:off x="1630235" y="1880793"/>
                            <a:ext cx="165379" cy="165366"/>
                          </a:xfrm>
                          <a:prstGeom prst="rect">
                            <a:avLst/>
                          </a:prstGeom>
                        </pic:spPr>
                      </pic:pic>
                      <pic:pic>
                        <pic:nvPicPr>
                          <pic:cNvPr id="20" name="Image 20"/>
                          <pic:cNvPicPr/>
                        </pic:nvPicPr>
                        <pic:blipFill>
                          <a:blip r:embed="rId11" cstate="print"/>
                          <a:stretch>
                            <a:fillRect/>
                          </a:stretch>
                        </pic:blipFill>
                        <pic:spPr>
                          <a:xfrm>
                            <a:off x="1781111" y="1835061"/>
                            <a:ext cx="165379" cy="165379"/>
                          </a:xfrm>
                          <a:prstGeom prst="rect">
                            <a:avLst/>
                          </a:prstGeom>
                        </pic:spPr>
                      </pic:pic>
                      <pic:pic>
                        <pic:nvPicPr>
                          <pic:cNvPr id="21" name="Image 21"/>
                          <pic:cNvPicPr/>
                        </pic:nvPicPr>
                        <pic:blipFill>
                          <a:blip r:embed="rId11" cstate="print"/>
                          <a:stretch>
                            <a:fillRect/>
                          </a:stretch>
                        </pic:blipFill>
                        <pic:spPr>
                          <a:xfrm>
                            <a:off x="1931987" y="1912785"/>
                            <a:ext cx="165379" cy="165379"/>
                          </a:xfrm>
                          <a:prstGeom prst="rect">
                            <a:avLst/>
                          </a:prstGeom>
                        </pic:spPr>
                      </pic:pic>
                      <pic:pic>
                        <pic:nvPicPr>
                          <pic:cNvPr id="22" name="Image 22"/>
                          <pic:cNvPicPr/>
                        </pic:nvPicPr>
                        <pic:blipFill>
                          <a:blip r:embed="rId11" cstate="print"/>
                          <a:stretch>
                            <a:fillRect/>
                          </a:stretch>
                        </pic:blipFill>
                        <pic:spPr>
                          <a:xfrm>
                            <a:off x="2081339" y="1830489"/>
                            <a:ext cx="165379" cy="165379"/>
                          </a:xfrm>
                          <a:prstGeom prst="rect">
                            <a:avLst/>
                          </a:prstGeom>
                        </pic:spPr>
                      </pic:pic>
                      <pic:pic>
                        <pic:nvPicPr>
                          <pic:cNvPr id="23" name="Image 23"/>
                          <pic:cNvPicPr/>
                        </pic:nvPicPr>
                        <pic:blipFill>
                          <a:blip r:embed="rId11" cstate="print"/>
                          <a:stretch>
                            <a:fillRect/>
                          </a:stretch>
                        </pic:blipFill>
                        <pic:spPr>
                          <a:xfrm>
                            <a:off x="2232215" y="1803057"/>
                            <a:ext cx="165379" cy="165379"/>
                          </a:xfrm>
                          <a:prstGeom prst="rect">
                            <a:avLst/>
                          </a:prstGeom>
                        </pic:spPr>
                      </pic:pic>
                      <pic:pic>
                        <pic:nvPicPr>
                          <pic:cNvPr id="24" name="Image 24"/>
                          <pic:cNvPicPr/>
                        </pic:nvPicPr>
                        <pic:blipFill>
                          <a:blip r:embed="rId11" cstate="print"/>
                          <a:stretch>
                            <a:fillRect/>
                          </a:stretch>
                        </pic:blipFill>
                        <pic:spPr>
                          <a:xfrm>
                            <a:off x="2383091" y="1897545"/>
                            <a:ext cx="165379" cy="165379"/>
                          </a:xfrm>
                          <a:prstGeom prst="rect">
                            <a:avLst/>
                          </a:prstGeom>
                        </pic:spPr>
                      </pic:pic>
                      <pic:pic>
                        <pic:nvPicPr>
                          <pic:cNvPr id="25" name="Image 25"/>
                          <pic:cNvPicPr/>
                        </pic:nvPicPr>
                        <pic:blipFill>
                          <a:blip r:embed="rId11" cstate="print"/>
                          <a:stretch>
                            <a:fillRect/>
                          </a:stretch>
                        </pic:blipFill>
                        <pic:spPr>
                          <a:xfrm>
                            <a:off x="2532443" y="1758861"/>
                            <a:ext cx="165379" cy="165379"/>
                          </a:xfrm>
                          <a:prstGeom prst="rect">
                            <a:avLst/>
                          </a:prstGeom>
                        </pic:spPr>
                      </pic:pic>
                      <pic:pic>
                        <pic:nvPicPr>
                          <pic:cNvPr id="26" name="Image 26"/>
                          <pic:cNvPicPr/>
                        </pic:nvPicPr>
                        <pic:blipFill>
                          <a:blip r:embed="rId11" cstate="print"/>
                          <a:stretch>
                            <a:fillRect/>
                          </a:stretch>
                        </pic:blipFill>
                        <pic:spPr>
                          <a:xfrm>
                            <a:off x="2683319" y="1694853"/>
                            <a:ext cx="165379" cy="165379"/>
                          </a:xfrm>
                          <a:prstGeom prst="rect">
                            <a:avLst/>
                          </a:prstGeom>
                        </pic:spPr>
                      </pic:pic>
                      <pic:pic>
                        <pic:nvPicPr>
                          <pic:cNvPr id="27" name="Image 27"/>
                          <pic:cNvPicPr/>
                        </pic:nvPicPr>
                        <pic:blipFill>
                          <a:blip r:embed="rId11" cstate="print"/>
                          <a:stretch>
                            <a:fillRect/>
                          </a:stretch>
                        </pic:blipFill>
                        <pic:spPr>
                          <a:xfrm>
                            <a:off x="2834195" y="1560741"/>
                            <a:ext cx="165379" cy="165379"/>
                          </a:xfrm>
                          <a:prstGeom prst="rect">
                            <a:avLst/>
                          </a:prstGeom>
                        </pic:spPr>
                      </pic:pic>
                      <pic:pic>
                        <pic:nvPicPr>
                          <pic:cNvPr id="28" name="Image 28"/>
                          <pic:cNvPicPr/>
                        </pic:nvPicPr>
                        <pic:blipFill>
                          <a:blip r:embed="rId11" cstate="print"/>
                          <a:stretch>
                            <a:fillRect/>
                          </a:stretch>
                        </pic:blipFill>
                        <pic:spPr>
                          <a:xfrm>
                            <a:off x="2983547" y="629577"/>
                            <a:ext cx="165379" cy="165379"/>
                          </a:xfrm>
                          <a:prstGeom prst="rect">
                            <a:avLst/>
                          </a:prstGeom>
                        </pic:spPr>
                      </pic:pic>
                      <pic:pic>
                        <pic:nvPicPr>
                          <pic:cNvPr id="29" name="Image 29"/>
                          <pic:cNvPicPr/>
                        </pic:nvPicPr>
                        <pic:blipFill>
                          <a:blip r:embed="rId11" cstate="print"/>
                          <a:stretch>
                            <a:fillRect/>
                          </a:stretch>
                        </pic:blipFill>
                        <pic:spPr>
                          <a:xfrm>
                            <a:off x="3134423" y="1076109"/>
                            <a:ext cx="165379" cy="165379"/>
                          </a:xfrm>
                          <a:prstGeom prst="rect">
                            <a:avLst/>
                          </a:prstGeom>
                        </pic:spPr>
                      </pic:pic>
                      <pic:pic>
                        <pic:nvPicPr>
                          <pic:cNvPr id="30" name="Image 30"/>
                          <pic:cNvPicPr/>
                        </pic:nvPicPr>
                        <pic:blipFill>
                          <a:blip r:embed="rId11" cstate="print"/>
                          <a:stretch>
                            <a:fillRect/>
                          </a:stretch>
                        </pic:blipFill>
                        <pic:spPr>
                          <a:xfrm>
                            <a:off x="3285299" y="1432725"/>
                            <a:ext cx="165379" cy="165379"/>
                          </a:xfrm>
                          <a:prstGeom prst="rect">
                            <a:avLst/>
                          </a:prstGeom>
                        </pic:spPr>
                      </pic:pic>
                      <pic:pic>
                        <pic:nvPicPr>
                          <pic:cNvPr id="31" name="Image 31"/>
                          <pic:cNvPicPr/>
                        </pic:nvPicPr>
                        <pic:blipFill>
                          <a:blip r:embed="rId11" cstate="print"/>
                          <a:stretch>
                            <a:fillRect/>
                          </a:stretch>
                        </pic:blipFill>
                        <pic:spPr>
                          <a:xfrm>
                            <a:off x="3434651" y="1789341"/>
                            <a:ext cx="165379" cy="165379"/>
                          </a:xfrm>
                          <a:prstGeom prst="rect">
                            <a:avLst/>
                          </a:prstGeom>
                        </pic:spPr>
                      </pic:pic>
                      <pic:pic>
                        <pic:nvPicPr>
                          <pic:cNvPr id="32" name="Image 32"/>
                          <pic:cNvPicPr/>
                        </pic:nvPicPr>
                        <pic:blipFill>
                          <a:blip r:embed="rId11" cstate="print"/>
                          <a:stretch>
                            <a:fillRect/>
                          </a:stretch>
                        </pic:blipFill>
                        <pic:spPr>
                          <a:xfrm>
                            <a:off x="3585527" y="1672005"/>
                            <a:ext cx="165379" cy="165366"/>
                          </a:xfrm>
                          <a:prstGeom prst="rect">
                            <a:avLst/>
                          </a:prstGeom>
                        </pic:spPr>
                      </pic:pic>
                      <wps:wsp>
                        <wps:cNvPr id="33" name="Graphic 33"/>
                        <wps:cNvSpPr/>
                        <wps:spPr>
                          <a:xfrm>
                            <a:off x="811974" y="691324"/>
                            <a:ext cx="2857500" cy="1371600"/>
                          </a:xfrm>
                          <a:custGeom>
                            <a:avLst/>
                            <a:gdLst/>
                            <a:ahLst/>
                            <a:cxnLst/>
                            <a:rect l="l" t="t" r="r" b="b"/>
                            <a:pathLst>
                              <a:path w="2857500" h="1371600">
                                <a:moveTo>
                                  <a:pt x="0" y="1371219"/>
                                </a:moveTo>
                                <a:lnTo>
                                  <a:pt x="150749" y="1340358"/>
                                </a:lnTo>
                                <a:lnTo>
                                  <a:pt x="300100" y="1155954"/>
                                </a:lnTo>
                                <a:lnTo>
                                  <a:pt x="450976" y="1290066"/>
                                </a:lnTo>
                                <a:lnTo>
                                  <a:pt x="601852" y="1347978"/>
                                </a:lnTo>
                                <a:lnTo>
                                  <a:pt x="751205" y="1291590"/>
                                </a:lnTo>
                                <a:lnTo>
                                  <a:pt x="902081" y="1250442"/>
                                </a:lnTo>
                                <a:lnTo>
                                  <a:pt x="1052957" y="1204722"/>
                                </a:lnTo>
                                <a:lnTo>
                                  <a:pt x="1203833" y="1282446"/>
                                </a:lnTo>
                                <a:lnTo>
                                  <a:pt x="1353184" y="1200150"/>
                                </a:lnTo>
                                <a:lnTo>
                                  <a:pt x="1504060" y="1172718"/>
                                </a:lnTo>
                                <a:lnTo>
                                  <a:pt x="1654936" y="1267206"/>
                                </a:lnTo>
                                <a:lnTo>
                                  <a:pt x="1804288" y="1128522"/>
                                </a:lnTo>
                                <a:lnTo>
                                  <a:pt x="1955165" y="1064514"/>
                                </a:lnTo>
                                <a:lnTo>
                                  <a:pt x="2106041" y="930402"/>
                                </a:lnTo>
                                <a:lnTo>
                                  <a:pt x="2255393" y="0"/>
                                </a:lnTo>
                                <a:lnTo>
                                  <a:pt x="2406269" y="445770"/>
                                </a:lnTo>
                                <a:lnTo>
                                  <a:pt x="2557145" y="802386"/>
                                </a:lnTo>
                                <a:lnTo>
                                  <a:pt x="2706497" y="1159002"/>
                                </a:lnTo>
                                <a:lnTo>
                                  <a:pt x="2857499" y="1041654"/>
                                </a:lnTo>
                              </a:path>
                            </a:pathLst>
                          </a:custGeom>
                          <a:ln w="34925">
                            <a:solidFill>
                              <a:srgbClr val="4471C4"/>
                            </a:solidFill>
                            <a:prstDash val="solid"/>
                          </a:ln>
                        </wps:spPr>
                        <wps:bodyPr wrap="square" lIns="0" tIns="0" rIns="0" bIns="0" rtlCol="0">
                          <a:prstTxWarp prst="textNoShape">
                            <a:avLst/>
                          </a:prstTxWarp>
                          <a:noAutofit/>
                        </wps:bodyPr>
                      </wps:wsp>
                      <pic:pic>
                        <pic:nvPicPr>
                          <pic:cNvPr id="34" name="Image 34"/>
                          <pic:cNvPicPr/>
                        </pic:nvPicPr>
                        <pic:blipFill>
                          <a:blip r:embed="rId12" cstate="print"/>
                          <a:stretch>
                            <a:fillRect/>
                          </a:stretch>
                        </pic:blipFill>
                        <pic:spPr>
                          <a:xfrm>
                            <a:off x="761555" y="2011869"/>
                            <a:ext cx="98298" cy="98299"/>
                          </a:xfrm>
                          <a:prstGeom prst="rect">
                            <a:avLst/>
                          </a:prstGeom>
                        </pic:spPr>
                      </pic:pic>
                      <pic:pic>
                        <pic:nvPicPr>
                          <pic:cNvPr id="35" name="Image 35"/>
                          <pic:cNvPicPr/>
                        </pic:nvPicPr>
                        <pic:blipFill>
                          <a:blip r:embed="rId12" cstate="print"/>
                          <a:stretch>
                            <a:fillRect/>
                          </a:stretch>
                        </pic:blipFill>
                        <pic:spPr>
                          <a:xfrm>
                            <a:off x="912431" y="1981390"/>
                            <a:ext cx="98298" cy="98298"/>
                          </a:xfrm>
                          <a:prstGeom prst="rect">
                            <a:avLst/>
                          </a:prstGeom>
                        </pic:spPr>
                      </pic:pic>
                      <pic:pic>
                        <pic:nvPicPr>
                          <pic:cNvPr id="36" name="Image 36"/>
                          <pic:cNvPicPr/>
                        </pic:nvPicPr>
                        <pic:blipFill>
                          <a:blip r:embed="rId12" cstate="print"/>
                          <a:stretch>
                            <a:fillRect/>
                          </a:stretch>
                        </pic:blipFill>
                        <pic:spPr>
                          <a:xfrm>
                            <a:off x="1061783" y="1796986"/>
                            <a:ext cx="98298" cy="98298"/>
                          </a:xfrm>
                          <a:prstGeom prst="rect">
                            <a:avLst/>
                          </a:prstGeom>
                        </pic:spPr>
                      </pic:pic>
                      <pic:pic>
                        <pic:nvPicPr>
                          <pic:cNvPr id="37" name="Image 37"/>
                          <pic:cNvPicPr/>
                        </pic:nvPicPr>
                        <pic:blipFill>
                          <a:blip r:embed="rId12" cstate="print"/>
                          <a:stretch>
                            <a:fillRect/>
                          </a:stretch>
                        </pic:blipFill>
                        <pic:spPr>
                          <a:xfrm>
                            <a:off x="1212659" y="1931098"/>
                            <a:ext cx="98298" cy="98298"/>
                          </a:xfrm>
                          <a:prstGeom prst="rect">
                            <a:avLst/>
                          </a:prstGeom>
                        </pic:spPr>
                      </pic:pic>
                      <pic:pic>
                        <pic:nvPicPr>
                          <pic:cNvPr id="38" name="Image 38"/>
                          <pic:cNvPicPr/>
                        </pic:nvPicPr>
                        <pic:blipFill>
                          <a:blip r:embed="rId12" cstate="print"/>
                          <a:stretch>
                            <a:fillRect/>
                          </a:stretch>
                        </pic:blipFill>
                        <pic:spPr>
                          <a:xfrm>
                            <a:off x="1363535" y="1989010"/>
                            <a:ext cx="98298" cy="98298"/>
                          </a:xfrm>
                          <a:prstGeom prst="rect">
                            <a:avLst/>
                          </a:prstGeom>
                        </pic:spPr>
                      </pic:pic>
                      <pic:pic>
                        <pic:nvPicPr>
                          <pic:cNvPr id="39" name="Image 39"/>
                          <pic:cNvPicPr/>
                        </pic:nvPicPr>
                        <pic:blipFill>
                          <a:blip r:embed="rId12" cstate="print"/>
                          <a:stretch>
                            <a:fillRect/>
                          </a:stretch>
                        </pic:blipFill>
                        <pic:spPr>
                          <a:xfrm>
                            <a:off x="1512887" y="1932621"/>
                            <a:ext cx="98298" cy="98299"/>
                          </a:xfrm>
                          <a:prstGeom prst="rect">
                            <a:avLst/>
                          </a:prstGeom>
                        </pic:spPr>
                      </pic:pic>
                      <pic:pic>
                        <pic:nvPicPr>
                          <pic:cNvPr id="40" name="Image 40"/>
                          <pic:cNvPicPr/>
                        </pic:nvPicPr>
                        <pic:blipFill>
                          <a:blip r:embed="rId12" cstate="print"/>
                          <a:stretch>
                            <a:fillRect/>
                          </a:stretch>
                        </pic:blipFill>
                        <pic:spPr>
                          <a:xfrm>
                            <a:off x="1663763" y="1891474"/>
                            <a:ext cx="98297" cy="98297"/>
                          </a:xfrm>
                          <a:prstGeom prst="rect">
                            <a:avLst/>
                          </a:prstGeom>
                        </pic:spPr>
                      </pic:pic>
                      <pic:pic>
                        <pic:nvPicPr>
                          <pic:cNvPr id="41" name="Image 41"/>
                          <pic:cNvPicPr/>
                        </pic:nvPicPr>
                        <pic:blipFill>
                          <a:blip r:embed="rId12" cstate="print"/>
                          <a:stretch>
                            <a:fillRect/>
                          </a:stretch>
                        </pic:blipFill>
                        <pic:spPr>
                          <a:xfrm>
                            <a:off x="1814639" y="1845754"/>
                            <a:ext cx="98298" cy="98298"/>
                          </a:xfrm>
                          <a:prstGeom prst="rect">
                            <a:avLst/>
                          </a:prstGeom>
                        </pic:spPr>
                      </pic:pic>
                      <pic:pic>
                        <pic:nvPicPr>
                          <pic:cNvPr id="42" name="Image 42"/>
                          <pic:cNvPicPr/>
                        </pic:nvPicPr>
                        <pic:blipFill>
                          <a:blip r:embed="rId12" cstate="print"/>
                          <a:stretch>
                            <a:fillRect/>
                          </a:stretch>
                        </pic:blipFill>
                        <pic:spPr>
                          <a:xfrm>
                            <a:off x="1965515" y="1923478"/>
                            <a:ext cx="98298" cy="98297"/>
                          </a:xfrm>
                          <a:prstGeom prst="rect">
                            <a:avLst/>
                          </a:prstGeom>
                        </pic:spPr>
                      </pic:pic>
                      <pic:pic>
                        <pic:nvPicPr>
                          <pic:cNvPr id="43" name="Image 43"/>
                          <pic:cNvPicPr/>
                        </pic:nvPicPr>
                        <pic:blipFill>
                          <a:blip r:embed="rId12" cstate="print"/>
                          <a:stretch>
                            <a:fillRect/>
                          </a:stretch>
                        </pic:blipFill>
                        <pic:spPr>
                          <a:xfrm>
                            <a:off x="2114867" y="1841181"/>
                            <a:ext cx="98298" cy="98299"/>
                          </a:xfrm>
                          <a:prstGeom prst="rect">
                            <a:avLst/>
                          </a:prstGeom>
                        </pic:spPr>
                      </pic:pic>
                      <pic:pic>
                        <pic:nvPicPr>
                          <pic:cNvPr id="44" name="Image 44"/>
                          <pic:cNvPicPr/>
                        </pic:nvPicPr>
                        <pic:blipFill>
                          <a:blip r:embed="rId12" cstate="print"/>
                          <a:stretch>
                            <a:fillRect/>
                          </a:stretch>
                        </pic:blipFill>
                        <pic:spPr>
                          <a:xfrm>
                            <a:off x="2265743" y="1813750"/>
                            <a:ext cx="98298" cy="98298"/>
                          </a:xfrm>
                          <a:prstGeom prst="rect">
                            <a:avLst/>
                          </a:prstGeom>
                        </pic:spPr>
                      </pic:pic>
                      <pic:pic>
                        <pic:nvPicPr>
                          <pic:cNvPr id="45" name="Image 45"/>
                          <pic:cNvPicPr/>
                        </pic:nvPicPr>
                        <pic:blipFill>
                          <a:blip r:embed="rId12" cstate="print"/>
                          <a:stretch>
                            <a:fillRect/>
                          </a:stretch>
                        </pic:blipFill>
                        <pic:spPr>
                          <a:xfrm>
                            <a:off x="2416619" y="1908238"/>
                            <a:ext cx="98298" cy="98297"/>
                          </a:xfrm>
                          <a:prstGeom prst="rect">
                            <a:avLst/>
                          </a:prstGeom>
                        </pic:spPr>
                      </pic:pic>
                      <pic:pic>
                        <pic:nvPicPr>
                          <pic:cNvPr id="46" name="Image 46"/>
                          <pic:cNvPicPr/>
                        </pic:nvPicPr>
                        <pic:blipFill>
                          <a:blip r:embed="rId12" cstate="print"/>
                          <a:stretch>
                            <a:fillRect/>
                          </a:stretch>
                        </pic:blipFill>
                        <pic:spPr>
                          <a:xfrm>
                            <a:off x="2565971" y="1769554"/>
                            <a:ext cx="98298" cy="98298"/>
                          </a:xfrm>
                          <a:prstGeom prst="rect">
                            <a:avLst/>
                          </a:prstGeom>
                        </pic:spPr>
                      </pic:pic>
                      <pic:pic>
                        <pic:nvPicPr>
                          <pic:cNvPr id="47" name="Image 47"/>
                          <pic:cNvPicPr/>
                        </pic:nvPicPr>
                        <pic:blipFill>
                          <a:blip r:embed="rId12" cstate="print"/>
                          <a:stretch>
                            <a:fillRect/>
                          </a:stretch>
                        </pic:blipFill>
                        <pic:spPr>
                          <a:xfrm>
                            <a:off x="2716847" y="1705545"/>
                            <a:ext cx="98298" cy="98299"/>
                          </a:xfrm>
                          <a:prstGeom prst="rect">
                            <a:avLst/>
                          </a:prstGeom>
                        </pic:spPr>
                      </pic:pic>
                      <pic:pic>
                        <pic:nvPicPr>
                          <pic:cNvPr id="48" name="Image 48"/>
                          <pic:cNvPicPr/>
                        </pic:nvPicPr>
                        <pic:blipFill>
                          <a:blip r:embed="rId12" cstate="print"/>
                          <a:stretch>
                            <a:fillRect/>
                          </a:stretch>
                        </pic:blipFill>
                        <pic:spPr>
                          <a:xfrm>
                            <a:off x="2867723" y="1571433"/>
                            <a:ext cx="98298" cy="98299"/>
                          </a:xfrm>
                          <a:prstGeom prst="rect">
                            <a:avLst/>
                          </a:prstGeom>
                        </pic:spPr>
                      </pic:pic>
                      <pic:pic>
                        <pic:nvPicPr>
                          <pic:cNvPr id="49" name="Image 49"/>
                          <pic:cNvPicPr/>
                        </pic:nvPicPr>
                        <pic:blipFill>
                          <a:blip r:embed="rId12" cstate="print"/>
                          <a:stretch>
                            <a:fillRect/>
                          </a:stretch>
                        </pic:blipFill>
                        <pic:spPr>
                          <a:xfrm>
                            <a:off x="3017075" y="640270"/>
                            <a:ext cx="98298" cy="98298"/>
                          </a:xfrm>
                          <a:prstGeom prst="rect">
                            <a:avLst/>
                          </a:prstGeom>
                        </pic:spPr>
                      </pic:pic>
                      <pic:pic>
                        <pic:nvPicPr>
                          <pic:cNvPr id="50" name="Image 50"/>
                          <pic:cNvPicPr/>
                        </pic:nvPicPr>
                        <pic:blipFill>
                          <a:blip r:embed="rId12" cstate="print"/>
                          <a:stretch>
                            <a:fillRect/>
                          </a:stretch>
                        </pic:blipFill>
                        <pic:spPr>
                          <a:xfrm>
                            <a:off x="3167951" y="1086802"/>
                            <a:ext cx="98298" cy="98298"/>
                          </a:xfrm>
                          <a:prstGeom prst="rect">
                            <a:avLst/>
                          </a:prstGeom>
                        </pic:spPr>
                      </pic:pic>
                      <pic:pic>
                        <pic:nvPicPr>
                          <pic:cNvPr id="51" name="Image 51"/>
                          <pic:cNvPicPr/>
                        </pic:nvPicPr>
                        <pic:blipFill>
                          <a:blip r:embed="rId12" cstate="print"/>
                          <a:stretch>
                            <a:fillRect/>
                          </a:stretch>
                        </pic:blipFill>
                        <pic:spPr>
                          <a:xfrm>
                            <a:off x="3318827" y="1443418"/>
                            <a:ext cx="98298" cy="98298"/>
                          </a:xfrm>
                          <a:prstGeom prst="rect">
                            <a:avLst/>
                          </a:prstGeom>
                        </pic:spPr>
                      </pic:pic>
                      <pic:pic>
                        <pic:nvPicPr>
                          <pic:cNvPr id="52" name="Image 52"/>
                          <pic:cNvPicPr/>
                        </pic:nvPicPr>
                        <pic:blipFill>
                          <a:blip r:embed="rId12" cstate="print"/>
                          <a:stretch>
                            <a:fillRect/>
                          </a:stretch>
                        </pic:blipFill>
                        <pic:spPr>
                          <a:xfrm>
                            <a:off x="3468179" y="1800033"/>
                            <a:ext cx="98298" cy="98299"/>
                          </a:xfrm>
                          <a:prstGeom prst="rect">
                            <a:avLst/>
                          </a:prstGeom>
                        </pic:spPr>
                      </pic:pic>
                      <pic:pic>
                        <pic:nvPicPr>
                          <pic:cNvPr id="53" name="Image 53"/>
                          <pic:cNvPicPr/>
                        </pic:nvPicPr>
                        <pic:blipFill>
                          <a:blip r:embed="rId12" cstate="print"/>
                          <a:stretch>
                            <a:fillRect/>
                          </a:stretch>
                        </pic:blipFill>
                        <pic:spPr>
                          <a:xfrm>
                            <a:off x="3619055" y="1682686"/>
                            <a:ext cx="98298" cy="98298"/>
                          </a:xfrm>
                          <a:prstGeom prst="rect">
                            <a:avLst/>
                          </a:prstGeom>
                        </pic:spPr>
                      </pic:pic>
                      <wps:wsp>
                        <wps:cNvPr id="54" name="Graphic 54"/>
                        <wps:cNvSpPr/>
                        <wps:spPr>
                          <a:xfrm>
                            <a:off x="3943413" y="1557464"/>
                            <a:ext cx="243840" cy="1270"/>
                          </a:xfrm>
                          <a:custGeom>
                            <a:avLst/>
                            <a:gdLst/>
                            <a:ahLst/>
                            <a:cxnLst/>
                            <a:rect l="l" t="t" r="r" b="b"/>
                            <a:pathLst>
                              <a:path w="243840" h="0">
                                <a:moveTo>
                                  <a:pt x="0" y="0"/>
                                </a:moveTo>
                                <a:lnTo>
                                  <a:pt x="243840" y="0"/>
                                </a:lnTo>
                              </a:path>
                            </a:pathLst>
                          </a:custGeom>
                          <a:ln w="34925">
                            <a:solidFill>
                              <a:srgbClr val="4471C4"/>
                            </a:solidFill>
                            <a:prstDash val="solid"/>
                          </a:ln>
                        </wps:spPr>
                        <wps:bodyPr wrap="square" lIns="0" tIns="0" rIns="0" bIns="0" rtlCol="0">
                          <a:prstTxWarp prst="textNoShape">
                            <a:avLst/>
                          </a:prstTxWarp>
                          <a:noAutofit/>
                        </wps:bodyPr>
                      </wps:wsp>
                      <pic:pic>
                        <pic:nvPicPr>
                          <pic:cNvPr id="55" name="Image 55"/>
                          <pic:cNvPicPr/>
                        </pic:nvPicPr>
                        <pic:blipFill>
                          <a:blip r:embed="rId13" cstate="print"/>
                          <a:stretch>
                            <a:fillRect/>
                          </a:stretch>
                        </pic:blipFill>
                        <pic:spPr>
                          <a:xfrm>
                            <a:off x="4021391" y="1513522"/>
                            <a:ext cx="84582" cy="84582"/>
                          </a:xfrm>
                          <a:prstGeom prst="rect">
                            <a:avLst/>
                          </a:prstGeom>
                        </pic:spPr>
                      </pic:pic>
                      <wps:wsp>
                        <wps:cNvPr id="56" name="Graphic 56"/>
                        <wps:cNvSpPr/>
                        <wps:spPr>
                          <a:xfrm>
                            <a:off x="4762" y="4762"/>
                            <a:ext cx="4572000" cy="2743200"/>
                          </a:xfrm>
                          <a:custGeom>
                            <a:avLst/>
                            <a:gdLst/>
                            <a:ahLst/>
                            <a:cxnLst/>
                            <a:rect l="l" t="t" r="r" b="b"/>
                            <a:pathLst>
                              <a:path w="4572000" h="2743200">
                                <a:moveTo>
                                  <a:pt x="0" y="2743199"/>
                                </a:moveTo>
                                <a:lnTo>
                                  <a:pt x="4572000" y="2743199"/>
                                </a:lnTo>
                                <a:lnTo>
                                  <a:pt x="4572000" y="0"/>
                                </a:lnTo>
                                <a:lnTo>
                                  <a:pt x="0" y="0"/>
                                </a:lnTo>
                                <a:lnTo>
                                  <a:pt x="0" y="2743199"/>
                                </a:lnTo>
                                <a:close/>
                              </a:path>
                            </a:pathLst>
                          </a:custGeom>
                          <a:ln w="9525">
                            <a:solidFill>
                              <a:srgbClr val="D9D9D9"/>
                            </a:solidFill>
                            <a:prstDash val="solid"/>
                          </a:ln>
                        </wps:spPr>
                        <wps:bodyPr wrap="square" lIns="0" tIns="0" rIns="0" bIns="0" rtlCol="0">
                          <a:prstTxWarp prst="textNoShape">
                            <a:avLst/>
                          </a:prstTxWarp>
                          <a:noAutofit/>
                        </wps:bodyPr>
                      </wps:wsp>
                      <wps:wsp>
                        <wps:cNvPr id="57" name="Textbox 57"/>
                        <wps:cNvSpPr txBox="1"/>
                        <wps:spPr>
                          <a:xfrm>
                            <a:off x="1405953" y="142303"/>
                            <a:ext cx="1782445" cy="203200"/>
                          </a:xfrm>
                          <a:prstGeom prst="rect">
                            <a:avLst/>
                          </a:prstGeom>
                        </wps:spPr>
                        <wps:txbx>
                          <w:txbxContent>
                            <w:p>
                              <w:pPr>
                                <w:spacing w:line="319" w:lineRule="exact" w:before="0"/>
                                <w:ind w:left="0" w:right="0" w:firstLine="0"/>
                                <w:jc w:val="left"/>
                                <w:rPr>
                                  <w:rFonts w:ascii="Calibri"/>
                                  <w:b/>
                                  <w:sz w:val="32"/>
                                </w:rPr>
                              </w:pPr>
                              <w:r>
                                <w:rPr>
                                  <w:rFonts w:ascii="Calibri"/>
                                  <w:b/>
                                  <w:color w:val="585858"/>
                                  <w:sz w:val="32"/>
                                </w:rPr>
                                <w:t>Year</w:t>
                              </w:r>
                              <w:r>
                                <w:rPr>
                                  <w:rFonts w:ascii="Calibri"/>
                                  <w:b/>
                                  <w:color w:val="585858"/>
                                  <w:spacing w:val="-16"/>
                                  <w:sz w:val="32"/>
                                </w:rPr>
                                <w:t> </w:t>
                              </w:r>
                              <w:r>
                                <w:rPr>
                                  <w:rFonts w:ascii="Calibri"/>
                                  <w:b/>
                                  <w:color w:val="585858"/>
                                  <w:sz w:val="32"/>
                                </w:rPr>
                                <w:t>Wise</w:t>
                              </w:r>
                              <w:r>
                                <w:rPr>
                                  <w:rFonts w:ascii="Calibri"/>
                                  <w:b/>
                                  <w:color w:val="585858"/>
                                  <w:spacing w:val="-17"/>
                                  <w:sz w:val="32"/>
                                </w:rPr>
                                <w:t> </w:t>
                              </w:r>
                              <w:r>
                                <w:rPr>
                                  <w:rFonts w:ascii="Calibri"/>
                                  <w:b/>
                                  <w:color w:val="585858"/>
                                  <w:sz w:val="32"/>
                                </w:rPr>
                                <w:t>Deal</w:t>
                              </w:r>
                              <w:r>
                                <w:rPr>
                                  <w:rFonts w:ascii="Calibri"/>
                                  <w:b/>
                                  <w:color w:val="585858"/>
                                  <w:spacing w:val="-17"/>
                                  <w:sz w:val="32"/>
                                </w:rPr>
                                <w:t> </w:t>
                              </w:r>
                              <w:r>
                                <w:rPr>
                                  <w:rFonts w:ascii="Calibri"/>
                                  <w:b/>
                                  <w:color w:val="585858"/>
                                  <w:spacing w:val="-4"/>
                                  <w:sz w:val="32"/>
                                </w:rPr>
                                <w:t>Value</w:t>
                              </w:r>
                            </w:p>
                          </w:txbxContent>
                        </wps:txbx>
                        <wps:bodyPr wrap="square" lIns="0" tIns="0" rIns="0" bIns="0" rtlCol="0">
                          <a:noAutofit/>
                        </wps:bodyPr>
                      </wps:wsp>
                      <wps:wsp>
                        <wps:cNvPr id="58" name="Textbox 58"/>
                        <wps:cNvSpPr txBox="1"/>
                        <wps:spPr>
                          <a:xfrm>
                            <a:off x="341566" y="454215"/>
                            <a:ext cx="302895" cy="1715135"/>
                          </a:xfrm>
                          <a:prstGeom prst="rect">
                            <a:avLst/>
                          </a:prstGeom>
                        </wps:spPr>
                        <wps:txbx>
                          <w:txbxContent>
                            <w:p>
                              <w:pPr>
                                <w:spacing w:line="183" w:lineRule="exact" w:before="0"/>
                                <w:ind w:left="0" w:right="18" w:firstLine="0"/>
                                <w:jc w:val="right"/>
                                <w:rPr>
                                  <w:rFonts w:ascii="Calibri"/>
                                  <w:sz w:val="18"/>
                                </w:rPr>
                              </w:pPr>
                              <w:r>
                                <w:rPr>
                                  <w:rFonts w:ascii="Calibri"/>
                                  <w:color w:val="585858"/>
                                  <w:spacing w:val="-2"/>
                                  <w:sz w:val="18"/>
                                </w:rPr>
                                <w:t>40000</w:t>
                              </w:r>
                            </w:p>
                            <w:p>
                              <w:pPr>
                                <w:spacing w:before="95"/>
                                <w:ind w:left="0" w:right="18" w:firstLine="0"/>
                                <w:jc w:val="right"/>
                                <w:rPr>
                                  <w:rFonts w:ascii="Calibri"/>
                                  <w:sz w:val="18"/>
                                </w:rPr>
                              </w:pPr>
                              <w:r>
                                <w:rPr>
                                  <w:rFonts w:ascii="Calibri"/>
                                  <w:color w:val="585858"/>
                                  <w:spacing w:val="-2"/>
                                  <w:sz w:val="18"/>
                                </w:rPr>
                                <w:t>35000</w:t>
                              </w:r>
                            </w:p>
                            <w:p>
                              <w:pPr>
                                <w:spacing w:before="96"/>
                                <w:ind w:left="0" w:right="18" w:firstLine="0"/>
                                <w:jc w:val="right"/>
                                <w:rPr>
                                  <w:rFonts w:ascii="Calibri"/>
                                  <w:sz w:val="18"/>
                                </w:rPr>
                              </w:pPr>
                              <w:r>
                                <w:rPr>
                                  <w:rFonts w:ascii="Calibri"/>
                                  <w:color w:val="585858"/>
                                  <w:spacing w:val="-2"/>
                                  <w:sz w:val="18"/>
                                </w:rPr>
                                <w:t>30000</w:t>
                              </w:r>
                            </w:p>
                            <w:p>
                              <w:pPr>
                                <w:spacing w:before="95"/>
                                <w:ind w:left="0" w:right="18" w:firstLine="0"/>
                                <w:jc w:val="right"/>
                                <w:rPr>
                                  <w:rFonts w:ascii="Calibri"/>
                                  <w:sz w:val="18"/>
                                </w:rPr>
                              </w:pPr>
                              <w:r>
                                <w:rPr>
                                  <w:rFonts w:ascii="Calibri"/>
                                  <w:color w:val="585858"/>
                                  <w:spacing w:val="-2"/>
                                  <w:sz w:val="18"/>
                                </w:rPr>
                                <w:t>25000</w:t>
                              </w:r>
                            </w:p>
                            <w:p>
                              <w:pPr>
                                <w:spacing w:before="95"/>
                                <w:ind w:left="0" w:right="18" w:firstLine="0"/>
                                <w:jc w:val="right"/>
                                <w:rPr>
                                  <w:rFonts w:ascii="Calibri"/>
                                  <w:sz w:val="18"/>
                                </w:rPr>
                              </w:pPr>
                              <w:r>
                                <w:rPr>
                                  <w:rFonts w:ascii="Calibri"/>
                                  <w:color w:val="585858"/>
                                  <w:spacing w:val="-2"/>
                                  <w:sz w:val="18"/>
                                </w:rPr>
                                <w:t>20000</w:t>
                              </w:r>
                            </w:p>
                            <w:p>
                              <w:pPr>
                                <w:spacing w:before="95"/>
                                <w:ind w:left="0" w:right="18" w:firstLine="0"/>
                                <w:jc w:val="right"/>
                                <w:rPr>
                                  <w:rFonts w:ascii="Calibri"/>
                                  <w:sz w:val="18"/>
                                </w:rPr>
                              </w:pPr>
                              <w:r>
                                <w:rPr>
                                  <w:rFonts w:ascii="Calibri"/>
                                  <w:color w:val="585858"/>
                                  <w:spacing w:val="-2"/>
                                  <w:sz w:val="18"/>
                                </w:rPr>
                                <w:t>15000</w:t>
                              </w:r>
                            </w:p>
                            <w:p>
                              <w:pPr>
                                <w:spacing w:before="96"/>
                                <w:ind w:left="0" w:right="18" w:firstLine="0"/>
                                <w:jc w:val="right"/>
                                <w:rPr>
                                  <w:rFonts w:ascii="Calibri"/>
                                  <w:sz w:val="18"/>
                                </w:rPr>
                              </w:pPr>
                              <w:r>
                                <w:rPr>
                                  <w:rFonts w:ascii="Calibri"/>
                                  <w:color w:val="585858"/>
                                  <w:spacing w:val="-2"/>
                                  <w:sz w:val="18"/>
                                </w:rPr>
                                <w:t>10000</w:t>
                              </w:r>
                            </w:p>
                            <w:p>
                              <w:pPr>
                                <w:spacing w:before="95"/>
                                <w:ind w:left="0" w:right="18" w:firstLine="0"/>
                                <w:jc w:val="right"/>
                                <w:rPr>
                                  <w:rFonts w:ascii="Calibri"/>
                                  <w:sz w:val="18"/>
                                </w:rPr>
                              </w:pPr>
                              <w:r>
                                <w:rPr>
                                  <w:rFonts w:ascii="Calibri"/>
                                  <w:color w:val="585858"/>
                                  <w:spacing w:val="-4"/>
                                  <w:sz w:val="18"/>
                                </w:rPr>
                                <w:t>5000</w:t>
                              </w:r>
                            </w:p>
                            <w:p>
                              <w:pPr>
                                <w:spacing w:line="216" w:lineRule="exact" w:before="96"/>
                                <w:ind w:left="0" w:right="18" w:firstLine="0"/>
                                <w:jc w:val="right"/>
                                <w:rPr>
                                  <w:rFonts w:ascii="Calibri"/>
                                  <w:sz w:val="18"/>
                                </w:rPr>
                              </w:pPr>
                              <w:r>
                                <w:rPr>
                                  <w:rFonts w:ascii="Calibri"/>
                                  <w:color w:val="585858"/>
                                  <w:spacing w:val="-10"/>
                                  <w:sz w:val="18"/>
                                </w:rPr>
                                <w:t>0</w:t>
                              </w:r>
                            </w:p>
                          </w:txbxContent>
                        </wps:txbx>
                        <wps:bodyPr wrap="square" lIns="0" tIns="0" rIns="0" bIns="0" rtlCol="0">
                          <a:noAutofit/>
                        </wps:bodyPr>
                      </wps:wsp>
                      <wps:wsp>
                        <wps:cNvPr id="59" name="Textbox 59"/>
                        <wps:cNvSpPr txBox="1"/>
                        <wps:spPr>
                          <a:xfrm>
                            <a:off x="4214050" y="1504886"/>
                            <a:ext cx="24828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2"/>
                                  <w:sz w:val="18"/>
                                </w:rPr>
                                <w:t>Total</w:t>
                              </w:r>
                            </w:p>
                          </w:txbxContent>
                        </wps:txbx>
                        <wps:bodyPr wrap="square" lIns="0" tIns="0" rIns="0" bIns="0" rtlCol="0">
                          <a:noAutofit/>
                        </wps:bodyPr>
                      </wps:wsp>
                      <wps:wsp>
                        <wps:cNvPr id="60" name="Textbox 60"/>
                        <wps:cNvSpPr txBox="1"/>
                        <wps:spPr>
                          <a:xfrm>
                            <a:off x="2137727" y="2473032"/>
                            <a:ext cx="220345" cy="114935"/>
                          </a:xfrm>
                          <a:prstGeom prst="rect">
                            <a:avLst/>
                          </a:prstGeom>
                        </wps:spPr>
                        <wps:txbx>
                          <w:txbxContent>
                            <w:p>
                              <w:pPr>
                                <w:spacing w:line="180" w:lineRule="exact" w:before="0"/>
                                <w:ind w:left="0" w:right="0" w:firstLine="0"/>
                                <w:jc w:val="left"/>
                                <w:rPr>
                                  <w:rFonts w:ascii="Calibri"/>
                                  <w:sz w:val="18"/>
                                </w:rPr>
                              </w:pPr>
                              <w:r>
                                <w:rPr>
                                  <w:rFonts w:ascii="Calibri"/>
                                  <w:color w:val="585858"/>
                                  <w:spacing w:val="-4"/>
                                  <w:sz w:val="18"/>
                                </w:rPr>
                                <w:t>Year</w:t>
                              </w:r>
                            </w:p>
                          </w:txbxContent>
                        </wps:txbx>
                        <wps:bodyPr wrap="square" lIns="0" tIns="0" rIns="0" bIns="0" rtlCol="0">
                          <a:noAutofit/>
                        </wps:bodyPr>
                      </wps:wsp>
                    </wpg:wgp>
                  </a:graphicData>
                </a:graphic>
              </wp:anchor>
            </w:drawing>
          </mc:Choice>
          <mc:Fallback>
            <w:pict>
              <v:group style="position:absolute;margin-left:117.275002pt;margin-top:141.666763pt;width:360.75pt;height:216.75pt;mso-position-horizontal-relative:page;mso-position-vertical-relative:paragraph;z-index:15730176" id="docshapegroup7" coordorigin="2346,2833" coordsize="7215,4335">
                <v:line style="position:absolute" from="3506,3631" to="8243,3631" stroked="true" strokeweight=".75pt" strokecolor="#d9d9d9">
                  <v:stroke dashstyle="solid"/>
                </v:line>
                <v:shape style="position:absolute;left:3505;top:3863;width:4737;height:2302" type="#_x0000_t75" id="docshape8" stroked="false">
                  <v:imagedata r:id="rId10" o:title=""/>
                </v:shape>
                <v:shape style="position:absolute;left:3492;top:5984;width:261;height:261" type="#_x0000_t75" id="docshape9" stroked="false">
                  <v:imagedata r:id="rId11" o:title=""/>
                </v:shape>
                <v:shape style="position:absolute;left:3729;top:5936;width:261;height:261" type="#_x0000_t75" id="docshape10" stroked="false">
                  <v:imagedata r:id="rId11" o:title=""/>
                </v:shape>
                <v:shape style="position:absolute;left:3964;top:5646;width:261;height:261" type="#_x0000_t75" id="docshape11" stroked="false">
                  <v:imagedata r:id="rId11" o:title=""/>
                </v:shape>
                <v:shape style="position:absolute;left:4202;top:5857;width:261;height:261" type="#_x0000_t75" id="docshape12" stroked="false">
                  <v:imagedata r:id="rId11" o:title=""/>
                </v:shape>
                <v:shape style="position:absolute;left:4440;top:5948;width:261;height:261" type="#_x0000_t75" id="docshape13" stroked="false">
                  <v:imagedata r:id="rId11" o:title=""/>
                </v:shape>
                <v:shape style="position:absolute;left:4675;top:5860;width:261;height:261" type="#_x0000_t75" id="docshape14" stroked="false">
                  <v:imagedata r:id="rId11" o:title=""/>
                </v:shape>
                <v:shape style="position:absolute;left:4912;top:5795;width:261;height:261" type="#_x0000_t75" id="docshape15" stroked="false">
                  <v:imagedata r:id="rId11" o:title=""/>
                </v:shape>
                <v:shape style="position:absolute;left:5150;top:5723;width:261;height:261" type="#_x0000_t75" id="docshape16" stroked="false">
                  <v:imagedata r:id="rId11" o:title=""/>
                </v:shape>
                <v:shape style="position:absolute;left:5388;top:5845;width:261;height:261" type="#_x0000_t75" id="docshape17" stroked="false">
                  <v:imagedata r:id="rId11" o:title=""/>
                </v:shape>
                <v:shape style="position:absolute;left:5623;top:5716;width:261;height:261" type="#_x0000_t75" id="docshape18" stroked="false">
                  <v:imagedata r:id="rId11" o:title=""/>
                </v:shape>
                <v:shape style="position:absolute;left:5860;top:5672;width:261;height:261" type="#_x0000_t75" id="docshape19" stroked="false">
                  <v:imagedata r:id="rId11" o:title=""/>
                </v:shape>
                <v:shape style="position:absolute;left:6098;top:5821;width:261;height:261" type="#_x0000_t75" id="docshape20" stroked="false">
                  <v:imagedata r:id="rId11" o:title=""/>
                </v:shape>
                <v:shape style="position:absolute;left:6333;top:5603;width:261;height:261" type="#_x0000_t75" id="docshape21" stroked="false">
                  <v:imagedata r:id="rId11" o:title=""/>
                </v:shape>
                <v:shape style="position:absolute;left:6571;top:5502;width:261;height:261" type="#_x0000_t75" id="docshape22" stroked="false">
                  <v:imagedata r:id="rId11" o:title=""/>
                </v:shape>
                <v:shape style="position:absolute;left:6808;top:5291;width:261;height:261" type="#_x0000_t75" id="docshape23" stroked="false">
                  <v:imagedata r:id="rId11" o:title=""/>
                </v:shape>
                <v:shape style="position:absolute;left:7044;top:3824;width:261;height:261" type="#_x0000_t75" id="docshape24" stroked="false">
                  <v:imagedata r:id="rId11" o:title=""/>
                </v:shape>
                <v:shape style="position:absolute;left:7281;top:4528;width:261;height:261" type="#_x0000_t75" id="docshape25" stroked="false">
                  <v:imagedata r:id="rId11" o:title=""/>
                </v:shape>
                <v:shape style="position:absolute;left:7519;top:5089;width:261;height:261" type="#_x0000_t75" id="docshape26" stroked="false">
                  <v:imagedata r:id="rId11" o:title=""/>
                </v:shape>
                <v:shape style="position:absolute;left:7754;top:5651;width:261;height:261" type="#_x0000_t75" id="docshape27" stroked="false">
                  <v:imagedata r:id="rId11" o:title=""/>
                </v:shape>
                <v:shape style="position:absolute;left:7992;top:5466;width:261;height:261" type="#_x0000_t75" id="docshape28" stroked="false">
                  <v:imagedata r:id="rId11" o:title=""/>
                </v:shape>
                <v:shape style="position:absolute;left:3624;top:3922;width:4500;height:2160" id="docshape29" coordorigin="3624,3922" coordsize="4500,2160" path="m3624,6081l3862,6033,4097,5742,4334,5954,4572,6045,4807,5956,5045,5891,5282,5819,5520,5942,5755,5812,5993,5769,6230,5918,6466,5699,6703,5598,6941,5387,7176,3922,7414,4624,7651,5186,7886,5747,8124,5562e" filled="false" stroked="true" strokeweight="2.75pt" strokecolor="#4471c4">
                  <v:path arrowok="t"/>
                  <v:stroke dashstyle="solid"/>
                </v:shape>
                <v:shape style="position:absolute;left:3544;top:6001;width:155;height:155" type="#_x0000_t75" id="docshape30" stroked="false">
                  <v:imagedata r:id="rId12" o:title=""/>
                </v:shape>
                <v:shape style="position:absolute;left:3782;top:5953;width:155;height:155" type="#_x0000_t75" id="docshape31" stroked="false">
                  <v:imagedata r:id="rId12" o:title=""/>
                </v:shape>
                <v:shape style="position:absolute;left:4017;top:5663;width:155;height:155" type="#_x0000_t75" id="docshape32" stroked="false">
                  <v:imagedata r:id="rId12" o:title=""/>
                </v:shape>
                <v:shape style="position:absolute;left:4255;top:5874;width:155;height:155" type="#_x0000_t75" id="docshape33" stroked="false">
                  <v:imagedata r:id="rId12" o:title=""/>
                </v:shape>
                <v:shape style="position:absolute;left:4492;top:5965;width:155;height:155" type="#_x0000_t75" id="docshape34" stroked="false">
                  <v:imagedata r:id="rId12" o:title=""/>
                </v:shape>
                <v:shape style="position:absolute;left:4728;top:5876;width:155;height:155" type="#_x0000_t75" id="docshape35" stroked="false">
                  <v:imagedata r:id="rId12" o:title=""/>
                </v:shape>
                <v:shape style="position:absolute;left:4965;top:5812;width:155;height:155" type="#_x0000_t75" id="docshape36" stroked="false">
                  <v:imagedata r:id="rId12" o:title=""/>
                </v:shape>
                <v:shape style="position:absolute;left:5203;top:5740;width:155;height:155" type="#_x0000_t75" id="docshape37" stroked="false">
                  <v:imagedata r:id="rId12" o:title=""/>
                </v:shape>
                <v:shape style="position:absolute;left:5440;top:5862;width:155;height:155" type="#_x0000_t75" id="docshape38" stroked="false">
                  <v:imagedata r:id="rId12" o:title=""/>
                </v:shape>
                <v:shape style="position:absolute;left:5676;top:5732;width:155;height:155" type="#_x0000_t75" id="docshape39" stroked="false">
                  <v:imagedata r:id="rId12" o:title=""/>
                </v:shape>
                <v:shape style="position:absolute;left:5913;top:5689;width:155;height:155" type="#_x0000_t75" id="docshape40" stroked="false">
                  <v:imagedata r:id="rId12" o:title=""/>
                </v:shape>
                <v:shape style="position:absolute;left:6151;top:5838;width:155;height:155" type="#_x0000_t75" id="docshape41" stroked="false">
                  <v:imagedata r:id="rId12" o:title=""/>
                </v:shape>
                <v:shape style="position:absolute;left:6386;top:5620;width:155;height:155" type="#_x0000_t75" id="docshape42" stroked="false">
                  <v:imagedata r:id="rId12" o:title=""/>
                </v:shape>
                <v:shape style="position:absolute;left:6624;top:5519;width:155;height:155" type="#_x0000_t75" id="docshape43" stroked="false">
                  <v:imagedata r:id="rId12" o:title=""/>
                </v:shape>
                <v:shape style="position:absolute;left:6861;top:5308;width:155;height:155" type="#_x0000_t75" id="docshape44" stroked="false">
                  <v:imagedata r:id="rId12" o:title=""/>
                </v:shape>
                <v:shape style="position:absolute;left:7096;top:3841;width:155;height:155" type="#_x0000_t75" id="docshape45" stroked="false">
                  <v:imagedata r:id="rId12" o:title=""/>
                </v:shape>
                <v:shape style="position:absolute;left:7334;top:4544;width:155;height:155" type="#_x0000_t75" id="docshape46" stroked="false">
                  <v:imagedata r:id="rId12" o:title=""/>
                </v:shape>
                <v:shape style="position:absolute;left:7572;top:5106;width:155;height:155" type="#_x0000_t75" id="docshape47" stroked="false">
                  <v:imagedata r:id="rId12" o:title=""/>
                </v:shape>
                <v:shape style="position:absolute;left:7807;top:5668;width:155;height:155" type="#_x0000_t75" id="docshape48" stroked="false">
                  <v:imagedata r:id="rId12" o:title=""/>
                </v:shape>
                <v:shape style="position:absolute;left:8044;top:5483;width:155;height:155" type="#_x0000_t75" id="docshape49" stroked="false">
                  <v:imagedata r:id="rId12" o:title=""/>
                </v:shape>
                <v:line style="position:absolute" from="8556,5286" to="8940,5286" stroked="true" strokeweight="2.75pt" strokecolor="#4471c4">
                  <v:stroke dashstyle="solid"/>
                </v:line>
                <v:shape style="position:absolute;left:8678;top:5216;width:134;height:134" type="#_x0000_t75" id="docshape50" stroked="false">
                  <v:imagedata r:id="rId13" o:title=""/>
                </v:shape>
                <v:rect style="position:absolute;left:2353;top:2840;width:7200;height:4320" id="docshape51" filled="false" stroked="true" strokeweight=".75pt" strokecolor="#d9d9d9">
                  <v:stroke dashstyle="solid"/>
                </v:rect>
                <v:shape style="position:absolute;left:4559;top:3057;width:2807;height:320" type="#_x0000_t202" id="docshape52" filled="false" stroked="false">
                  <v:textbox inset="0,0,0,0">
                    <w:txbxContent>
                      <w:p>
                        <w:pPr>
                          <w:spacing w:line="319" w:lineRule="exact" w:before="0"/>
                          <w:ind w:left="0" w:right="0" w:firstLine="0"/>
                          <w:jc w:val="left"/>
                          <w:rPr>
                            <w:rFonts w:ascii="Calibri"/>
                            <w:b/>
                            <w:sz w:val="32"/>
                          </w:rPr>
                        </w:pPr>
                        <w:r>
                          <w:rPr>
                            <w:rFonts w:ascii="Calibri"/>
                            <w:b/>
                            <w:color w:val="585858"/>
                            <w:sz w:val="32"/>
                          </w:rPr>
                          <w:t>Year</w:t>
                        </w:r>
                        <w:r>
                          <w:rPr>
                            <w:rFonts w:ascii="Calibri"/>
                            <w:b/>
                            <w:color w:val="585858"/>
                            <w:spacing w:val="-16"/>
                            <w:sz w:val="32"/>
                          </w:rPr>
                          <w:t> </w:t>
                        </w:r>
                        <w:r>
                          <w:rPr>
                            <w:rFonts w:ascii="Calibri"/>
                            <w:b/>
                            <w:color w:val="585858"/>
                            <w:sz w:val="32"/>
                          </w:rPr>
                          <w:t>Wise</w:t>
                        </w:r>
                        <w:r>
                          <w:rPr>
                            <w:rFonts w:ascii="Calibri"/>
                            <w:b/>
                            <w:color w:val="585858"/>
                            <w:spacing w:val="-17"/>
                            <w:sz w:val="32"/>
                          </w:rPr>
                          <w:t> </w:t>
                        </w:r>
                        <w:r>
                          <w:rPr>
                            <w:rFonts w:ascii="Calibri"/>
                            <w:b/>
                            <w:color w:val="585858"/>
                            <w:sz w:val="32"/>
                          </w:rPr>
                          <w:t>Deal</w:t>
                        </w:r>
                        <w:r>
                          <w:rPr>
                            <w:rFonts w:ascii="Calibri"/>
                            <w:b/>
                            <w:color w:val="585858"/>
                            <w:spacing w:val="-17"/>
                            <w:sz w:val="32"/>
                          </w:rPr>
                          <w:t> </w:t>
                        </w:r>
                        <w:r>
                          <w:rPr>
                            <w:rFonts w:ascii="Calibri"/>
                            <w:b/>
                            <w:color w:val="585858"/>
                            <w:spacing w:val="-4"/>
                            <w:sz w:val="32"/>
                          </w:rPr>
                          <w:t>Value</w:t>
                        </w:r>
                      </w:p>
                    </w:txbxContent>
                  </v:textbox>
                  <w10:wrap type="none"/>
                </v:shape>
                <v:shape style="position:absolute;left:2883;top:3548;width:477;height:2701" type="#_x0000_t202" id="docshape53" filled="false" stroked="false">
                  <v:textbox inset="0,0,0,0">
                    <w:txbxContent>
                      <w:p>
                        <w:pPr>
                          <w:spacing w:line="183" w:lineRule="exact" w:before="0"/>
                          <w:ind w:left="0" w:right="18" w:firstLine="0"/>
                          <w:jc w:val="right"/>
                          <w:rPr>
                            <w:rFonts w:ascii="Calibri"/>
                            <w:sz w:val="18"/>
                          </w:rPr>
                        </w:pPr>
                        <w:r>
                          <w:rPr>
                            <w:rFonts w:ascii="Calibri"/>
                            <w:color w:val="585858"/>
                            <w:spacing w:val="-2"/>
                            <w:sz w:val="18"/>
                          </w:rPr>
                          <w:t>40000</w:t>
                        </w:r>
                      </w:p>
                      <w:p>
                        <w:pPr>
                          <w:spacing w:before="95"/>
                          <w:ind w:left="0" w:right="18" w:firstLine="0"/>
                          <w:jc w:val="right"/>
                          <w:rPr>
                            <w:rFonts w:ascii="Calibri"/>
                            <w:sz w:val="18"/>
                          </w:rPr>
                        </w:pPr>
                        <w:r>
                          <w:rPr>
                            <w:rFonts w:ascii="Calibri"/>
                            <w:color w:val="585858"/>
                            <w:spacing w:val="-2"/>
                            <w:sz w:val="18"/>
                          </w:rPr>
                          <w:t>35000</w:t>
                        </w:r>
                      </w:p>
                      <w:p>
                        <w:pPr>
                          <w:spacing w:before="96"/>
                          <w:ind w:left="0" w:right="18" w:firstLine="0"/>
                          <w:jc w:val="right"/>
                          <w:rPr>
                            <w:rFonts w:ascii="Calibri"/>
                            <w:sz w:val="18"/>
                          </w:rPr>
                        </w:pPr>
                        <w:r>
                          <w:rPr>
                            <w:rFonts w:ascii="Calibri"/>
                            <w:color w:val="585858"/>
                            <w:spacing w:val="-2"/>
                            <w:sz w:val="18"/>
                          </w:rPr>
                          <w:t>30000</w:t>
                        </w:r>
                      </w:p>
                      <w:p>
                        <w:pPr>
                          <w:spacing w:before="95"/>
                          <w:ind w:left="0" w:right="18" w:firstLine="0"/>
                          <w:jc w:val="right"/>
                          <w:rPr>
                            <w:rFonts w:ascii="Calibri"/>
                            <w:sz w:val="18"/>
                          </w:rPr>
                        </w:pPr>
                        <w:r>
                          <w:rPr>
                            <w:rFonts w:ascii="Calibri"/>
                            <w:color w:val="585858"/>
                            <w:spacing w:val="-2"/>
                            <w:sz w:val="18"/>
                          </w:rPr>
                          <w:t>25000</w:t>
                        </w:r>
                      </w:p>
                      <w:p>
                        <w:pPr>
                          <w:spacing w:before="95"/>
                          <w:ind w:left="0" w:right="18" w:firstLine="0"/>
                          <w:jc w:val="right"/>
                          <w:rPr>
                            <w:rFonts w:ascii="Calibri"/>
                            <w:sz w:val="18"/>
                          </w:rPr>
                        </w:pPr>
                        <w:r>
                          <w:rPr>
                            <w:rFonts w:ascii="Calibri"/>
                            <w:color w:val="585858"/>
                            <w:spacing w:val="-2"/>
                            <w:sz w:val="18"/>
                          </w:rPr>
                          <w:t>20000</w:t>
                        </w:r>
                      </w:p>
                      <w:p>
                        <w:pPr>
                          <w:spacing w:before="95"/>
                          <w:ind w:left="0" w:right="18" w:firstLine="0"/>
                          <w:jc w:val="right"/>
                          <w:rPr>
                            <w:rFonts w:ascii="Calibri"/>
                            <w:sz w:val="18"/>
                          </w:rPr>
                        </w:pPr>
                        <w:r>
                          <w:rPr>
                            <w:rFonts w:ascii="Calibri"/>
                            <w:color w:val="585858"/>
                            <w:spacing w:val="-2"/>
                            <w:sz w:val="18"/>
                          </w:rPr>
                          <w:t>15000</w:t>
                        </w:r>
                      </w:p>
                      <w:p>
                        <w:pPr>
                          <w:spacing w:before="96"/>
                          <w:ind w:left="0" w:right="18" w:firstLine="0"/>
                          <w:jc w:val="right"/>
                          <w:rPr>
                            <w:rFonts w:ascii="Calibri"/>
                            <w:sz w:val="18"/>
                          </w:rPr>
                        </w:pPr>
                        <w:r>
                          <w:rPr>
                            <w:rFonts w:ascii="Calibri"/>
                            <w:color w:val="585858"/>
                            <w:spacing w:val="-2"/>
                            <w:sz w:val="18"/>
                          </w:rPr>
                          <w:t>10000</w:t>
                        </w:r>
                      </w:p>
                      <w:p>
                        <w:pPr>
                          <w:spacing w:before="95"/>
                          <w:ind w:left="0" w:right="18" w:firstLine="0"/>
                          <w:jc w:val="right"/>
                          <w:rPr>
                            <w:rFonts w:ascii="Calibri"/>
                            <w:sz w:val="18"/>
                          </w:rPr>
                        </w:pPr>
                        <w:r>
                          <w:rPr>
                            <w:rFonts w:ascii="Calibri"/>
                            <w:color w:val="585858"/>
                            <w:spacing w:val="-4"/>
                            <w:sz w:val="18"/>
                          </w:rPr>
                          <w:t>5000</w:t>
                        </w:r>
                      </w:p>
                      <w:p>
                        <w:pPr>
                          <w:spacing w:line="216" w:lineRule="exact" w:before="96"/>
                          <w:ind w:left="0" w:right="18" w:firstLine="0"/>
                          <w:jc w:val="right"/>
                          <w:rPr>
                            <w:rFonts w:ascii="Calibri"/>
                            <w:sz w:val="18"/>
                          </w:rPr>
                        </w:pPr>
                        <w:r>
                          <w:rPr>
                            <w:rFonts w:ascii="Calibri"/>
                            <w:color w:val="585858"/>
                            <w:spacing w:val="-10"/>
                            <w:sz w:val="18"/>
                          </w:rPr>
                          <w:t>0</w:t>
                        </w:r>
                      </w:p>
                    </w:txbxContent>
                  </v:textbox>
                  <w10:wrap type="none"/>
                </v:shape>
                <v:shape style="position:absolute;left:8981;top:5203;width:391;height:180" type="#_x0000_t202" id="docshape54" filled="false" stroked="false">
                  <v:textbox inset="0,0,0,0">
                    <w:txbxContent>
                      <w:p>
                        <w:pPr>
                          <w:spacing w:line="180" w:lineRule="exact" w:before="0"/>
                          <w:ind w:left="0" w:right="0" w:firstLine="0"/>
                          <w:jc w:val="left"/>
                          <w:rPr>
                            <w:rFonts w:ascii="Calibri"/>
                            <w:sz w:val="18"/>
                          </w:rPr>
                        </w:pPr>
                        <w:r>
                          <w:rPr>
                            <w:rFonts w:ascii="Calibri"/>
                            <w:color w:val="585858"/>
                            <w:spacing w:val="-2"/>
                            <w:sz w:val="18"/>
                          </w:rPr>
                          <w:t>Total</w:t>
                        </w:r>
                      </w:p>
                    </w:txbxContent>
                  </v:textbox>
                  <w10:wrap type="none"/>
                </v:shape>
                <v:shape style="position:absolute;left:5712;top:6727;width:347;height:181" type="#_x0000_t202" id="docshape55" filled="false" stroked="false">
                  <v:textbox inset="0,0,0,0">
                    <w:txbxContent>
                      <w:p>
                        <w:pPr>
                          <w:spacing w:line="180" w:lineRule="exact" w:before="0"/>
                          <w:ind w:left="0" w:right="0" w:firstLine="0"/>
                          <w:jc w:val="left"/>
                          <w:rPr>
                            <w:rFonts w:ascii="Calibri"/>
                            <w:sz w:val="18"/>
                          </w:rPr>
                        </w:pPr>
                        <w:r>
                          <w:rPr>
                            <w:rFonts w:ascii="Calibri"/>
                            <w:color w:val="585858"/>
                            <w:spacing w:val="-4"/>
                            <w:sz w:val="18"/>
                          </w:rPr>
                          <w:t>Year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0688">
                <wp:simplePos x="0" y="0"/>
                <wp:positionH relativeFrom="page">
                  <wp:posOffset>1663064</wp:posOffset>
                </wp:positionH>
                <wp:positionV relativeFrom="paragraph">
                  <wp:posOffset>2996888</wp:posOffset>
                </wp:positionV>
                <wp:extent cx="139700" cy="220979"/>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39700" cy="220979"/>
                        </a:xfrm>
                        <a:prstGeom prst="rect">
                          <a:avLst/>
                        </a:prstGeom>
                      </wps:spPr>
                      <wps:txbx>
                        <w:txbxContent>
                          <w:p>
                            <w:pPr>
                              <w:spacing w:line="203" w:lineRule="exact" w:before="0"/>
                              <w:ind w:left="20" w:right="0" w:firstLine="0"/>
                              <w:jc w:val="left"/>
                              <w:rPr>
                                <w:rFonts w:ascii="Calibri"/>
                                <w:sz w:val="18"/>
                              </w:rPr>
                            </w:pPr>
                            <w:r>
                              <w:rPr>
                                <w:rFonts w:ascii="Calibri"/>
                                <w:color w:val="585858"/>
                                <w:spacing w:val="-5"/>
                                <w:sz w:val="18"/>
                              </w:rPr>
                              <w:t>USD</w:t>
                            </w:r>
                          </w:p>
                        </w:txbxContent>
                      </wps:txbx>
                      <wps:bodyPr wrap="square" lIns="0" tIns="0" rIns="0" bIns="0" rtlCol="0" vert="vert270">
                        <a:noAutofit/>
                      </wps:bodyPr>
                    </wps:wsp>
                  </a:graphicData>
                </a:graphic>
              </wp:anchor>
            </w:drawing>
          </mc:Choice>
          <mc:Fallback>
            <w:pict>
              <v:shape style="position:absolute;margin-left:130.949997pt;margin-top:235.975494pt;width:11pt;height:17.4pt;mso-position-horizontal-relative:page;mso-position-vertical-relative:paragraph;z-index:15730688" type="#_x0000_t202" id="docshape56"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color w:val="585858"/>
                          <w:spacing w:val="-5"/>
                          <w:sz w:val="18"/>
                        </w:rPr>
                        <w:t>USD</w:t>
                      </w:r>
                    </w:p>
                  </w:txbxContent>
                </v:textbox>
                <w10:wrap type="none"/>
              </v:shape>
            </w:pict>
          </mc:Fallback>
        </mc:AlternateContent>
      </w:r>
      <w:r>
        <w:rPr/>
        <w:t>The</w:t>
      </w:r>
      <w:r>
        <w:rPr>
          <w:spacing w:val="-8"/>
        </w:rPr>
        <w:t> </w:t>
      </w:r>
      <w:r>
        <w:rPr/>
        <w:t>investment</w:t>
      </w:r>
      <w:r>
        <w:rPr>
          <w:spacing w:val="-7"/>
        </w:rPr>
        <w:t> </w:t>
      </w:r>
      <w:r>
        <w:rPr/>
        <w:t>dataset</w:t>
      </w:r>
      <w:r>
        <w:rPr>
          <w:spacing w:val="-7"/>
        </w:rPr>
        <w:t> </w:t>
      </w:r>
      <w:r>
        <w:rPr/>
        <w:t>gives</w:t>
      </w:r>
      <w:r>
        <w:rPr>
          <w:spacing w:val="-7"/>
        </w:rPr>
        <w:t> </w:t>
      </w:r>
      <w:r>
        <w:rPr/>
        <w:t>an</w:t>
      </w:r>
      <w:r>
        <w:rPr>
          <w:spacing w:val="-7"/>
        </w:rPr>
        <w:t> </w:t>
      </w:r>
      <w:r>
        <w:rPr/>
        <w:t>overall</w:t>
      </w:r>
      <w:r>
        <w:rPr>
          <w:spacing w:val="-7"/>
        </w:rPr>
        <w:t> </w:t>
      </w:r>
      <w:r>
        <w:rPr/>
        <w:t>picture</w:t>
      </w:r>
      <w:r>
        <w:rPr>
          <w:spacing w:val="-8"/>
        </w:rPr>
        <w:t> </w:t>
      </w:r>
      <w:r>
        <w:rPr/>
        <w:t>of</w:t>
      </w:r>
      <w:r>
        <w:rPr>
          <w:spacing w:val="-6"/>
        </w:rPr>
        <w:t> </w:t>
      </w:r>
      <w:r>
        <w:rPr/>
        <w:t>the</w:t>
      </w:r>
      <w:r>
        <w:rPr>
          <w:spacing w:val="-8"/>
        </w:rPr>
        <w:t> </w:t>
      </w:r>
      <w:r>
        <w:rPr/>
        <w:t>private</w:t>
      </w:r>
      <w:r>
        <w:rPr>
          <w:spacing w:val="-6"/>
        </w:rPr>
        <w:t> </w:t>
      </w:r>
      <w:r>
        <w:rPr/>
        <w:t>equity</w:t>
      </w:r>
      <w:r>
        <w:rPr>
          <w:spacing w:val="-7"/>
        </w:rPr>
        <w:t> </w:t>
      </w:r>
      <w:r>
        <w:rPr/>
        <w:t>capital</w:t>
      </w:r>
      <w:r>
        <w:rPr>
          <w:spacing w:val="-7"/>
        </w:rPr>
        <w:t> </w:t>
      </w:r>
      <w:r>
        <w:rPr/>
        <w:t>formation</w:t>
      </w:r>
      <w:r>
        <w:rPr>
          <w:spacing w:val="-7"/>
        </w:rPr>
        <w:t> </w:t>
      </w:r>
      <w:r>
        <w:rPr/>
        <w:t>in</w:t>
      </w:r>
      <w:r>
        <w:rPr>
          <w:spacing w:val="-7"/>
        </w:rPr>
        <w:t> </w:t>
      </w:r>
      <w:r>
        <w:rPr/>
        <w:t>India. Across</w:t>
      </w:r>
      <w:r>
        <w:rPr>
          <w:spacing w:val="-3"/>
        </w:rPr>
        <w:t> </w:t>
      </w:r>
      <w:r>
        <w:rPr/>
        <w:t>the</w:t>
      </w:r>
      <w:r>
        <w:rPr>
          <w:spacing w:val="-1"/>
        </w:rPr>
        <w:t> </w:t>
      </w:r>
      <w:r>
        <w:rPr/>
        <w:t>2005-2024 period,</w:t>
      </w:r>
      <w:r>
        <w:rPr>
          <w:spacing w:val="-2"/>
        </w:rPr>
        <w:t> </w:t>
      </w:r>
      <w:r>
        <w:rPr/>
        <w:t>a</w:t>
      </w:r>
      <w:r>
        <w:rPr>
          <w:spacing w:val="-4"/>
        </w:rPr>
        <w:t> </w:t>
      </w:r>
      <w:r>
        <w:rPr/>
        <w:t>total of</w:t>
      </w:r>
      <w:r>
        <w:rPr>
          <w:spacing w:val="-2"/>
        </w:rPr>
        <w:t> </w:t>
      </w:r>
      <w:r>
        <w:rPr/>
        <w:t>5,967 investment</w:t>
      </w:r>
      <w:r>
        <w:rPr>
          <w:spacing w:val="-2"/>
        </w:rPr>
        <w:t> </w:t>
      </w:r>
      <w:r>
        <w:rPr/>
        <w:t>rounds</w:t>
      </w:r>
      <w:r>
        <w:rPr>
          <w:spacing w:val="-3"/>
        </w:rPr>
        <w:t> </w:t>
      </w:r>
      <w:r>
        <w:rPr/>
        <w:t>were</w:t>
      </w:r>
      <w:r>
        <w:rPr>
          <w:spacing w:val="-2"/>
        </w:rPr>
        <w:t> </w:t>
      </w:r>
      <w:r>
        <w:rPr/>
        <w:t>recorded,</w:t>
      </w:r>
      <w:r>
        <w:rPr>
          <w:spacing w:val="-2"/>
        </w:rPr>
        <w:t> </w:t>
      </w:r>
      <w:r>
        <w:rPr/>
        <w:t>amounting</w:t>
      </w:r>
      <w:r>
        <w:rPr>
          <w:spacing w:val="-2"/>
        </w:rPr>
        <w:t> </w:t>
      </w:r>
      <w:r>
        <w:rPr/>
        <w:t>to a</w:t>
      </w:r>
      <w:r>
        <w:rPr>
          <w:spacing w:val="-1"/>
        </w:rPr>
        <w:t> </w:t>
      </w:r>
      <w:r>
        <w:rPr/>
        <w:t>total capital deployment of</w:t>
      </w:r>
      <w:r>
        <w:rPr>
          <w:spacing w:val="-1"/>
        </w:rPr>
        <w:t> </w:t>
      </w:r>
      <w:r>
        <w:rPr/>
        <w:t>about USD 164 billion.</w:t>
      </w:r>
      <w:r>
        <w:rPr>
          <w:spacing w:val="-9"/>
        </w:rPr>
        <w:t> </w:t>
      </w:r>
      <w:r>
        <w:rPr/>
        <w:t>Yearly deal volume went from a</w:t>
      </w:r>
      <w:r>
        <w:rPr>
          <w:spacing w:val="-1"/>
        </w:rPr>
        <w:t> </w:t>
      </w:r>
      <w:r>
        <w:rPr/>
        <w:t>peak of 77 rounds in 2005 to a peak of 698 rounds in 2022, suggesting a steady rise in participation from investors. Similarly, annual investment value increased from USD 1.1 billion in 2005 to USD 35.3 billion in 2020, prior to the post-2021 funding slump.</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1"/>
      </w:pPr>
    </w:p>
    <w:p>
      <w:pPr>
        <w:spacing w:before="0"/>
        <w:ind w:left="2" w:right="1" w:firstLine="0"/>
        <w:jc w:val="center"/>
        <w:rPr>
          <w:i/>
          <w:sz w:val="18"/>
        </w:rPr>
      </w:pPr>
      <w:r>
        <w:rPr>
          <w:i/>
          <w:sz w:val="18"/>
        </w:rPr>
        <mc:AlternateContent>
          <mc:Choice Requires="wps">
            <w:drawing>
              <wp:anchor distT="0" distB="0" distL="0" distR="0" allowOverlap="1" layoutInCell="1" locked="0" behindDoc="0" simplePos="0" relativeHeight="15731200">
                <wp:simplePos x="0" y="0"/>
                <wp:positionH relativeFrom="page">
                  <wp:posOffset>2241804</wp:posOffset>
                </wp:positionH>
                <wp:positionV relativeFrom="paragraph">
                  <wp:posOffset>-771115</wp:posOffset>
                </wp:positionV>
                <wp:extent cx="2997835" cy="25717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997835" cy="257175"/>
                        </a:xfrm>
                        <a:prstGeom prst="rect">
                          <a:avLst/>
                        </a:prstGeom>
                      </wps:spPr>
                      <wps:txbx>
                        <w:txbxContent>
                          <w:p>
                            <w:pPr>
                              <w:spacing w:line="203" w:lineRule="exact" w:before="0"/>
                              <w:ind w:left="20" w:right="0" w:firstLine="0"/>
                              <w:jc w:val="left"/>
                              <w:rPr>
                                <w:rFonts w:ascii="Calibri"/>
                                <w:sz w:val="18"/>
                              </w:rPr>
                            </w:pPr>
                            <w:r>
                              <w:rPr>
                                <w:rFonts w:ascii="Calibri"/>
                                <w:color w:val="585858"/>
                                <w:spacing w:val="-4"/>
                                <w:sz w:val="18"/>
                              </w:rPr>
                              <w:t>2005</w:t>
                            </w:r>
                          </w:p>
                          <w:p>
                            <w:pPr>
                              <w:spacing w:before="17"/>
                              <w:ind w:left="20" w:right="0" w:firstLine="0"/>
                              <w:jc w:val="left"/>
                              <w:rPr>
                                <w:rFonts w:ascii="Calibri"/>
                                <w:sz w:val="18"/>
                              </w:rPr>
                            </w:pPr>
                            <w:r>
                              <w:rPr>
                                <w:rFonts w:ascii="Calibri"/>
                                <w:color w:val="585858"/>
                                <w:spacing w:val="-4"/>
                                <w:sz w:val="18"/>
                              </w:rPr>
                              <w:t>2006</w:t>
                            </w:r>
                          </w:p>
                          <w:p>
                            <w:pPr>
                              <w:spacing w:before="17"/>
                              <w:ind w:left="20" w:right="0" w:firstLine="0"/>
                              <w:jc w:val="left"/>
                              <w:rPr>
                                <w:rFonts w:ascii="Calibri"/>
                                <w:sz w:val="18"/>
                              </w:rPr>
                            </w:pPr>
                            <w:r>
                              <w:rPr>
                                <w:rFonts w:ascii="Calibri"/>
                                <w:color w:val="585858"/>
                                <w:spacing w:val="-4"/>
                                <w:sz w:val="18"/>
                              </w:rPr>
                              <w:t>2007</w:t>
                            </w:r>
                          </w:p>
                          <w:p>
                            <w:pPr>
                              <w:spacing w:before="18"/>
                              <w:ind w:left="20" w:right="0" w:firstLine="0"/>
                              <w:jc w:val="left"/>
                              <w:rPr>
                                <w:rFonts w:ascii="Calibri"/>
                                <w:sz w:val="18"/>
                              </w:rPr>
                            </w:pPr>
                            <w:r>
                              <w:rPr>
                                <w:rFonts w:ascii="Calibri"/>
                                <w:color w:val="585858"/>
                                <w:spacing w:val="-4"/>
                                <w:sz w:val="18"/>
                              </w:rPr>
                              <w:t>2008</w:t>
                            </w:r>
                          </w:p>
                          <w:p>
                            <w:pPr>
                              <w:spacing w:before="16"/>
                              <w:ind w:left="20" w:right="0" w:firstLine="0"/>
                              <w:jc w:val="left"/>
                              <w:rPr>
                                <w:rFonts w:ascii="Calibri"/>
                                <w:sz w:val="18"/>
                              </w:rPr>
                            </w:pPr>
                            <w:r>
                              <w:rPr>
                                <w:rFonts w:ascii="Calibri"/>
                                <w:color w:val="585858"/>
                                <w:spacing w:val="-4"/>
                                <w:sz w:val="18"/>
                              </w:rPr>
                              <w:t>2009</w:t>
                            </w:r>
                          </w:p>
                          <w:p>
                            <w:pPr>
                              <w:spacing w:before="18"/>
                              <w:ind w:left="20" w:right="0" w:firstLine="0"/>
                              <w:jc w:val="left"/>
                              <w:rPr>
                                <w:rFonts w:ascii="Calibri"/>
                                <w:sz w:val="18"/>
                              </w:rPr>
                            </w:pPr>
                            <w:r>
                              <w:rPr>
                                <w:rFonts w:ascii="Calibri"/>
                                <w:color w:val="585858"/>
                                <w:spacing w:val="-4"/>
                                <w:sz w:val="18"/>
                              </w:rPr>
                              <w:t>2010</w:t>
                            </w:r>
                          </w:p>
                          <w:p>
                            <w:pPr>
                              <w:spacing w:before="17"/>
                              <w:ind w:left="20" w:right="0" w:firstLine="0"/>
                              <w:jc w:val="left"/>
                              <w:rPr>
                                <w:rFonts w:ascii="Calibri"/>
                                <w:sz w:val="18"/>
                              </w:rPr>
                            </w:pPr>
                            <w:r>
                              <w:rPr>
                                <w:rFonts w:ascii="Calibri"/>
                                <w:color w:val="585858"/>
                                <w:spacing w:val="-4"/>
                                <w:sz w:val="18"/>
                              </w:rPr>
                              <w:t>2011</w:t>
                            </w:r>
                          </w:p>
                          <w:p>
                            <w:pPr>
                              <w:spacing w:before="17"/>
                              <w:ind w:left="20" w:right="0" w:firstLine="0"/>
                              <w:jc w:val="left"/>
                              <w:rPr>
                                <w:rFonts w:ascii="Calibri"/>
                                <w:sz w:val="18"/>
                              </w:rPr>
                            </w:pPr>
                            <w:r>
                              <w:rPr>
                                <w:rFonts w:ascii="Calibri"/>
                                <w:color w:val="585858"/>
                                <w:spacing w:val="-4"/>
                                <w:sz w:val="18"/>
                              </w:rPr>
                              <w:t>2012</w:t>
                            </w:r>
                          </w:p>
                          <w:p>
                            <w:pPr>
                              <w:spacing w:before="17"/>
                              <w:ind w:left="20" w:right="0" w:firstLine="0"/>
                              <w:jc w:val="left"/>
                              <w:rPr>
                                <w:rFonts w:ascii="Calibri"/>
                                <w:sz w:val="18"/>
                              </w:rPr>
                            </w:pPr>
                            <w:r>
                              <w:rPr>
                                <w:rFonts w:ascii="Calibri"/>
                                <w:color w:val="585858"/>
                                <w:spacing w:val="-4"/>
                                <w:sz w:val="18"/>
                              </w:rPr>
                              <w:t>2013</w:t>
                            </w:r>
                          </w:p>
                          <w:p>
                            <w:pPr>
                              <w:spacing w:before="17"/>
                              <w:ind w:left="20" w:right="0" w:firstLine="0"/>
                              <w:jc w:val="left"/>
                              <w:rPr>
                                <w:rFonts w:ascii="Calibri"/>
                                <w:sz w:val="18"/>
                              </w:rPr>
                            </w:pPr>
                            <w:r>
                              <w:rPr>
                                <w:rFonts w:ascii="Calibri"/>
                                <w:color w:val="585858"/>
                                <w:spacing w:val="-4"/>
                                <w:sz w:val="18"/>
                              </w:rPr>
                              <w:t>2014</w:t>
                            </w:r>
                          </w:p>
                          <w:p>
                            <w:pPr>
                              <w:spacing w:before="17"/>
                              <w:ind w:left="20" w:right="0" w:firstLine="0"/>
                              <w:jc w:val="left"/>
                              <w:rPr>
                                <w:rFonts w:ascii="Calibri"/>
                                <w:sz w:val="18"/>
                              </w:rPr>
                            </w:pPr>
                            <w:r>
                              <w:rPr>
                                <w:rFonts w:ascii="Calibri"/>
                                <w:color w:val="585858"/>
                                <w:spacing w:val="-4"/>
                                <w:sz w:val="18"/>
                              </w:rPr>
                              <w:t>2015</w:t>
                            </w:r>
                          </w:p>
                          <w:p>
                            <w:pPr>
                              <w:spacing w:before="18"/>
                              <w:ind w:left="20" w:right="0" w:firstLine="0"/>
                              <w:jc w:val="left"/>
                              <w:rPr>
                                <w:rFonts w:ascii="Calibri"/>
                                <w:sz w:val="18"/>
                              </w:rPr>
                            </w:pPr>
                            <w:r>
                              <w:rPr>
                                <w:rFonts w:ascii="Calibri"/>
                                <w:color w:val="585858"/>
                                <w:spacing w:val="-4"/>
                                <w:sz w:val="18"/>
                              </w:rPr>
                              <w:t>2016</w:t>
                            </w:r>
                          </w:p>
                          <w:p>
                            <w:pPr>
                              <w:spacing w:before="17"/>
                              <w:ind w:left="20" w:right="0" w:firstLine="0"/>
                              <w:jc w:val="left"/>
                              <w:rPr>
                                <w:rFonts w:ascii="Calibri"/>
                                <w:sz w:val="18"/>
                              </w:rPr>
                            </w:pPr>
                            <w:r>
                              <w:rPr>
                                <w:rFonts w:ascii="Calibri"/>
                                <w:color w:val="585858"/>
                                <w:spacing w:val="-4"/>
                                <w:sz w:val="18"/>
                              </w:rPr>
                              <w:t>2017</w:t>
                            </w:r>
                          </w:p>
                          <w:p>
                            <w:pPr>
                              <w:spacing w:before="17"/>
                              <w:ind w:left="20" w:right="0" w:firstLine="0"/>
                              <w:jc w:val="left"/>
                              <w:rPr>
                                <w:rFonts w:ascii="Calibri"/>
                                <w:sz w:val="18"/>
                              </w:rPr>
                            </w:pPr>
                            <w:r>
                              <w:rPr>
                                <w:rFonts w:ascii="Calibri"/>
                                <w:color w:val="585858"/>
                                <w:spacing w:val="-4"/>
                                <w:sz w:val="18"/>
                              </w:rPr>
                              <w:t>2018</w:t>
                            </w:r>
                          </w:p>
                          <w:p>
                            <w:pPr>
                              <w:spacing w:before="17"/>
                              <w:ind w:left="20" w:right="0" w:firstLine="0"/>
                              <w:jc w:val="left"/>
                              <w:rPr>
                                <w:rFonts w:ascii="Calibri"/>
                                <w:sz w:val="18"/>
                              </w:rPr>
                            </w:pPr>
                            <w:r>
                              <w:rPr>
                                <w:rFonts w:ascii="Calibri"/>
                                <w:color w:val="585858"/>
                                <w:spacing w:val="-4"/>
                                <w:sz w:val="18"/>
                              </w:rPr>
                              <w:t>2019</w:t>
                            </w:r>
                          </w:p>
                          <w:p>
                            <w:pPr>
                              <w:spacing w:before="17"/>
                              <w:ind w:left="20" w:right="0" w:firstLine="0"/>
                              <w:jc w:val="left"/>
                              <w:rPr>
                                <w:rFonts w:ascii="Calibri"/>
                                <w:sz w:val="18"/>
                              </w:rPr>
                            </w:pPr>
                            <w:r>
                              <w:rPr>
                                <w:rFonts w:ascii="Calibri"/>
                                <w:color w:val="585858"/>
                                <w:spacing w:val="-4"/>
                                <w:sz w:val="18"/>
                              </w:rPr>
                              <w:t>2020</w:t>
                            </w:r>
                          </w:p>
                          <w:p>
                            <w:pPr>
                              <w:spacing w:before="17"/>
                              <w:ind w:left="20" w:right="0" w:firstLine="0"/>
                              <w:jc w:val="left"/>
                              <w:rPr>
                                <w:rFonts w:ascii="Calibri"/>
                                <w:sz w:val="18"/>
                              </w:rPr>
                            </w:pPr>
                            <w:r>
                              <w:rPr>
                                <w:rFonts w:ascii="Calibri"/>
                                <w:color w:val="585858"/>
                                <w:spacing w:val="-4"/>
                                <w:sz w:val="18"/>
                              </w:rPr>
                              <w:t>2021</w:t>
                            </w:r>
                          </w:p>
                          <w:p>
                            <w:pPr>
                              <w:spacing w:before="18"/>
                              <w:ind w:left="20" w:right="0" w:firstLine="0"/>
                              <w:jc w:val="left"/>
                              <w:rPr>
                                <w:rFonts w:ascii="Calibri"/>
                                <w:sz w:val="18"/>
                              </w:rPr>
                            </w:pPr>
                            <w:r>
                              <w:rPr>
                                <w:rFonts w:ascii="Calibri"/>
                                <w:color w:val="585858"/>
                                <w:spacing w:val="-4"/>
                                <w:sz w:val="18"/>
                              </w:rPr>
                              <w:t>2022</w:t>
                            </w:r>
                          </w:p>
                          <w:p>
                            <w:pPr>
                              <w:spacing w:before="16"/>
                              <w:ind w:left="20" w:right="0" w:firstLine="0"/>
                              <w:jc w:val="left"/>
                              <w:rPr>
                                <w:rFonts w:ascii="Calibri"/>
                                <w:sz w:val="18"/>
                              </w:rPr>
                            </w:pPr>
                            <w:r>
                              <w:rPr>
                                <w:rFonts w:ascii="Calibri"/>
                                <w:color w:val="585858"/>
                                <w:spacing w:val="-4"/>
                                <w:sz w:val="18"/>
                              </w:rPr>
                              <w:t>2023</w:t>
                            </w:r>
                          </w:p>
                          <w:p>
                            <w:pPr>
                              <w:spacing w:before="18"/>
                              <w:ind w:left="20" w:right="0" w:firstLine="0"/>
                              <w:jc w:val="left"/>
                              <w:rPr>
                                <w:rFonts w:ascii="Calibri"/>
                                <w:sz w:val="18"/>
                              </w:rPr>
                            </w:pPr>
                            <w:r>
                              <w:rPr>
                                <w:rFonts w:ascii="Calibri"/>
                                <w:color w:val="585858"/>
                                <w:spacing w:val="-4"/>
                                <w:sz w:val="18"/>
                              </w:rPr>
                              <w:t>2024</w:t>
                            </w:r>
                          </w:p>
                        </w:txbxContent>
                      </wps:txbx>
                      <wps:bodyPr wrap="square" lIns="0" tIns="0" rIns="0" bIns="0" rtlCol="0" vert="vert270">
                        <a:noAutofit/>
                      </wps:bodyPr>
                    </wps:wsp>
                  </a:graphicData>
                </a:graphic>
              </wp:anchor>
            </w:drawing>
          </mc:Choice>
          <mc:Fallback>
            <w:pict>
              <v:shape style="position:absolute;margin-left:176.520004pt;margin-top:-60.717773pt;width:236.05pt;height:20.25pt;mso-position-horizontal-relative:page;mso-position-vertical-relative:paragraph;z-index:15731200" type="#_x0000_t202" id="docshape57"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color w:val="585858"/>
                          <w:spacing w:val="-4"/>
                          <w:sz w:val="18"/>
                        </w:rPr>
                        <w:t>2005</w:t>
                      </w:r>
                    </w:p>
                    <w:p>
                      <w:pPr>
                        <w:spacing w:before="17"/>
                        <w:ind w:left="20" w:right="0" w:firstLine="0"/>
                        <w:jc w:val="left"/>
                        <w:rPr>
                          <w:rFonts w:ascii="Calibri"/>
                          <w:sz w:val="18"/>
                        </w:rPr>
                      </w:pPr>
                      <w:r>
                        <w:rPr>
                          <w:rFonts w:ascii="Calibri"/>
                          <w:color w:val="585858"/>
                          <w:spacing w:val="-4"/>
                          <w:sz w:val="18"/>
                        </w:rPr>
                        <w:t>2006</w:t>
                      </w:r>
                    </w:p>
                    <w:p>
                      <w:pPr>
                        <w:spacing w:before="17"/>
                        <w:ind w:left="20" w:right="0" w:firstLine="0"/>
                        <w:jc w:val="left"/>
                        <w:rPr>
                          <w:rFonts w:ascii="Calibri"/>
                          <w:sz w:val="18"/>
                        </w:rPr>
                      </w:pPr>
                      <w:r>
                        <w:rPr>
                          <w:rFonts w:ascii="Calibri"/>
                          <w:color w:val="585858"/>
                          <w:spacing w:val="-4"/>
                          <w:sz w:val="18"/>
                        </w:rPr>
                        <w:t>2007</w:t>
                      </w:r>
                    </w:p>
                    <w:p>
                      <w:pPr>
                        <w:spacing w:before="18"/>
                        <w:ind w:left="20" w:right="0" w:firstLine="0"/>
                        <w:jc w:val="left"/>
                        <w:rPr>
                          <w:rFonts w:ascii="Calibri"/>
                          <w:sz w:val="18"/>
                        </w:rPr>
                      </w:pPr>
                      <w:r>
                        <w:rPr>
                          <w:rFonts w:ascii="Calibri"/>
                          <w:color w:val="585858"/>
                          <w:spacing w:val="-4"/>
                          <w:sz w:val="18"/>
                        </w:rPr>
                        <w:t>2008</w:t>
                      </w:r>
                    </w:p>
                    <w:p>
                      <w:pPr>
                        <w:spacing w:before="16"/>
                        <w:ind w:left="20" w:right="0" w:firstLine="0"/>
                        <w:jc w:val="left"/>
                        <w:rPr>
                          <w:rFonts w:ascii="Calibri"/>
                          <w:sz w:val="18"/>
                        </w:rPr>
                      </w:pPr>
                      <w:r>
                        <w:rPr>
                          <w:rFonts w:ascii="Calibri"/>
                          <w:color w:val="585858"/>
                          <w:spacing w:val="-4"/>
                          <w:sz w:val="18"/>
                        </w:rPr>
                        <w:t>2009</w:t>
                      </w:r>
                    </w:p>
                    <w:p>
                      <w:pPr>
                        <w:spacing w:before="18"/>
                        <w:ind w:left="20" w:right="0" w:firstLine="0"/>
                        <w:jc w:val="left"/>
                        <w:rPr>
                          <w:rFonts w:ascii="Calibri"/>
                          <w:sz w:val="18"/>
                        </w:rPr>
                      </w:pPr>
                      <w:r>
                        <w:rPr>
                          <w:rFonts w:ascii="Calibri"/>
                          <w:color w:val="585858"/>
                          <w:spacing w:val="-4"/>
                          <w:sz w:val="18"/>
                        </w:rPr>
                        <w:t>2010</w:t>
                      </w:r>
                    </w:p>
                    <w:p>
                      <w:pPr>
                        <w:spacing w:before="17"/>
                        <w:ind w:left="20" w:right="0" w:firstLine="0"/>
                        <w:jc w:val="left"/>
                        <w:rPr>
                          <w:rFonts w:ascii="Calibri"/>
                          <w:sz w:val="18"/>
                        </w:rPr>
                      </w:pPr>
                      <w:r>
                        <w:rPr>
                          <w:rFonts w:ascii="Calibri"/>
                          <w:color w:val="585858"/>
                          <w:spacing w:val="-4"/>
                          <w:sz w:val="18"/>
                        </w:rPr>
                        <w:t>2011</w:t>
                      </w:r>
                    </w:p>
                    <w:p>
                      <w:pPr>
                        <w:spacing w:before="17"/>
                        <w:ind w:left="20" w:right="0" w:firstLine="0"/>
                        <w:jc w:val="left"/>
                        <w:rPr>
                          <w:rFonts w:ascii="Calibri"/>
                          <w:sz w:val="18"/>
                        </w:rPr>
                      </w:pPr>
                      <w:r>
                        <w:rPr>
                          <w:rFonts w:ascii="Calibri"/>
                          <w:color w:val="585858"/>
                          <w:spacing w:val="-4"/>
                          <w:sz w:val="18"/>
                        </w:rPr>
                        <w:t>2012</w:t>
                      </w:r>
                    </w:p>
                    <w:p>
                      <w:pPr>
                        <w:spacing w:before="17"/>
                        <w:ind w:left="20" w:right="0" w:firstLine="0"/>
                        <w:jc w:val="left"/>
                        <w:rPr>
                          <w:rFonts w:ascii="Calibri"/>
                          <w:sz w:val="18"/>
                        </w:rPr>
                      </w:pPr>
                      <w:r>
                        <w:rPr>
                          <w:rFonts w:ascii="Calibri"/>
                          <w:color w:val="585858"/>
                          <w:spacing w:val="-4"/>
                          <w:sz w:val="18"/>
                        </w:rPr>
                        <w:t>2013</w:t>
                      </w:r>
                    </w:p>
                    <w:p>
                      <w:pPr>
                        <w:spacing w:before="17"/>
                        <w:ind w:left="20" w:right="0" w:firstLine="0"/>
                        <w:jc w:val="left"/>
                        <w:rPr>
                          <w:rFonts w:ascii="Calibri"/>
                          <w:sz w:val="18"/>
                        </w:rPr>
                      </w:pPr>
                      <w:r>
                        <w:rPr>
                          <w:rFonts w:ascii="Calibri"/>
                          <w:color w:val="585858"/>
                          <w:spacing w:val="-4"/>
                          <w:sz w:val="18"/>
                        </w:rPr>
                        <w:t>2014</w:t>
                      </w:r>
                    </w:p>
                    <w:p>
                      <w:pPr>
                        <w:spacing w:before="17"/>
                        <w:ind w:left="20" w:right="0" w:firstLine="0"/>
                        <w:jc w:val="left"/>
                        <w:rPr>
                          <w:rFonts w:ascii="Calibri"/>
                          <w:sz w:val="18"/>
                        </w:rPr>
                      </w:pPr>
                      <w:r>
                        <w:rPr>
                          <w:rFonts w:ascii="Calibri"/>
                          <w:color w:val="585858"/>
                          <w:spacing w:val="-4"/>
                          <w:sz w:val="18"/>
                        </w:rPr>
                        <w:t>2015</w:t>
                      </w:r>
                    </w:p>
                    <w:p>
                      <w:pPr>
                        <w:spacing w:before="18"/>
                        <w:ind w:left="20" w:right="0" w:firstLine="0"/>
                        <w:jc w:val="left"/>
                        <w:rPr>
                          <w:rFonts w:ascii="Calibri"/>
                          <w:sz w:val="18"/>
                        </w:rPr>
                      </w:pPr>
                      <w:r>
                        <w:rPr>
                          <w:rFonts w:ascii="Calibri"/>
                          <w:color w:val="585858"/>
                          <w:spacing w:val="-4"/>
                          <w:sz w:val="18"/>
                        </w:rPr>
                        <w:t>2016</w:t>
                      </w:r>
                    </w:p>
                    <w:p>
                      <w:pPr>
                        <w:spacing w:before="17"/>
                        <w:ind w:left="20" w:right="0" w:firstLine="0"/>
                        <w:jc w:val="left"/>
                        <w:rPr>
                          <w:rFonts w:ascii="Calibri"/>
                          <w:sz w:val="18"/>
                        </w:rPr>
                      </w:pPr>
                      <w:r>
                        <w:rPr>
                          <w:rFonts w:ascii="Calibri"/>
                          <w:color w:val="585858"/>
                          <w:spacing w:val="-4"/>
                          <w:sz w:val="18"/>
                        </w:rPr>
                        <w:t>2017</w:t>
                      </w:r>
                    </w:p>
                    <w:p>
                      <w:pPr>
                        <w:spacing w:before="17"/>
                        <w:ind w:left="20" w:right="0" w:firstLine="0"/>
                        <w:jc w:val="left"/>
                        <w:rPr>
                          <w:rFonts w:ascii="Calibri"/>
                          <w:sz w:val="18"/>
                        </w:rPr>
                      </w:pPr>
                      <w:r>
                        <w:rPr>
                          <w:rFonts w:ascii="Calibri"/>
                          <w:color w:val="585858"/>
                          <w:spacing w:val="-4"/>
                          <w:sz w:val="18"/>
                        </w:rPr>
                        <w:t>2018</w:t>
                      </w:r>
                    </w:p>
                    <w:p>
                      <w:pPr>
                        <w:spacing w:before="17"/>
                        <w:ind w:left="20" w:right="0" w:firstLine="0"/>
                        <w:jc w:val="left"/>
                        <w:rPr>
                          <w:rFonts w:ascii="Calibri"/>
                          <w:sz w:val="18"/>
                        </w:rPr>
                      </w:pPr>
                      <w:r>
                        <w:rPr>
                          <w:rFonts w:ascii="Calibri"/>
                          <w:color w:val="585858"/>
                          <w:spacing w:val="-4"/>
                          <w:sz w:val="18"/>
                        </w:rPr>
                        <w:t>2019</w:t>
                      </w:r>
                    </w:p>
                    <w:p>
                      <w:pPr>
                        <w:spacing w:before="17"/>
                        <w:ind w:left="20" w:right="0" w:firstLine="0"/>
                        <w:jc w:val="left"/>
                        <w:rPr>
                          <w:rFonts w:ascii="Calibri"/>
                          <w:sz w:val="18"/>
                        </w:rPr>
                      </w:pPr>
                      <w:r>
                        <w:rPr>
                          <w:rFonts w:ascii="Calibri"/>
                          <w:color w:val="585858"/>
                          <w:spacing w:val="-4"/>
                          <w:sz w:val="18"/>
                        </w:rPr>
                        <w:t>2020</w:t>
                      </w:r>
                    </w:p>
                    <w:p>
                      <w:pPr>
                        <w:spacing w:before="17"/>
                        <w:ind w:left="20" w:right="0" w:firstLine="0"/>
                        <w:jc w:val="left"/>
                        <w:rPr>
                          <w:rFonts w:ascii="Calibri"/>
                          <w:sz w:val="18"/>
                        </w:rPr>
                      </w:pPr>
                      <w:r>
                        <w:rPr>
                          <w:rFonts w:ascii="Calibri"/>
                          <w:color w:val="585858"/>
                          <w:spacing w:val="-4"/>
                          <w:sz w:val="18"/>
                        </w:rPr>
                        <w:t>2021</w:t>
                      </w:r>
                    </w:p>
                    <w:p>
                      <w:pPr>
                        <w:spacing w:before="18"/>
                        <w:ind w:left="20" w:right="0" w:firstLine="0"/>
                        <w:jc w:val="left"/>
                        <w:rPr>
                          <w:rFonts w:ascii="Calibri"/>
                          <w:sz w:val="18"/>
                        </w:rPr>
                      </w:pPr>
                      <w:r>
                        <w:rPr>
                          <w:rFonts w:ascii="Calibri"/>
                          <w:color w:val="585858"/>
                          <w:spacing w:val="-4"/>
                          <w:sz w:val="18"/>
                        </w:rPr>
                        <w:t>2022</w:t>
                      </w:r>
                    </w:p>
                    <w:p>
                      <w:pPr>
                        <w:spacing w:before="16"/>
                        <w:ind w:left="20" w:right="0" w:firstLine="0"/>
                        <w:jc w:val="left"/>
                        <w:rPr>
                          <w:rFonts w:ascii="Calibri"/>
                          <w:sz w:val="18"/>
                        </w:rPr>
                      </w:pPr>
                      <w:r>
                        <w:rPr>
                          <w:rFonts w:ascii="Calibri"/>
                          <w:color w:val="585858"/>
                          <w:spacing w:val="-4"/>
                          <w:sz w:val="18"/>
                        </w:rPr>
                        <w:t>2023</w:t>
                      </w:r>
                    </w:p>
                    <w:p>
                      <w:pPr>
                        <w:spacing w:before="18"/>
                        <w:ind w:left="20" w:right="0" w:firstLine="0"/>
                        <w:jc w:val="left"/>
                        <w:rPr>
                          <w:rFonts w:ascii="Calibri"/>
                          <w:sz w:val="18"/>
                        </w:rPr>
                      </w:pPr>
                      <w:r>
                        <w:rPr>
                          <w:rFonts w:ascii="Calibri"/>
                          <w:color w:val="585858"/>
                          <w:spacing w:val="-4"/>
                          <w:sz w:val="18"/>
                        </w:rPr>
                        <w:t>2024</w:t>
                      </w:r>
                    </w:p>
                  </w:txbxContent>
                </v:textbox>
                <w10:wrap type="none"/>
              </v:shape>
            </w:pict>
          </mc:Fallback>
        </mc:AlternateContent>
      </w:r>
      <w:r>
        <w:rPr>
          <w:i/>
          <w:color w:val="44536A"/>
          <w:sz w:val="18"/>
        </w:rPr>
        <w:t>Figure</w:t>
      </w:r>
      <w:r>
        <w:rPr>
          <w:i/>
          <w:color w:val="44536A"/>
          <w:spacing w:val="-4"/>
          <w:sz w:val="18"/>
        </w:rPr>
        <w:t> </w:t>
      </w:r>
      <w:r>
        <w:rPr>
          <w:i/>
          <w:color w:val="44536A"/>
          <w:sz w:val="18"/>
        </w:rPr>
        <w:t>2:</w:t>
      </w:r>
      <w:r>
        <w:rPr>
          <w:i/>
          <w:color w:val="44536A"/>
          <w:spacing w:val="-7"/>
          <w:sz w:val="18"/>
        </w:rPr>
        <w:t> </w:t>
      </w:r>
      <w:r>
        <w:rPr>
          <w:i/>
          <w:color w:val="44536A"/>
          <w:sz w:val="18"/>
        </w:rPr>
        <w:t>Annual</w:t>
      </w:r>
      <w:r>
        <w:rPr>
          <w:i/>
          <w:color w:val="44536A"/>
          <w:spacing w:val="-4"/>
          <w:sz w:val="18"/>
        </w:rPr>
        <w:t> </w:t>
      </w:r>
      <w:r>
        <w:rPr>
          <w:i/>
          <w:color w:val="44536A"/>
          <w:sz w:val="18"/>
        </w:rPr>
        <w:t>Deal</w:t>
      </w:r>
      <w:r>
        <w:rPr>
          <w:i/>
          <w:color w:val="44536A"/>
          <w:spacing w:val="-1"/>
          <w:sz w:val="18"/>
        </w:rPr>
        <w:t> </w:t>
      </w:r>
      <w:r>
        <w:rPr>
          <w:i/>
          <w:color w:val="44536A"/>
          <w:spacing w:val="-4"/>
          <w:sz w:val="18"/>
        </w:rPr>
        <w:t>value</w:t>
      </w:r>
    </w:p>
    <w:p>
      <w:pPr>
        <w:pStyle w:val="BodyText"/>
        <w:spacing w:line="360" w:lineRule="auto" w:before="198"/>
        <w:ind w:left="23" w:right="19"/>
        <w:jc w:val="both"/>
      </w:pPr>
      <w:r>
        <w:rPr/>
        <w:t>Sectorally,</w:t>
      </w:r>
      <w:r>
        <w:rPr>
          <w:spacing w:val="-11"/>
        </w:rPr>
        <w:t> </w:t>
      </w:r>
      <w:r>
        <w:rPr/>
        <w:t>it</w:t>
      </w:r>
      <w:r>
        <w:rPr>
          <w:spacing w:val="-13"/>
        </w:rPr>
        <w:t> </w:t>
      </w:r>
      <w:r>
        <w:rPr/>
        <w:t>is</w:t>
      </w:r>
      <w:r>
        <w:rPr>
          <w:spacing w:val="-15"/>
        </w:rPr>
        <w:t> </w:t>
      </w:r>
      <w:r>
        <w:rPr/>
        <w:t>Technology</w:t>
      </w:r>
      <w:r>
        <w:rPr>
          <w:spacing w:val="-11"/>
        </w:rPr>
        <w:t> </w:t>
      </w:r>
      <w:r>
        <w:rPr/>
        <w:t>(USD</w:t>
      </w:r>
      <w:r>
        <w:rPr>
          <w:spacing w:val="-12"/>
        </w:rPr>
        <w:t> </w:t>
      </w:r>
      <w:r>
        <w:rPr/>
        <w:t>66.9</w:t>
      </w:r>
      <w:r>
        <w:rPr>
          <w:spacing w:val="-11"/>
        </w:rPr>
        <w:t> </w:t>
      </w:r>
      <w:r>
        <w:rPr/>
        <w:t>billion),</w:t>
      </w:r>
      <w:r>
        <w:rPr>
          <w:spacing w:val="-12"/>
        </w:rPr>
        <w:t> </w:t>
      </w:r>
      <w:r>
        <w:rPr/>
        <w:t>followed</w:t>
      </w:r>
      <w:r>
        <w:rPr>
          <w:spacing w:val="-11"/>
        </w:rPr>
        <w:t> </w:t>
      </w:r>
      <w:r>
        <w:rPr/>
        <w:t>by</w:t>
      </w:r>
      <w:r>
        <w:rPr>
          <w:spacing w:val="-11"/>
        </w:rPr>
        <w:t> </w:t>
      </w:r>
      <w:r>
        <w:rPr/>
        <w:t>Consumer</w:t>
      </w:r>
      <w:r>
        <w:rPr>
          <w:spacing w:val="-12"/>
        </w:rPr>
        <w:t> </w:t>
      </w:r>
      <w:r>
        <w:rPr/>
        <w:t>Cyclicals</w:t>
      </w:r>
      <w:r>
        <w:rPr>
          <w:spacing w:val="-11"/>
        </w:rPr>
        <w:t> </w:t>
      </w:r>
      <w:r>
        <w:rPr/>
        <w:t>(USD</w:t>
      </w:r>
      <w:r>
        <w:rPr>
          <w:spacing w:val="-12"/>
        </w:rPr>
        <w:t> </w:t>
      </w:r>
      <w:r>
        <w:rPr/>
        <w:t>27.0B) and Financials (USD 20.0B). In terms of stages, Expansion rounds (3,054 deals) and Acquisition</w:t>
      </w:r>
      <w:r>
        <w:rPr>
          <w:spacing w:val="8"/>
        </w:rPr>
        <w:t> </w:t>
      </w:r>
      <w:r>
        <w:rPr/>
        <w:t>rounds</w:t>
      </w:r>
      <w:r>
        <w:rPr>
          <w:spacing w:val="9"/>
        </w:rPr>
        <w:t> </w:t>
      </w:r>
      <w:r>
        <w:rPr/>
        <w:t>(1,003</w:t>
      </w:r>
      <w:r>
        <w:rPr>
          <w:spacing w:val="8"/>
        </w:rPr>
        <w:t> </w:t>
      </w:r>
      <w:r>
        <w:rPr/>
        <w:t>deals)</w:t>
      </w:r>
      <w:r>
        <w:rPr>
          <w:spacing w:val="9"/>
        </w:rPr>
        <w:t> </w:t>
      </w:r>
      <w:r>
        <w:rPr/>
        <w:t>of</w:t>
      </w:r>
      <w:r>
        <w:rPr>
          <w:spacing w:val="7"/>
        </w:rPr>
        <w:t> </w:t>
      </w:r>
      <w:r>
        <w:rPr/>
        <w:t>activity</w:t>
      </w:r>
      <w:r>
        <w:rPr>
          <w:spacing w:val="9"/>
        </w:rPr>
        <w:t> </w:t>
      </w:r>
      <w:r>
        <w:rPr/>
        <w:t>take</w:t>
      </w:r>
      <w:r>
        <w:rPr>
          <w:spacing w:val="6"/>
        </w:rPr>
        <w:t> </w:t>
      </w:r>
      <w:r>
        <w:rPr/>
        <w:t>the</w:t>
      </w:r>
      <w:r>
        <w:rPr>
          <w:spacing w:val="8"/>
        </w:rPr>
        <w:t> </w:t>
      </w:r>
      <w:r>
        <w:rPr/>
        <w:t>upper</w:t>
      </w:r>
      <w:r>
        <w:rPr>
          <w:spacing w:val="9"/>
        </w:rPr>
        <w:t> </w:t>
      </w:r>
      <w:r>
        <w:rPr/>
        <w:t>hand,</w:t>
      </w:r>
      <w:r>
        <w:rPr>
          <w:spacing w:val="9"/>
        </w:rPr>
        <w:t> </w:t>
      </w:r>
      <w:r>
        <w:rPr/>
        <w:t>reflecting</w:t>
      </w:r>
      <w:r>
        <w:rPr>
          <w:spacing w:val="8"/>
        </w:rPr>
        <w:t> </w:t>
      </w:r>
      <w:r>
        <w:rPr/>
        <w:t>growing</w:t>
      </w:r>
      <w:r>
        <w:rPr>
          <w:spacing w:val="9"/>
        </w:rPr>
        <w:t> </w:t>
      </w:r>
      <w:r>
        <w:rPr>
          <w:spacing w:val="-2"/>
        </w:rPr>
        <w:t>maturity</w:t>
      </w:r>
    </w:p>
    <w:p>
      <w:pPr>
        <w:pStyle w:val="BodyText"/>
        <w:spacing w:after="0" w:line="360" w:lineRule="auto"/>
        <w:jc w:val="both"/>
        <w:sectPr>
          <w:pgSz w:w="11910" w:h="16840"/>
          <w:pgMar w:header="0" w:footer="1009" w:top="1420" w:bottom="1200" w:left="1417" w:right="1417"/>
        </w:sectPr>
      </w:pPr>
    </w:p>
    <w:p>
      <w:pPr>
        <w:pStyle w:val="BodyText"/>
        <w:spacing w:line="360" w:lineRule="auto" w:before="61"/>
        <w:ind w:left="23" w:right="26"/>
        <w:jc w:val="both"/>
      </w:pPr>
      <w:r>
        <w:rPr/>
        <w:t>of investee companies. Overall, the dataset represents a market undergoing a transformation from capital supply in early stages to structured growth and control-oriented investments.</w:t>
      </w:r>
    </w:p>
    <w:p>
      <w:pPr>
        <w:pStyle w:val="Heading3"/>
        <w:numPr>
          <w:ilvl w:val="2"/>
          <w:numId w:val="5"/>
        </w:numPr>
        <w:tabs>
          <w:tab w:pos="563" w:val="left" w:leader="none"/>
        </w:tabs>
        <w:spacing w:line="240" w:lineRule="auto" w:before="161" w:after="0"/>
        <w:ind w:left="563" w:right="0" w:hanging="540"/>
        <w:jc w:val="both"/>
      </w:pPr>
      <w:bookmarkStart w:name="_bookmark41" w:id="42"/>
      <w:bookmarkEnd w:id="42"/>
      <w:r>
        <w:rPr>
          <w:b w:val="0"/>
        </w:rPr>
      </w:r>
      <w:r>
        <w:rPr/>
        <w:t>Exit</w:t>
      </w:r>
      <w:r>
        <w:rPr>
          <w:spacing w:val="-2"/>
        </w:rPr>
        <w:t> </w:t>
      </w:r>
      <w:r>
        <w:rPr/>
        <w:t>Dataset</w:t>
      </w:r>
      <w:r>
        <w:rPr>
          <w:spacing w:val="-1"/>
        </w:rPr>
        <w:t> </w:t>
      </w:r>
      <w:r>
        <w:rPr>
          <w:spacing w:val="-2"/>
        </w:rPr>
        <w:t>Summary</w:t>
      </w:r>
    </w:p>
    <w:p>
      <w:pPr>
        <w:pStyle w:val="BodyText"/>
        <w:spacing w:before="9"/>
        <w:rPr>
          <w:b/>
          <w:sz w:val="16"/>
        </w:rPr>
      </w:pPr>
      <w:r>
        <w:rPr>
          <w:b/>
          <w:sz w:val="16"/>
        </w:rPr>
        <w:drawing>
          <wp:anchor distT="0" distB="0" distL="0" distR="0" allowOverlap="1" layoutInCell="1" locked="0" behindDoc="1" simplePos="0" relativeHeight="487590912">
            <wp:simplePos x="0" y="0"/>
            <wp:positionH relativeFrom="page">
              <wp:posOffset>1694179</wp:posOffset>
            </wp:positionH>
            <wp:positionV relativeFrom="paragraph">
              <wp:posOffset>138235</wp:posOffset>
            </wp:positionV>
            <wp:extent cx="4140709" cy="2803398"/>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14" cstate="print"/>
                    <a:stretch>
                      <a:fillRect/>
                    </a:stretch>
                  </pic:blipFill>
                  <pic:spPr>
                    <a:xfrm>
                      <a:off x="0" y="0"/>
                      <a:ext cx="4140709" cy="2803398"/>
                    </a:xfrm>
                    <a:prstGeom prst="rect">
                      <a:avLst/>
                    </a:prstGeom>
                  </pic:spPr>
                </pic:pic>
              </a:graphicData>
            </a:graphic>
          </wp:anchor>
        </w:drawing>
      </w:r>
    </w:p>
    <w:p>
      <w:pPr>
        <w:pStyle w:val="BodyText"/>
        <w:spacing w:before="56"/>
        <w:rPr>
          <w:b/>
        </w:rPr>
      </w:pPr>
    </w:p>
    <w:p>
      <w:pPr>
        <w:spacing w:before="0"/>
        <w:ind w:left="2" w:right="1" w:firstLine="0"/>
        <w:jc w:val="center"/>
        <w:rPr>
          <w:i/>
          <w:sz w:val="18"/>
        </w:rPr>
      </w:pPr>
      <w:r>
        <w:rPr>
          <w:i/>
          <w:color w:val="44536A"/>
          <w:sz w:val="18"/>
        </w:rPr>
        <w:t>Figure</w:t>
      </w:r>
      <w:r>
        <w:rPr>
          <w:i/>
          <w:color w:val="44536A"/>
          <w:spacing w:val="-4"/>
          <w:sz w:val="18"/>
        </w:rPr>
        <w:t> </w:t>
      </w:r>
      <w:r>
        <w:rPr>
          <w:i/>
          <w:color w:val="44536A"/>
          <w:sz w:val="18"/>
        </w:rPr>
        <w:t>3:</w:t>
      </w:r>
      <w:r>
        <w:rPr>
          <w:i/>
          <w:color w:val="44536A"/>
          <w:spacing w:val="-4"/>
          <w:sz w:val="18"/>
        </w:rPr>
        <w:t> </w:t>
      </w:r>
      <w:r>
        <w:rPr>
          <w:i/>
          <w:color w:val="44536A"/>
          <w:sz w:val="18"/>
        </w:rPr>
        <w:t>Exit</w:t>
      </w:r>
      <w:r>
        <w:rPr>
          <w:i/>
          <w:color w:val="44536A"/>
          <w:spacing w:val="-2"/>
          <w:sz w:val="18"/>
        </w:rPr>
        <w:t> </w:t>
      </w:r>
      <w:r>
        <w:rPr>
          <w:i/>
          <w:color w:val="44536A"/>
          <w:sz w:val="18"/>
        </w:rPr>
        <w:t>Data</w:t>
      </w:r>
      <w:r>
        <w:rPr>
          <w:i/>
          <w:color w:val="44536A"/>
          <w:spacing w:val="-1"/>
          <w:sz w:val="18"/>
        </w:rPr>
        <w:t> </w:t>
      </w:r>
      <w:r>
        <w:rPr>
          <w:i/>
          <w:color w:val="44536A"/>
          <w:sz w:val="18"/>
        </w:rPr>
        <w:t>set</w:t>
      </w:r>
      <w:r>
        <w:rPr>
          <w:i/>
          <w:color w:val="44536A"/>
          <w:spacing w:val="-1"/>
          <w:sz w:val="18"/>
        </w:rPr>
        <w:t> </w:t>
      </w:r>
      <w:r>
        <w:rPr>
          <w:i/>
          <w:color w:val="44536A"/>
          <w:spacing w:val="-4"/>
          <w:sz w:val="18"/>
        </w:rPr>
        <w:t>View</w:t>
      </w:r>
    </w:p>
    <w:p>
      <w:pPr>
        <w:pStyle w:val="BodyText"/>
        <w:spacing w:line="360" w:lineRule="auto" w:before="198"/>
        <w:ind w:left="23" w:right="20"/>
        <w:jc w:val="both"/>
      </w:pPr>
      <w:r>
        <w:rPr/>
        <w:t>The</w:t>
      </w:r>
      <w:r>
        <w:rPr>
          <w:spacing w:val="-13"/>
        </w:rPr>
        <w:t> </w:t>
      </w:r>
      <w:r>
        <w:rPr/>
        <w:t>exit</w:t>
      </w:r>
      <w:r>
        <w:rPr>
          <w:spacing w:val="-11"/>
        </w:rPr>
        <w:t> </w:t>
      </w:r>
      <w:r>
        <w:rPr/>
        <w:t>dataset</w:t>
      </w:r>
      <w:r>
        <w:rPr>
          <w:spacing w:val="-12"/>
        </w:rPr>
        <w:t> </w:t>
      </w:r>
      <w:r>
        <w:rPr/>
        <w:t>includes</w:t>
      </w:r>
      <w:r>
        <w:rPr>
          <w:spacing w:val="-7"/>
        </w:rPr>
        <w:t> </w:t>
      </w:r>
      <w:r>
        <w:rPr/>
        <w:t>715</w:t>
      </w:r>
      <w:r>
        <w:rPr>
          <w:spacing w:val="-12"/>
        </w:rPr>
        <w:t> </w:t>
      </w:r>
      <w:r>
        <w:rPr/>
        <w:t>PE</w:t>
      </w:r>
      <w:r>
        <w:rPr>
          <w:spacing w:val="-12"/>
        </w:rPr>
        <w:t> </w:t>
      </w:r>
      <w:r>
        <w:rPr/>
        <w:t>exits</w:t>
      </w:r>
      <w:r>
        <w:rPr>
          <w:spacing w:val="-12"/>
        </w:rPr>
        <w:t> </w:t>
      </w:r>
      <w:r>
        <w:rPr/>
        <w:t>between</w:t>
      </w:r>
      <w:r>
        <w:rPr>
          <w:spacing w:val="-12"/>
        </w:rPr>
        <w:t> </w:t>
      </w:r>
      <w:r>
        <w:rPr/>
        <w:t>2005</w:t>
      </w:r>
      <w:r>
        <w:rPr>
          <w:spacing w:val="-12"/>
        </w:rPr>
        <w:t> </w:t>
      </w:r>
      <w:r>
        <w:rPr/>
        <w:t>and</w:t>
      </w:r>
      <w:r>
        <w:rPr>
          <w:spacing w:val="-12"/>
        </w:rPr>
        <w:t> </w:t>
      </w:r>
      <w:r>
        <w:rPr/>
        <w:t>2024,</w:t>
      </w:r>
      <w:r>
        <w:rPr>
          <w:spacing w:val="-10"/>
        </w:rPr>
        <w:t> </w:t>
      </w:r>
      <w:r>
        <w:rPr/>
        <w:t>which</w:t>
      </w:r>
      <w:r>
        <w:rPr>
          <w:spacing w:val="-12"/>
        </w:rPr>
        <w:t> </w:t>
      </w:r>
      <w:r>
        <w:rPr/>
        <w:t>gives</w:t>
      </w:r>
      <w:r>
        <w:rPr>
          <w:spacing w:val="-10"/>
        </w:rPr>
        <w:t> </w:t>
      </w:r>
      <w:r>
        <w:rPr/>
        <w:t>insight</w:t>
      </w:r>
      <w:r>
        <w:rPr>
          <w:spacing w:val="-12"/>
        </w:rPr>
        <w:t> </w:t>
      </w:r>
      <w:r>
        <w:rPr/>
        <w:t>on</w:t>
      </w:r>
      <w:r>
        <w:rPr>
          <w:spacing w:val="-12"/>
        </w:rPr>
        <w:t> </w:t>
      </w:r>
      <w:r>
        <w:rPr/>
        <w:t>liquidity pathways</w:t>
      </w:r>
      <w:r>
        <w:rPr>
          <w:spacing w:val="-16"/>
        </w:rPr>
        <w:t> </w:t>
      </w:r>
      <w:r>
        <w:rPr/>
        <w:t>in</w:t>
      </w:r>
      <w:r>
        <w:rPr>
          <w:spacing w:val="-11"/>
        </w:rPr>
        <w:t> </w:t>
      </w:r>
      <w:r>
        <w:rPr/>
        <w:t>India.</w:t>
      </w:r>
      <w:r>
        <w:rPr>
          <w:spacing w:val="-15"/>
        </w:rPr>
        <w:t> </w:t>
      </w:r>
      <w:r>
        <w:rPr/>
        <w:t>The</w:t>
      </w:r>
      <w:r>
        <w:rPr>
          <w:spacing w:val="-13"/>
        </w:rPr>
        <w:t> </w:t>
      </w:r>
      <w:r>
        <w:rPr/>
        <w:t>most</w:t>
      </w:r>
      <w:r>
        <w:rPr>
          <w:spacing w:val="-11"/>
        </w:rPr>
        <w:t> </w:t>
      </w:r>
      <w:r>
        <w:rPr/>
        <w:t>common</w:t>
      </w:r>
      <w:r>
        <w:rPr>
          <w:spacing w:val="-11"/>
        </w:rPr>
        <w:t> </w:t>
      </w:r>
      <w:r>
        <w:rPr/>
        <w:t>exit</w:t>
      </w:r>
      <w:r>
        <w:rPr>
          <w:spacing w:val="-13"/>
        </w:rPr>
        <w:t> </w:t>
      </w:r>
      <w:r>
        <w:rPr/>
        <w:t>mechanism</w:t>
      </w:r>
      <w:r>
        <w:rPr>
          <w:spacing w:val="-11"/>
        </w:rPr>
        <w:t> </w:t>
      </w:r>
      <w:r>
        <w:rPr/>
        <w:t>is</w:t>
      </w:r>
      <w:r>
        <w:rPr>
          <w:spacing w:val="-13"/>
        </w:rPr>
        <w:t> </w:t>
      </w:r>
      <w:r>
        <w:rPr/>
        <w:t>Mergers</w:t>
      </w:r>
      <w:r>
        <w:rPr>
          <w:spacing w:val="-13"/>
        </w:rPr>
        <w:t> </w:t>
      </w:r>
      <w:r>
        <w:rPr/>
        <w:t>(347</w:t>
      </w:r>
      <w:r>
        <w:rPr>
          <w:spacing w:val="-13"/>
        </w:rPr>
        <w:t> </w:t>
      </w:r>
      <w:r>
        <w:rPr/>
        <w:t>exits),</w:t>
      </w:r>
      <w:r>
        <w:rPr>
          <w:spacing w:val="-12"/>
        </w:rPr>
        <w:t> </w:t>
      </w:r>
      <w:r>
        <w:rPr/>
        <w:t>followed</w:t>
      </w:r>
      <w:r>
        <w:rPr>
          <w:spacing w:val="-12"/>
        </w:rPr>
        <w:t> </w:t>
      </w:r>
      <w:r>
        <w:rPr/>
        <w:t>by</w:t>
      </w:r>
      <w:r>
        <w:rPr>
          <w:spacing w:val="-13"/>
        </w:rPr>
        <w:t> </w:t>
      </w:r>
      <w:r>
        <w:rPr>
          <w:spacing w:val="-4"/>
        </w:rPr>
        <w:t>IPOs</w:t>
      </w:r>
    </w:p>
    <w:p>
      <w:pPr>
        <w:pStyle w:val="BodyText"/>
        <w:spacing w:line="360" w:lineRule="auto"/>
        <w:ind w:left="23" w:right="17"/>
        <w:jc w:val="both"/>
      </w:pPr>
      <w:r>
        <w:rPr/>
        <w:t>(273)</w:t>
      </w:r>
      <w:r>
        <w:rPr>
          <w:spacing w:val="-15"/>
        </w:rPr>
        <w:t> </w:t>
      </w:r>
      <w:r>
        <w:rPr/>
        <w:t>and</w:t>
      </w:r>
      <w:r>
        <w:rPr>
          <w:spacing w:val="-15"/>
        </w:rPr>
        <w:t> </w:t>
      </w:r>
      <w:r>
        <w:rPr/>
        <w:t>Secondary</w:t>
      </w:r>
      <w:r>
        <w:rPr>
          <w:spacing w:val="-15"/>
        </w:rPr>
        <w:t> </w:t>
      </w:r>
      <w:r>
        <w:rPr/>
        <w:t>Sales</w:t>
      </w:r>
      <w:r>
        <w:rPr>
          <w:spacing w:val="-14"/>
        </w:rPr>
        <w:t> </w:t>
      </w:r>
      <w:r>
        <w:rPr/>
        <w:t>(85).</w:t>
      </w:r>
      <w:r>
        <w:rPr>
          <w:spacing w:val="-15"/>
        </w:rPr>
        <w:t> </w:t>
      </w:r>
      <w:r>
        <w:rPr/>
        <w:t>Buybacks</w:t>
      </w:r>
      <w:r>
        <w:rPr>
          <w:spacing w:val="-12"/>
        </w:rPr>
        <w:t> </w:t>
      </w:r>
      <w:r>
        <w:rPr/>
        <w:t>(6)</w:t>
      </w:r>
      <w:r>
        <w:rPr>
          <w:spacing w:val="-14"/>
        </w:rPr>
        <w:t> </w:t>
      </w:r>
      <w:r>
        <w:rPr/>
        <w:t>and</w:t>
      </w:r>
      <w:r>
        <w:rPr>
          <w:spacing w:val="-13"/>
        </w:rPr>
        <w:t> </w:t>
      </w:r>
      <w:r>
        <w:rPr/>
        <w:t>Reverse</w:t>
      </w:r>
      <w:r>
        <w:rPr>
          <w:spacing w:val="-15"/>
        </w:rPr>
        <w:t> </w:t>
      </w:r>
      <w:r>
        <w:rPr/>
        <w:t>Takeovers</w:t>
      </w:r>
      <w:r>
        <w:rPr>
          <w:spacing w:val="-15"/>
        </w:rPr>
        <w:t> </w:t>
      </w:r>
      <w:r>
        <w:rPr/>
        <w:t>(4)</w:t>
      </w:r>
      <w:r>
        <w:rPr>
          <w:spacing w:val="-12"/>
        </w:rPr>
        <w:t> </w:t>
      </w:r>
      <w:r>
        <w:rPr/>
        <w:t>are</w:t>
      </w:r>
      <w:r>
        <w:rPr>
          <w:spacing w:val="-15"/>
        </w:rPr>
        <w:t> </w:t>
      </w:r>
      <w:r>
        <w:rPr/>
        <w:t>marginal</w:t>
      </w:r>
      <w:r>
        <w:rPr>
          <w:spacing w:val="-15"/>
        </w:rPr>
        <w:t> </w:t>
      </w:r>
      <w:r>
        <w:rPr/>
        <w:t>activity. Volatility in annual exit activity - peaks correlated to favourable macroeconomic cycles, including the 2021 surge (91 exits) due to public market momentum and post-pandemic </w:t>
      </w:r>
      <w:r>
        <w:rPr>
          <w:spacing w:val="-2"/>
        </w:rPr>
        <w:t>liquidity.</w:t>
      </w:r>
    </w:p>
    <w:p>
      <w:pPr>
        <w:pStyle w:val="BodyText"/>
        <w:spacing w:after="0" w:line="360" w:lineRule="auto"/>
        <w:jc w:val="both"/>
        <w:sectPr>
          <w:pgSz w:w="11910" w:h="16840"/>
          <w:pgMar w:header="0" w:footer="1009" w:top="1360" w:bottom="1200" w:left="1417" w:right="1417"/>
        </w:sectPr>
      </w:pPr>
    </w:p>
    <w:p>
      <w:pPr>
        <w:pStyle w:val="BodyText"/>
        <w:rPr>
          <w:sz w:val="18"/>
        </w:rPr>
      </w:pPr>
      <w:r>
        <w:rPr>
          <w:sz w:val="18"/>
        </w:rPr>
        <mc:AlternateContent>
          <mc:Choice Requires="wps">
            <w:drawing>
              <wp:anchor distT="0" distB="0" distL="0" distR="0" allowOverlap="1" layoutInCell="1" locked="0" behindDoc="0" simplePos="0" relativeHeight="15732736">
                <wp:simplePos x="0" y="0"/>
                <wp:positionH relativeFrom="page">
                  <wp:posOffset>1663064</wp:posOffset>
                </wp:positionH>
                <wp:positionV relativeFrom="page">
                  <wp:posOffset>1442296</wp:posOffset>
                </wp:positionV>
                <wp:extent cx="139700" cy="92773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39700" cy="927735"/>
                        </a:xfrm>
                        <a:prstGeom prst="rect">
                          <a:avLst/>
                        </a:prstGeom>
                      </wps:spPr>
                      <wps:txbx>
                        <w:txbxContent>
                          <w:p>
                            <w:pPr>
                              <w:spacing w:line="203" w:lineRule="exact" w:before="0"/>
                              <w:ind w:left="20" w:right="0" w:firstLine="0"/>
                              <w:jc w:val="left"/>
                              <w:rPr>
                                <w:rFonts w:ascii="Calibri"/>
                                <w:b/>
                                <w:sz w:val="18"/>
                              </w:rPr>
                            </w:pPr>
                            <w:r>
                              <w:rPr>
                                <w:rFonts w:ascii="Calibri"/>
                                <w:b/>
                                <w:color w:val="D9D9D9"/>
                                <w:sz w:val="18"/>
                              </w:rPr>
                              <w:t>EXIT</w:t>
                            </w:r>
                            <w:r>
                              <w:rPr>
                                <w:rFonts w:ascii="Calibri"/>
                                <w:b/>
                                <w:color w:val="D9D9D9"/>
                                <w:spacing w:val="37"/>
                                <w:sz w:val="18"/>
                              </w:rPr>
                              <w:t> </w:t>
                            </w:r>
                            <w:r>
                              <w:rPr>
                                <w:rFonts w:ascii="Calibri"/>
                                <w:b/>
                                <w:color w:val="D9D9D9"/>
                                <w:sz w:val="18"/>
                              </w:rPr>
                              <w:t>YEAR</w:t>
                            </w:r>
                            <w:r>
                              <w:rPr>
                                <w:rFonts w:ascii="Calibri"/>
                                <w:b/>
                                <w:color w:val="D9D9D9"/>
                                <w:spacing w:val="37"/>
                                <w:sz w:val="18"/>
                              </w:rPr>
                              <w:t> </w:t>
                            </w:r>
                            <w:r>
                              <w:rPr>
                                <w:rFonts w:ascii="Calibri"/>
                                <w:b/>
                                <w:color w:val="D9D9D9"/>
                                <w:spacing w:val="-2"/>
                                <w:sz w:val="18"/>
                              </w:rPr>
                              <w:t>COUNT</w:t>
                            </w:r>
                          </w:p>
                        </w:txbxContent>
                      </wps:txbx>
                      <wps:bodyPr wrap="square" lIns="0" tIns="0" rIns="0" bIns="0" rtlCol="0" vert="vert270">
                        <a:noAutofit/>
                      </wps:bodyPr>
                    </wps:wsp>
                  </a:graphicData>
                </a:graphic>
              </wp:anchor>
            </w:drawing>
          </mc:Choice>
          <mc:Fallback>
            <w:pict>
              <v:shape style="position:absolute;margin-left:130.949997pt;margin-top:113.566658pt;width:11pt;height:73.05pt;mso-position-horizontal-relative:page;mso-position-vertical-relative:page;z-index:15732736" type="#_x0000_t202" id="docshape58" filled="false" stroked="false">
                <v:textbox inset="0,0,0,0" style="layout-flow:vertical;mso-layout-flow-alt:bottom-to-top">
                  <w:txbxContent>
                    <w:p>
                      <w:pPr>
                        <w:spacing w:line="203" w:lineRule="exact" w:before="0"/>
                        <w:ind w:left="20" w:right="0" w:firstLine="0"/>
                        <w:jc w:val="left"/>
                        <w:rPr>
                          <w:rFonts w:ascii="Calibri"/>
                          <w:b/>
                          <w:sz w:val="18"/>
                        </w:rPr>
                      </w:pPr>
                      <w:r>
                        <w:rPr>
                          <w:rFonts w:ascii="Calibri"/>
                          <w:b/>
                          <w:color w:val="D9D9D9"/>
                          <w:sz w:val="18"/>
                        </w:rPr>
                        <w:t>EXIT</w:t>
                      </w:r>
                      <w:r>
                        <w:rPr>
                          <w:rFonts w:ascii="Calibri"/>
                          <w:b/>
                          <w:color w:val="D9D9D9"/>
                          <w:spacing w:val="37"/>
                          <w:sz w:val="18"/>
                        </w:rPr>
                        <w:t> </w:t>
                      </w:r>
                      <w:r>
                        <w:rPr>
                          <w:rFonts w:ascii="Calibri"/>
                          <w:b/>
                          <w:color w:val="D9D9D9"/>
                          <w:sz w:val="18"/>
                        </w:rPr>
                        <w:t>YEAR</w:t>
                      </w:r>
                      <w:r>
                        <w:rPr>
                          <w:rFonts w:ascii="Calibri"/>
                          <w:b/>
                          <w:color w:val="D9D9D9"/>
                          <w:spacing w:val="37"/>
                          <w:sz w:val="18"/>
                        </w:rPr>
                        <w:t> </w:t>
                      </w:r>
                      <w:r>
                        <w:rPr>
                          <w:rFonts w:ascii="Calibri"/>
                          <w:b/>
                          <w:color w:val="D9D9D9"/>
                          <w:spacing w:val="-2"/>
                          <w:sz w:val="18"/>
                        </w:rPr>
                        <w:t>COUNT</w:t>
                      </w:r>
                    </w:p>
                  </w:txbxContent>
                </v:textbox>
                <w10:wrap type="none"/>
              </v:shape>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8"/>
        <w:rPr>
          <w:sz w:val="18"/>
        </w:rPr>
      </w:pPr>
    </w:p>
    <w:p>
      <w:pPr>
        <w:spacing w:before="1"/>
        <w:ind w:left="4" w:right="4" w:firstLine="0"/>
        <w:jc w:val="center"/>
        <w:rPr>
          <w:i/>
          <w:sz w:val="18"/>
        </w:rPr>
      </w:pPr>
      <w:r>
        <w:rPr>
          <w:i/>
          <w:sz w:val="18"/>
        </w:rPr>
        <mc:AlternateContent>
          <mc:Choice Requires="wps">
            <w:drawing>
              <wp:anchor distT="0" distB="0" distL="0" distR="0" allowOverlap="1" layoutInCell="1" locked="0" behindDoc="0" simplePos="0" relativeHeight="15732224">
                <wp:simplePos x="0" y="0"/>
                <wp:positionH relativeFrom="page">
                  <wp:posOffset>1494155</wp:posOffset>
                </wp:positionH>
                <wp:positionV relativeFrom="paragraph">
                  <wp:posOffset>-2933708</wp:posOffset>
                </wp:positionV>
                <wp:extent cx="4572000" cy="274320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4572000" cy="2743200"/>
                          <a:chExt cx="4572000" cy="2743200"/>
                        </a:xfrm>
                      </wpg:grpSpPr>
                      <pic:pic>
                        <pic:nvPicPr>
                          <pic:cNvPr id="66" name="Image 66"/>
                          <pic:cNvPicPr/>
                        </pic:nvPicPr>
                        <pic:blipFill>
                          <a:blip r:embed="rId15" cstate="print"/>
                          <a:stretch>
                            <a:fillRect/>
                          </a:stretch>
                        </pic:blipFill>
                        <pic:spPr>
                          <a:xfrm>
                            <a:off x="0" y="0"/>
                            <a:ext cx="4572000" cy="2743200"/>
                          </a:xfrm>
                          <a:prstGeom prst="rect">
                            <a:avLst/>
                          </a:prstGeom>
                        </pic:spPr>
                      </pic:pic>
                      <wps:wsp>
                        <wps:cNvPr id="67" name="Graphic 67"/>
                        <wps:cNvSpPr/>
                        <wps:spPr>
                          <a:xfrm>
                            <a:off x="789812" y="502030"/>
                            <a:ext cx="2950210" cy="937260"/>
                          </a:xfrm>
                          <a:custGeom>
                            <a:avLst/>
                            <a:gdLst/>
                            <a:ahLst/>
                            <a:cxnLst/>
                            <a:rect l="l" t="t" r="r" b="b"/>
                            <a:pathLst>
                              <a:path w="2950210" h="937260">
                                <a:moveTo>
                                  <a:pt x="0" y="832993"/>
                                </a:moveTo>
                                <a:lnTo>
                                  <a:pt x="2950083" y="832993"/>
                                </a:lnTo>
                              </a:path>
                              <a:path w="2950210" h="937260">
                                <a:moveTo>
                                  <a:pt x="0" y="729360"/>
                                </a:moveTo>
                                <a:lnTo>
                                  <a:pt x="2950083" y="729360"/>
                                </a:lnTo>
                              </a:path>
                              <a:path w="2950210" h="937260">
                                <a:moveTo>
                                  <a:pt x="0" y="624204"/>
                                </a:moveTo>
                                <a:lnTo>
                                  <a:pt x="2950083" y="624204"/>
                                </a:lnTo>
                              </a:path>
                              <a:path w="2950210" h="937260">
                                <a:moveTo>
                                  <a:pt x="0" y="520573"/>
                                </a:moveTo>
                                <a:lnTo>
                                  <a:pt x="2950083" y="520573"/>
                                </a:lnTo>
                              </a:path>
                              <a:path w="2950210" h="937260">
                                <a:moveTo>
                                  <a:pt x="0" y="416941"/>
                                </a:moveTo>
                                <a:lnTo>
                                  <a:pt x="2950083" y="416941"/>
                                </a:lnTo>
                              </a:path>
                              <a:path w="2950210" h="937260">
                                <a:moveTo>
                                  <a:pt x="0" y="311784"/>
                                </a:moveTo>
                                <a:lnTo>
                                  <a:pt x="2950083" y="311784"/>
                                </a:lnTo>
                              </a:path>
                              <a:path w="2950210" h="937260">
                                <a:moveTo>
                                  <a:pt x="0" y="208152"/>
                                </a:moveTo>
                                <a:lnTo>
                                  <a:pt x="2950083" y="208152"/>
                                </a:lnTo>
                              </a:path>
                              <a:path w="2950210" h="937260">
                                <a:moveTo>
                                  <a:pt x="0" y="104521"/>
                                </a:moveTo>
                                <a:lnTo>
                                  <a:pt x="2950083" y="104521"/>
                                </a:lnTo>
                              </a:path>
                              <a:path w="2950210" h="937260">
                                <a:moveTo>
                                  <a:pt x="0" y="0"/>
                                </a:moveTo>
                                <a:lnTo>
                                  <a:pt x="2950083" y="0"/>
                                </a:lnTo>
                              </a:path>
                              <a:path w="2950210" h="937260">
                                <a:moveTo>
                                  <a:pt x="0" y="937005"/>
                                </a:moveTo>
                                <a:lnTo>
                                  <a:pt x="2950083" y="937005"/>
                                </a:lnTo>
                              </a:path>
                            </a:pathLst>
                          </a:custGeom>
                          <a:ln w="9525">
                            <a:solidFill>
                              <a:srgbClr val="F1F1F1"/>
                            </a:solidFill>
                            <a:prstDash val="solid"/>
                          </a:ln>
                        </wps:spPr>
                        <wps:bodyPr wrap="square" lIns="0" tIns="0" rIns="0" bIns="0" rtlCol="0">
                          <a:prstTxWarp prst="textNoShape">
                            <a:avLst/>
                          </a:prstTxWarp>
                          <a:noAutofit/>
                        </wps:bodyPr>
                      </wps:wsp>
                      <pic:pic>
                        <pic:nvPicPr>
                          <pic:cNvPr id="68" name="Image 68"/>
                          <pic:cNvPicPr/>
                        </pic:nvPicPr>
                        <pic:blipFill>
                          <a:blip r:embed="rId16" cstate="print"/>
                          <a:stretch>
                            <a:fillRect/>
                          </a:stretch>
                        </pic:blipFill>
                        <pic:spPr>
                          <a:xfrm>
                            <a:off x="863472" y="536460"/>
                            <a:ext cx="2798064" cy="911339"/>
                          </a:xfrm>
                          <a:prstGeom prst="rect">
                            <a:avLst/>
                          </a:prstGeom>
                        </pic:spPr>
                      </pic:pic>
                      <pic:pic>
                        <pic:nvPicPr>
                          <pic:cNvPr id="69" name="Image 69"/>
                          <pic:cNvPicPr/>
                        </pic:nvPicPr>
                        <pic:blipFill>
                          <a:blip r:embed="rId11" cstate="print"/>
                          <a:stretch>
                            <a:fillRect/>
                          </a:stretch>
                        </pic:blipFill>
                        <pic:spPr>
                          <a:xfrm>
                            <a:off x="840613" y="1360906"/>
                            <a:ext cx="165379" cy="165379"/>
                          </a:xfrm>
                          <a:prstGeom prst="rect">
                            <a:avLst/>
                          </a:prstGeom>
                        </pic:spPr>
                      </pic:pic>
                      <pic:pic>
                        <pic:nvPicPr>
                          <pic:cNvPr id="70" name="Image 70"/>
                          <pic:cNvPicPr/>
                        </pic:nvPicPr>
                        <pic:blipFill>
                          <a:blip r:embed="rId11" cstate="print"/>
                          <a:stretch>
                            <a:fillRect/>
                          </a:stretch>
                        </pic:blipFill>
                        <pic:spPr>
                          <a:xfrm>
                            <a:off x="1108836" y="1272514"/>
                            <a:ext cx="165379" cy="165379"/>
                          </a:xfrm>
                          <a:prstGeom prst="rect">
                            <a:avLst/>
                          </a:prstGeom>
                        </pic:spPr>
                      </pic:pic>
                      <pic:pic>
                        <pic:nvPicPr>
                          <pic:cNvPr id="71" name="Image 71"/>
                          <pic:cNvPicPr/>
                        </pic:nvPicPr>
                        <pic:blipFill>
                          <a:blip r:embed="rId11" cstate="print"/>
                          <a:stretch>
                            <a:fillRect/>
                          </a:stretch>
                        </pic:blipFill>
                        <pic:spPr>
                          <a:xfrm>
                            <a:off x="1377061" y="932662"/>
                            <a:ext cx="165379" cy="165379"/>
                          </a:xfrm>
                          <a:prstGeom prst="rect">
                            <a:avLst/>
                          </a:prstGeom>
                        </pic:spPr>
                      </pic:pic>
                      <pic:pic>
                        <pic:nvPicPr>
                          <pic:cNvPr id="72" name="Image 72"/>
                          <pic:cNvPicPr/>
                        </pic:nvPicPr>
                        <pic:blipFill>
                          <a:blip r:embed="rId11" cstate="print"/>
                          <a:stretch>
                            <a:fillRect/>
                          </a:stretch>
                        </pic:blipFill>
                        <pic:spPr>
                          <a:xfrm>
                            <a:off x="1645285" y="1167358"/>
                            <a:ext cx="165379" cy="165379"/>
                          </a:xfrm>
                          <a:prstGeom prst="rect">
                            <a:avLst/>
                          </a:prstGeom>
                        </pic:spPr>
                      </pic:pic>
                      <pic:pic>
                        <pic:nvPicPr>
                          <pic:cNvPr id="73" name="Image 73"/>
                          <pic:cNvPicPr/>
                        </pic:nvPicPr>
                        <pic:blipFill>
                          <a:blip r:embed="rId11" cstate="print"/>
                          <a:stretch>
                            <a:fillRect/>
                          </a:stretch>
                        </pic:blipFill>
                        <pic:spPr>
                          <a:xfrm>
                            <a:off x="1913508" y="1339570"/>
                            <a:ext cx="165379" cy="165379"/>
                          </a:xfrm>
                          <a:prstGeom prst="rect">
                            <a:avLst/>
                          </a:prstGeom>
                        </pic:spPr>
                      </pic:pic>
                      <pic:pic>
                        <pic:nvPicPr>
                          <pic:cNvPr id="74" name="Image 74"/>
                          <pic:cNvPicPr/>
                        </pic:nvPicPr>
                        <pic:blipFill>
                          <a:blip r:embed="rId11" cstate="print"/>
                          <a:stretch>
                            <a:fillRect/>
                          </a:stretch>
                        </pic:blipFill>
                        <pic:spPr>
                          <a:xfrm>
                            <a:off x="2181732" y="1059154"/>
                            <a:ext cx="165379" cy="165379"/>
                          </a:xfrm>
                          <a:prstGeom prst="rect">
                            <a:avLst/>
                          </a:prstGeom>
                        </pic:spPr>
                      </pic:pic>
                      <pic:pic>
                        <pic:nvPicPr>
                          <pic:cNvPr id="75" name="Image 75"/>
                          <pic:cNvPicPr/>
                        </pic:nvPicPr>
                        <pic:blipFill>
                          <a:blip r:embed="rId11" cstate="print"/>
                          <a:stretch>
                            <a:fillRect/>
                          </a:stretch>
                        </pic:blipFill>
                        <pic:spPr>
                          <a:xfrm>
                            <a:off x="2449957" y="1030198"/>
                            <a:ext cx="165379" cy="165379"/>
                          </a:xfrm>
                          <a:prstGeom prst="rect">
                            <a:avLst/>
                          </a:prstGeom>
                        </pic:spPr>
                      </pic:pic>
                      <pic:pic>
                        <pic:nvPicPr>
                          <pic:cNvPr id="76" name="Image 76"/>
                          <pic:cNvPicPr/>
                        </pic:nvPicPr>
                        <pic:blipFill>
                          <a:blip r:embed="rId11" cstate="print"/>
                          <a:stretch>
                            <a:fillRect/>
                          </a:stretch>
                        </pic:blipFill>
                        <pic:spPr>
                          <a:xfrm>
                            <a:off x="2718180" y="857986"/>
                            <a:ext cx="165379" cy="165379"/>
                          </a:xfrm>
                          <a:prstGeom prst="rect">
                            <a:avLst/>
                          </a:prstGeom>
                        </pic:spPr>
                      </pic:pic>
                      <pic:pic>
                        <pic:nvPicPr>
                          <pic:cNvPr id="77" name="Image 77"/>
                          <pic:cNvPicPr/>
                        </pic:nvPicPr>
                        <pic:blipFill>
                          <a:blip r:embed="rId11" cstate="print"/>
                          <a:stretch>
                            <a:fillRect/>
                          </a:stretch>
                        </pic:blipFill>
                        <pic:spPr>
                          <a:xfrm>
                            <a:off x="2984880" y="1336522"/>
                            <a:ext cx="165379" cy="165379"/>
                          </a:xfrm>
                          <a:prstGeom prst="rect">
                            <a:avLst/>
                          </a:prstGeom>
                        </pic:spPr>
                      </pic:pic>
                      <pic:pic>
                        <pic:nvPicPr>
                          <pic:cNvPr id="78" name="Image 78"/>
                          <pic:cNvPicPr/>
                        </pic:nvPicPr>
                        <pic:blipFill>
                          <a:blip r:embed="rId11" cstate="print"/>
                          <a:stretch>
                            <a:fillRect/>
                          </a:stretch>
                        </pic:blipFill>
                        <pic:spPr>
                          <a:xfrm>
                            <a:off x="3253104" y="513562"/>
                            <a:ext cx="165379" cy="165379"/>
                          </a:xfrm>
                          <a:prstGeom prst="rect">
                            <a:avLst/>
                          </a:prstGeom>
                        </pic:spPr>
                      </pic:pic>
                      <pic:pic>
                        <pic:nvPicPr>
                          <pic:cNvPr id="79" name="Image 79"/>
                          <pic:cNvPicPr/>
                        </pic:nvPicPr>
                        <pic:blipFill>
                          <a:blip r:embed="rId11" cstate="print"/>
                          <a:stretch>
                            <a:fillRect/>
                          </a:stretch>
                        </pic:blipFill>
                        <pic:spPr>
                          <a:xfrm>
                            <a:off x="3521328" y="1286230"/>
                            <a:ext cx="165379" cy="165379"/>
                          </a:xfrm>
                          <a:prstGeom prst="rect">
                            <a:avLst/>
                          </a:prstGeom>
                        </pic:spPr>
                      </pic:pic>
                      <wps:wsp>
                        <wps:cNvPr id="80" name="Graphic 80"/>
                        <wps:cNvSpPr/>
                        <wps:spPr>
                          <a:xfrm>
                            <a:off x="923925" y="574294"/>
                            <a:ext cx="2682240" cy="848360"/>
                          </a:xfrm>
                          <a:custGeom>
                            <a:avLst/>
                            <a:gdLst/>
                            <a:ahLst/>
                            <a:cxnLst/>
                            <a:rect l="l" t="t" r="r" b="b"/>
                            <a:pathLst>
                              <a:path w="2682240" h="848360">
                                <a:moveTo>
                                  <a:pt x="0" y="847979"/>
                                </a:moveTo>
                                <a:lnTo>
                                  <a:pt x="268731" y="759206"/>
                                </a:lnTo>
                                <a:lnTo>
                                  <a:pt x="536956" y="419354"/>
                                </a:lnTo>
                                <a:lnTo>
                                  <a:pt x="805180" y="654050"/>
                                </a:lnTo>
                                <a:lnTo>
                                  <a:pt x="1073404" y="826262"/>
                                </a:lnTo>
                                <a:lnTo>
                                  <a:pt x="1341628" y="545846"/>
                                </a:lnTo>
                                <a:lnTo>
                                  <a:pt x="1609852" y="516890"/>
                                </a:lnTo>
                                <a:lnTo>
                                  <a:pt x="1878075" y="344678"/>
                                </a:lnTo>
                                <a:lnTo>
                                  <a:pt x="2144775" y="823214"/>
                                </a:lnTo>
                                <a:lnTo>
                                  <a:pt x="2412999" y="0"/>
                                </a:lnTo>
                                <a:lnTo>
                                  <a:pt x="2681859" y="772922"/>
                                </a:lnTo>
                              </a:path>
                            </a:pathLst>
                          </a:custGeom>
                          <a:ln w="34925">
                            <a:solidFill>
                              <a:srgbClr val="4471C4"/>
                            </a:solidFill>
                            <a:prstDash val="solid"/>
                          </a:ln>
                        </wps:spPr>
                        <wps:bodyPr wrap="square" lIns="0" tIns="0" rIns="0" bIns="0" rtlCol="0">
                          <a:prstTxWarp prst="textNoShape">
                            <a:avLst/>
                          </a:prstTxWarp>
                          <a:noAutofit/>
                        </wps:bodyPr>
                      </wps:wsp>
                      <pic:pic>
                        <pic:nvPicPr>
                          <pic:cNvPr id="81" name="Image 81"/>
                          <pic:cNvPicPr/>
                        </pic:nvPicPr>
                        <pic:blipFill>
                          <a:blip r:embed="rId12" cstate="print"/>
                          <a:stretch>
                            <a:fillRect/>
                          </a:stretch>
                        </pic:blipFill>
                        <pic:spPr>
                          <a:xfrm>
                            <a:off x="874141" y="1371600"/>
                            <a:ext cx="98298" cy="98298"/>
                          </a:xfrm>
                          <a:prstGeom prst="rect">
                            <a:avLst/>
                          </a:prstGeom>
                        </pic:spPr>
                      </pic:pic>
                      <pic:pic>
                        <pic:nvPicPr>
                          <pic:cNvPr id="82" name="Image 82"/>
                          <pic:cNvPicPr/>
                        </pic:nvPicPr>
                        <pic:blipFill>
                          <a:blip r:embed="rId12" cstate="print"/>
                          <a:stretch>
                            <a:fillRect/>
                          </a:stretch>
                        </pic:blipFill>
                        <pic:spPr>
                          <a:xfrm>
                            <a:off x="1142364" y="1283208"/>
                            <a:ext cx="98298" cy="98298"/>
                          </a:xfrm>
                          <a:prstGeom prst="rect">
                            <a:avLst/>
                          </a:prstGeom>
                        </pic:spPr>
                      </pic:pic>
                      <pic:pic>
                        <pic:nvPicPr>
                          <pic:cNvPr id="83" name="Image 83"/>
                          <pic:cNvPicPr/>
                        </pic:nvPicPr>
                        <pic:blipFill>
                          <a:blip r:embed="rId12" cstate="print"/>
                          <a:stretch>
                            <a:fillRect/>
                          </a:stretch>
                        </pic:blipFill>
                        <pic:spPr>
                          <a:xfrm>
                            <a:off x="1410588" y="943355"/>
                            <a:ext cx="98298" cy="98298"/>
                          </a:xfrm>
                          <a:prstGeom prst="rect">
                            <a:avLst/>
                          </a:prstGeom>
                        </pic:spPr>
                      </pic:pic>
                      <pic:pic>
                        <pic:nvPicPr>
                          <pic:cNvPr id="84" name="Image 84"/>
                          <pic:cNvPicPr/>
                        </pic:nvPicPr>
                        <pic:blipFill>
                          <a:blip r:embed="rId12" cstate="print"/>
                          <a:stretch>
                            <a:fillRect/>
                          </a:stretch>
                        </pic:blipFill>
                        <pic:spPr>
                          <a:xfrm>
                            <a:off x="1678813" y="1178052"/>
                            <a:ext cx="98297" cy="98298"/>
                          </a:xfrm>
                          <a:prstGeom prst="rect">
                            <a:avLst/>
                          </a:prstGeom>
                        </pic:spPr>
                      </pic:pic>
                      <pic:pic>
                        <pic:nvPicPr>
                          <pic:cNvPr id="85" name="Image 85"/>
                          <pic:cNvPicPr/>
                        </pic:nvPicPr>
                        <pic:blipFill>
                          <a:blip r:embed="rId12" cstate="print"/>
                          <a:stretch>
                            <a:fillRect/>
                          </a:stretch>
                        </pic:blipFill>
                        <pic:spPr>
                          <a:xfrm>
                            <a:off x="1947036" y="1350263"/>
                            <a:ext cx="98298" cy="98298"/>
                          </a:xfrm>
                          <a:prstGeom prst="rect">
                            <a:avLst/>
                          </a:prstGeom>
                        </pic:spPr>
                      </pic:pic>
                      <pic:pic>
                        <pic:nvPicPr>
                          <pic:cNvPr id="86" name="Image 86"/>
                          <pic:cNvPicPr/>
                        </pic:nvPicPr>
                        <pic:blipFill>
                          <a:blip r:embed="rId12" cstate="print"/>
                          <a:stretch>
                            <a:fillRect/>
                          </a:stretch>
                        </pic:blipFill>
                        <pic:spPr>
                          <a:xfrm>
                            <a:off x="2215260" y="1069847"/>
                            <a:ext cx="98298" cy="98298"/>
                          </a:xfrm>
                          <a:prstGeom prst="rect">
                            <a:avLst/>
                          </a:prstGeom>
                        </pic:spPr>
                      </pic:pic>
                      <pic:pic>
                        <pic:nvPicPr>
                          <pic:cNvPr id="87" name="Image 87"/>
                          <pic:cNvPicPr/>
                        </pic:nvPicPr>
                        <pic:blipFill>
                          <a:blip r:embed="rId12" cstate="print"/>
                          <a:stretch>
                            <a:fillRect/>
                          </a:stretch>
                        </pic:blipFill>
                        <pic:spPr>
                          <a:xfrm>
                            <a:off x="2483485" y="1040891"/>
                            <a:ext cx="98298" cy="98298"/>
                          </a:xfrm>
                          <a:prstGeom prst="rect">
                            <a:avLst/>
                          </a:prstGeom>
                        </pic:spPr>
                      </pic:pic>
                      <pic:pic>
                        <pic:nvPicPr>
                          <pic:cNvPr id="88" name="Image 88"/>
                          <pic:cNvPicPr/>
                        </pic:nvPicPr>
                        <pic:blipFill>
                          <a:blip r:embed="rId12" cstate="print"/>
                          <a:stretch>
                            <a:fillRect/>
                          </a:stretch>
                        </pic:blipFill>
                        <pic:spPr>
                          <a:xfrm>
                            <a:off x="2751708" y="868678"/>
                            <a:ext cx="98298" cy="98299"/>
                          </a:xfrm>
                          <a:prstGeom prst="rect">
                            <a:avLst/>
                          </a:prstGeom>
                        </pic:spPr>
                      </pic:pic>
                      <pic:pic>
                        <pic:nvPicPr>
                          <pic:cNvPr id="89" name="Image 89"/>
                          <pic:cNvPicPr/>
                        </pic:nvPicPr>
                        <pic:blipFill>
                          <a:blip r:embed="rId12" cstate="print"/>
                          <a:stretch>
                            <a:fillRect/>
                          </a:stretch>
                        </pic:blipFill>
                        <pic:spPr>
                          <a:xfrm>
                            <a:off x="3018408" y="1347216"/>
                            <a:ext cx="98298" cy="98298"/>
                          </a:xfrm>
                          <a:prstGeom prst="rect">
                            <a:avLst/>
                          </a:prstGeom>
                        </pic:spPr>
                      </pic:pic>
                      <pic:pic>
                        <pic:nvPicPr>
                          <pic:cNvPr id="90" name="Image 90"/>
                          <pic:cNvPicPr/>
                        </pic:nvPicPr>
                        <pic:blipFill>
                          <a:blip r:embed="rId12" cstate="print"/>
                          <a:stretch>
                            <a:fillRect/>
                          </a:stretch>
                        </pic:blipFill>
                        <pic:spPr>
                          <a:xfrm>
                            <a:off x="3286633" y="524254"/>
                            <a:ext cx="98298" cy="98299"/>
                          </a:xfrm>
                          <a:prstGeom prst="rect">
                            <a:avLst/>
                          </a:prstGeom>
                        </pic:spPr>
                      </pic:pic>
                      <pic:pic>
                        <pic:nvPicPr>
                          <pic:cNvPr id="91" name="Image 91"/>
                          <pic:cNvPicPr/>
                        </pic:nvPicPr>
                        <pic:blipFill>
                          <a:blip r:embed="rId12" cstate="print"/>
                          <a:stretch>
                            <a:fillRect/>
                          </a:stretch>
                        </pic:blipFill>
                        <pic:spPr>
                          <a:xfrm>
                            <a:off x="3554857" y="1296924"/>
                            <a:ext cx="98298" cy="98298"/>
                          </a:xfrm>
                          <a:prstGeom prst="rect">
                            <a:avLst/>
                          </a:prstGeom>
                        </pic:spPr>
                      </pic:pic>
                      <pic:pic>
                        <pic:nvPicPr>
                          <pic:cNvPr id="92" name="Image 92"/>
                          <pic:cNvPicPr/>
                        </pic:nvPicPr>
                        <pic:blipFill>
                          <a:blip r:embed="rId17" cstate="print"/>
                          <a:stretch>
                            <a:fillRect/>
                          </a:stretch>
                        </pic:blipFill>
                        <pic:spPr>
                          <a:xfrm>
                            <a:off x="123189" y="1531492"/>
                            <a:ext cx="3501263" cy="851281"/>
                          </a:xfrm>
                          <a:prstGeom prst="rect">
                            <a:avLst/>
                          </a:prstGeom>
                        </pic:spPr>
                      </pic:pic>
                      <pic:pic>
                        <pic:nvPicPr>
                          <pic:cNvPr id="93" name="Image 93"/>
                          <pic:cNvPicPr/>
                        </pic:nvPicPr>
                        <pic:blipFill>
                          <a:blip r:embed="rId18" cstate="print"/>
                          <a:stretch>
                            <a:fillRect/>
                          </a:stretch>
                        </pic:blipFill>
                        <pic:spPr>
                          <a:xfrm>
                            <a:off x="1236852" y="25907"/>
                            <a:ext cx="2096262" cy="473201"/>
                          </a:xfrm>
                          <a:prstGeom prst="rect">
                            <a:avLst/>
                          </a:prstGeom>
                        </pic:spPr>
                      </pic:pic>
                      <wps:wsp>
                        <wps:cNvPr id="94" name="Graphic 94"/>
                        <wps:cNvSpPr/>
                        <wps:spPr>
                          <a:xfrm>
                            <a:off x="3938651" y="1552702"/>
                            <a:ext cx="243840" cy="1270"/>
                          </a:xfrm>
                          <a:custGeom>
                            <a:avLst/>
                            <a:gdLst/>
                            <a:ahLst/>
                            <a:cxnLst/>
                            <a:rect l="l" t="t" r="r" b="b"/>
                            <a:pathLst>
                              <a:path w="243840" h="635">
                                <a:moveTo>
                                  <a:pt x="0" y="0"/>
                                </a:moveTo>
                                <a:lnTo>
                                  <a:pt x="243840" y="126"/>
                                </a:lnTo>
                              </a:path>
                            </a:pathLst>
                          </a:custGeom>
                          <a:ln w="34925">
                            <a:solidFill>
                              <a:srgbClr val="4471C4"/>
                            </a:solidFill>
                            <a:prstDash val="solid"/>
                          </a:ln>
                        </wps:spPr>
                        <wps:bodyPr wrap="square" lIns="0" tIns="0" rIns="0" bIns="0" rtlCol="0">
                          <a:prstTxWarp prst="textNoShape">
                            <a:avLst/>
                          </a:prstTxWarp>
                          <a:noAutofit/>
                        </wps:bodyPr>
                      </wps:wsp>
                      <pic:pic>
                        <pic:nvPicPr>
                          <pic:cNvPr id="95" name="Image 95"/>
                          <pic:cNvPicPr/>
                        </pic:nvPicPr>
                        <pic:blipFill>
                          <a:blip r:embed="rId13" cstate="print"/>
                          <a:stretch>
                            <a:fillRect/>
                          </a:stretch>
                        </pic:blipFill>
                        <pic:spPr>
                          <a:xfrm>
                            <a:off x="4016628" y="1508760"/>
                            <a:ext cx="84582" cy="84581"/>
                          </a:xfrm>
                          <a:prstGeom prst="rect">
                            <a:avLst/>
                          </a:prstGeom>
                        </pic:spPr>
                      </pic:pic>
                      <wps:wsp>
                        <wps:cNvPr id="96" name="Textbox 96"/>
                        <wps:cNvSpPr txBox="1"/>
                        <wps:spPr>
                          <a:xfrm>
                            <a:off x="1381378" y="136905"/>
                            <a:ext cx="1807845" cy="203200"/>
                          </a:xfrm>
                          <a:prstGeom prst="rect">
                            <a:avLst/>
                          </a:prstGeom>
                        </wps:spPr>
                        <wps:txbx>
                          <w:txbxContent>
                            <w:p>
                              <w:pPr>
                                <w:spacing w:line="319" w:lineRule="exact" w:before="0"/>
                                <w:ind w:left="0" w:right="0" w:firstLine="0"/>
                                <w:jc w:val="left"/>
                                <w:rPr>
                                  <w:rFonts w:ascii="Calibri"/>
                                  <w:b/>
                                  <w:sz w:val="32"/>
                                </w:rPr>
                              </w:pPr>
                              <w:r>
                                <w:rPr>
                                  <w:rFonts w:ascii="Calibri"/>
                                  <w:b/>
                                  <w:color w:val="F1F1F1"/>
                                  <w:spacing w:val="14"/>
                                  <w:sz w:val="32"/>
                                </w:rPr>
                                <w:t>Exit</w:t>
                              </w:r>
                              <w:r>
                                <w:rPr>
                                  <w:rFonts w:ascii="Calibri"/>
                                  <w:b/>
                                  <w:color w:val="F1F1F1"/>
                                  <w:spacing w:val="36"/>
                                  <w:sz w:val="32"/>
                                </w:rPr>
                                <w:t> </w:t>
                              </w:r>
                              <w:r>
                                <w:rPr>
                                  <w:rFonts w:ascii="Calibri"/>
                                  <w:b/>
                                  <w:color w:val="F1F1F1"/>
                                  <w:spacing w:val="10"/>
                                  <w:sz w:val="32"/>
                                </w:rPr>
                                <w:t>Trend</w:t>
                              </w:r>
                              <w:r>
                                <w:rPr>
                                  <w:rFonts w:ascii="Calibri"/>
                                  <w:b/>
                                  <w:color w:val="F1F1F1"/>
                                  <w:spacing w:val="39"/>
                                  <w:sz w:val="32"/>
                                </w:rPr>
                                <w:t> </w:t>
                              </w:r>
                              <w:r>
                                <w:rPr>
                                  <w:rFonts w:ascii="Calibri"/>
                                  <w:b/>
                                  <w:color w:val="F1F1F1"/>
                                  <w:spacing w:val="14"/>
                                  <w:sz w:val="32"/>
                                </w:rPr>
                                <w:t>Analysis</w:t>
                              </w:r>
                            </w:p>
                          </w:txbxContent>
                        </wps:txbx>
                        <wps:bodyPr wrap="square" lIns="0" tIns="0" rIns="0" bIns="0" rtlCol="0">
                          <a:noAutofit/>
                        </wps:bodyPr>
                      </wps:wsp>
                      <wps:wsp>
                        <wps:cNvPr id="97" name="Textbox 97"/>
                        <wps:cNvSpPr txBox="1"/>
                        <wps:spPr>
                          <a:xfrm>
                            <a:off x="336804" y="448563"/>
                            <a:ext cx="360680" cy="1051560"/>
                          </a:xfrm>
                          <a:prstGeom prst="rect">
                            <a:avLst/>
                          </a:prstGeom>
                        </wps:spPr>
                        <wps:txbx>
                          <w:txbxContent>
                            <w:p>
                              <w:pPr>
                                <w:spacing w:line="156" w:lineRule="exact" w:before="0"/>
                                <w:ind w:left="0" w:right="18" w:firstLine="0"/>
                                <w:jc w:val="right"/>
                                <w:rPr>
                                  <w:rFonts w:ascii="Calibri"/>
                                  <w:sz w:val="18"/>
                                </w:rPr>
                              </w:pPr>
                              <w:r>
                                <w:rPr>
                                  <w:rFonts w:ascii="Calibri"/>
                                  <w:color w:val="D9D9D9"/>
                                  <w:spacing w:val="-2"/>
                                  <w:sz w:val="18"/>
                                </w:rPr>
                                <w:t>450000</w:t>
                              </w:r>
                            </w:p>
                            <w:p>
                              <w:pPr>
                                <w:spacing w:line="164" w:lineRule="exact" w:before="0"/>
                                <w:ind w:left="0" w:right="18" w:firstLine="0"/>
                                <w:jc w:val="right"/>
                                <w:rPr>
                                  <w:rFonts w:ascii="Calibri"/>
                                  <w:sz w:val="18"/>
                                </w:rPr>
                              </w:pPr>
                              <w:r>
                                <w:rPr>
                                  <w:rFonts w:ascii="Calibri"/>
                                  <w:color w:val="D9D9D9"/>
                                  <w:spacing w:val="-2"/>
                                  <w:sz w:val="18"/>
                                </w:rPr>
                                <w:t>400000</w:t>
                              </w:r>
                            </w:p>
                            <w:p>
                              <w:pPr>
                                <w:spacing w:line="164" w:lineRule="exact" w:before="0"/>
                                <w:ind w:left="0" w:right="18" w:firstLine="0"/>
                                <w:jc w:val="right"/>
                                <w:rPr>
                                  <w:rFonts w:ascii="Calibri"/>
                                  <w:sz w:val="18"/>
                                </w:rPr>
                              </w:pPr>
                              <w:r>
                                <w:rPr>
                                  <w:rFonts w:ascii="Calibri"/>
                                  <w:color w:val="D9D9D9"/>
                                  <w:spacing w:val="-2"/>
                                  <w:sz w:val="18"/>
                                </w:rPr>
                                <w:t>350000</w:t>
                              </w:r>
                            </w:p>
                            <w:p>
                              <w:pPr>
                                <w:spacing w:line="164" w:lineRule="exact" w:before="0"/>
                                <w:ind w:left="0" w:right="18" w:firstLine="0"/>
                                <w:jc w:val="right"/>
                                <w:rPr>
                                  <w:rFonts w:ascii="Calibri"/>
                                  <w:sz w:val="18"/>
                                </w:rPr>
                              </w:pPr>
                              <w:r>
                                <w:rPr>
                                  <w:rFonts w:ascii="Calibri"/>
                                  <w:color w:val="D9D9D9"/>
                                  <w:spacing w:val="-2"/>
                                  <w:sz w:val="18"/>
                                </w:rPr>
                                <w:t>300000</w:t>
                              </w:r>
                            </w:p>
                            <w:p>
                              <w:pPr>
                                <w:spacing w:line="164" w:lineRule="exact" w:before="0"/>
                                <w:ind w:left="0" w:right="18" w:firstLine="0"/>
                                <w:jc w:val="right"/>
                                <w:rPr>
                                  <w:rFonts w:ascii="Calibri"/>
                                  <w:sz w:val="18"/>
                                </w:rPr>
                              </w:pPr>
                              <w:r>
                                <w:rPr>
                                  <w:rFonts w:ascii="Calibri"/>
                                  <w:color w:val="D9D9D9"/>
                                  <w:spacing w:val="-2"/>
                                  <w:sz w:val="18"/>
                                </w:rPr>
                                <w:t>250000</w:t>
                              </w:r>
                            </w:p>
                            <w:p>
                              <w:pPr>
                                <w:spacing w:line="164" w:lineRule="exact" w:before="0"/>
                                <w:ind w:left="0" w:right="18" w:firstLine="0"/>
                                <w:jc w:val="right"/>
                                <w:rPr>
                                  <w:rFonts w:ascii="Calibri"/>
                                  <w:sz w:val="18"/>
                                </w:rPr>
                              </w:pPr>
                              <w:r>
                                <w:rPr>
                                  <w:rFonts w:ascii="Calibri"/>
                                  <w:color w:val="D9D9D9"/>
                                  <w:spacing w:val="-2"/>
                                  <w:sz w:val="18"/>
                                </w:rPr>
                                <w:t>200000</w:t>
                              </w:r>
                            </w:p>
                            <w:p>
                              <w:pPr>
                                <w:spacing w:line="164" w:lineRule="exact" w:before="0"/>
                                <w:ind w:left="0" w:right="18" w:firstLine="0"/>
                                <w:jc w:val="right"/>
                                <w:rPr>
                                  <w:rFonts w:ascii="Calibri"/>
                                  <w:sz w:val="18"/>
                                </w:rPr>
                              </w:pPr>
                              <w:r>
                                <w:rPr>
                                  <w:rFonts w:ascii="Calibri"/>
                                  <w:color w:val="D9D9D9"/>
                                  <w:spacing w:val="-2"/>
                                  <w:sz w:val="18"/>
                                </w:rPr>
                                <w:t>150000</w:t>
                              </w:r>
                            </w:p>
                            <w:p>
                              <w:pPr>
                                <w:spacing w:line="164" w:lineRule="exact" w:before="0"/>
                                <w:ind w:left="0" w:right="18" w:firstLine="0"/>
                                <w:jc w:val="right"/>
                                <w:rPr>
                                  <w:rFonts w:ascii="Calibri"/>
                                  <w:sz w:val="18"/>
                                </w:rPr>
                              </w:pPr>
                              <w:r>
                                <w:rPr>
                                  <w:rFonts w:ascii="Calibri"/>
                                  <w:color w:val="D9D9D9"/>
                                  <w:spacing w:val="-2"/>
                                  <w:sz w:val="18"/>
                                </w:rPr>
                                <w:t>100000</w:t>
                              </w:r>
                            </w:p>
                            <w:p>
                              <w:pPr>
                                <w:spacing w:line="164" w:lineRule="exact" w:before="0"/>
                                <w:ind w:left="0" w:right="18" w:firstLine="0"/>
                                <w:jc w:val="right"/>
                                <w:rPr>
                                  <w:rFonts w:ascii="Calibri"/>
                                  <w:sz w:val="18"/>
                                </w:rPr>
                              </w:pPr>
                              <w:r>
                                <w:rPr>
                                  <w:rFonts w:ascii="Calibri"/>
                                  <w:color w:val="D9D9D9"/>
                                  <w:spacing w:val="-2"/>
                                  <w:sz w:val="18"/>
                                </w:rPr>
                                <w:t>50000</w:t>
                              </w:r>
                            </w:p>
                            <w:p>
                              <w:pPr>
                                <w:spacing w:line="189" w:lineRule="exact" w:before="0"/>
                                <w:ind w:left="0" w:right="18" w:firstLine="0"/>
                                <w:jc w:val="right"/>
                                <w:rPr>
                                  <w:rFonts w:ascii="Calibri"/>
                                  <w:sz w:val="18"/>
                                </w:rPr>
                              </w:pPr>
                              <w:r>
                                <w:rPr>
                                  <w:rFonts w:ascii="Calibri"/>
                                  <w:color w:val="D9D9D9"/>
                                  <w:spacing w:val="-10"/>
                                  <w:sz w:val="18"/>
                                </w:rPr>
                                <w:t>0</w:t>
                              </w:r>
                            </w:p>
                          </w:txbxContent>
                        </wps:txbx>
                        <wps:bodyPr wrap="square" lIns="0" tIns="0" rIns="0" bIns="0" rtlCol="0">
                          <a:noAutofit/>
                        </wps:bodyPr>
                      </wps:wsp>
                      <wps:wsp>
                        <wps:cNvPr id="98" name="Textbox 98"/>
                        <wps:cNvSpPr txBox="1"/>
                        <wps:spPr>
                          <a:xfrm>
                            <a:off x="4209288" y="1499488"/>
                            <a:ext cx="248285" cy="114300"/>
                          </a:xfrm>
                          <a:prstGeom prst="rect">
                            <a:avLst/>
                          </a:prstGeom>
                        </wps:spPr>
                        <wps:txbx>
                          <w:txbxContent>
                            <w:p>
                              <w:pPr>
                                <w:spacing w:line="180" w:lineRule="exact" w:before="0"/>
                                <w:ind w:left="0" w:right="0" w:firstLine="0"/>
                                <w:jc w:val="left"/>
                                <w:rPr>
                                  <w:rFonts w:ascii="Calibri"/>
                                  <w:sz w:val="18"/>
                                </w:rPr>
                              </w:pPr>
                              <w:r>
                                <w:rPr>
                                  <w:rFonts w:ascii="Calibri"/>
                                  <w:color w:val="D9D9D9"/>
                                  <w:spacing w:val="-2"/>
                                  <w:sz w:val="18"/>
                                </w:rPr>
                                <w:t>Total</w:t>
                              </w:r>
                            </w:p>
                          </w:txbxContent>
                        </wps:txbx>
                        <wps:bodyPr wrap="square" lIns="0" tIns="0" rIns="0" bIns="0" rtlCol="0">
                          <a:noAutofit/>
                        </wps:bodyPr>
                      </wps:wsp>
                      <wps:wsp>
                        <wps:cNvPr id="99" name="Textbox 99"/>
                        <wps:cNvSpPr txBox="1"/>
                        <wps:spPr>
                          <a:xfrm>
                            <a:off x="1678813" y="2467864"/>
                            <a:ext cx="1183640" cy="114300"/>
                          </a:xfrm>
                          <a:prstGeom prst="rect">
                            <a:avLst/>
                          </a:prstGeom>
                        </wps:spPr>
                        <wps:txbx>
                          <w:txbxContent>
                            <w:p>
                              <w:pPr>
                                <w:spacing w:line="180" w:lineRule="exact" w:before="0"/>
                                <w:ind w:left="0" w:right="0" w:firstLine="0"/>
                                <w:jc w:val="left"/>
                                <w:rPr>
                                  <w:rFonts w:ascii="Calibri"/>
                                  <w:b/>
                                  <w:sz w:val="18"/>
                                </w:rPr>
                              </w:pPr>
                              <w:r>
                                <w:rPr>
                                  <w:rFonts w:ascii="Calibri"/>
                                  <w:b/>
                                  <w:color w:val="D9D9D9"/>
                                  <w:sz w:val="18"/>
                                </w:rPr>
                                <w:t>EXIT</w:t>
                              </w:r>
                              <w:r>
                                <w:rPr>
                                  <w:rFonts w:ascii="Calibri"/>
                                  <w:b/>
                                  <w:color w:val="D9D9D9"/>
                                  <w:spacing w:val="-3"/>
                                  <w:sz w:val="18"/>
                                </w:rPr>
                                <w:t> </w:t>
                              </w:r>
                              <w:r>
                                <w:rPr>
                                  <w:rFonts w:ascii="Calibri"/>
                                  <w:b/>
                                  <w:color w:val="D9D9D9"/>
                                  <w:sz w:val="18"/>
                                </w:rPr>
                                <w:t>SECTOR</w:t>
                              </w:r>
                              <w:r>
                                <w:rPr>
                                  <w:rFonts w:ascii="Calibri"/>
                                  <w:b/>
                                  <w:color w:val="D9D9D9"/>
                                  <w:spacing w:val="-3"/>
                                  <w:sz w:val="18"/>
                                </w:rPr>
                                <w:t> </w:t>
                              </w:r>
                              <w:r>
                                <w:rPr>
                                  <w:rFonts w:ascii="Calibri"/>
                                  <w:b/>
                                  <w:color w:val="D9D9D9"/>
                                  <w:spacing w:val="-2"/>
                                  <w:sz w:val="18"/>
                                </w:rPr>
                                <w:t>PORTFOLIO</w:t>
                              </w:r>
                            </w:p>
                          </w:txbxContent>
                        </wps:txbx>
                        <wps:bodyPr wrap="square" lIns="0" tIns="0" rIns="0" bIns="0" rtlCol="0">
                          <a:noAutofit/>
                        </wps:bodyPr>
                      </wps:wsp>
                    </wpg:wgp>
                  </a:graphicData>
                </a:graphic>
              </wp:anchor>
            </w:drawing>
          </mc:Choice>
          <mc:Fallback>
            <w:pict>
              <v:group style="position:absolute;margin-left:117.650002pt;margin-top:-231.000671pt;width:360pt;height:216pt;mso-position-horizontal-relative:page;mso-position-vertical-relative:paragraph;z-index:15732224" id="docshapegroup59" coordorigin="2353,-4620" coordsize="7200,4320">
                <v:shape style="position:absolute;left:2353;top:-4621;width:7200;height:4320" type="#_x0000_t75" id="docshape60" stroked="false">
                  <v:imagedata r:id="rId15" o:title=""/>
                </v:shape>
                <v:shape style="position:absolute;left:3596;top:-3830;width:4646;height:1476" id="docshape61" coordorigin="3597,-3829" coordsize="4646,1476" path="m3597,-2518l8243,-2518m3597,-2681l8243,-2681m3597,-2846l8243,-2846m3597,-3010l8243,-3010m3597,-3173l8243,-3173m3597,-3338l8243,-3338m3597,-3502l8243,-3502m3597,-3665l8243,-3665m3597,-3829l8243,-3829m3597,-2354l8243,-2354e" filled="false" stroked="true" strokeweight=".75pt" strokecolor="#f1f1f1">
                  <v:path arrowok="t"/>
                  <v:stroke dashstyle="solid"/>
                </v:shape>
                <v:shape style="position:absolute;left:3712;top:-3776;width:4407;height:1436" type="#_x0000_t75" id="docshape62" stroked="false">
                  <v:imagedata r:id="rId16" o:title=""/>
                </v:shape>
                <v:shape style="position:absolute;left:3676;top:-2477;width:261;height:261" type="#_x0000_t75" id="docshape63" stroked="false">
                  <v:imagedata r:id="rId11" o:title=""/>
                </v:shape>
                <v:shape style="position:absolute;left:4099;top:-2617;width:261;height:261" type="#_x0000_t75" id="docshape64" stroked="false">
                  <v:imagedata r:id="rId11" o:title=""/>
                </v:shape>
                <v:shape style="position:absolute;left:4521;top:-3152;width:261;height:261" type="#_x0000_t75" id="docshape65" stroked="false">
                  <v:imagedata r:id="rId11" o:title=""/>
                </v:shape>
                <v:shape style="position:absolute;left:4944;top:-2782;width:261;height:261" type="#_x0000_t75" id="docshape66" stroked="false">
                  <v:imagedata r:id="rId11" o:title=""/>
                </v:shape>
                <v:shape style="position:absolute;left:5366;top:-2511;width:261;height:261" type="#_x0000_t75" id="docshape67" stroked="false">
                  <v:imagedata r:id="rId11" o:title=""/>
                </v:shape>
                <v:shape style="position:absolute;left:5788;top:-2953;width:261;height:261" type="#_x0000_t75" id="docshape68" stroked="false">
                  <v:imagedata r:id="rId11" o:title=""/>
                </v:shape>
                <v:shape style="position:absolute;left:6211;top:-2998;width:261;height:261" type="#_x0000_t75" id="docshape69" stroked="false">
                  <v:imagedata r:id="rId11" o:title=""/>
                </v:shape>
                <v:shape style="position:absolute;left:6633;top:-3269;width:261;height:261" type="#_x0000_t75" id="docshape70" stroked="false">
                  <v:imagedata r:id="rId11" o:title=""/>
                </v:shape>
                <v:shape style="position:absolute;left:7053;top:-2516;width:261;height:261" type="#_x0000_t75" id="docshape71" stroked="false">
                  <v:imagedata r:id="rId11" o:title=""/>
                </v:shape>
                <v:shape style="position:absolute;left:7476;top:-3812;width:261;height:261" type="#_x0000_t75" id="docshape72" stroked="false">
                  <v:imagedata r:id="rId11" o:title=""/>
                </v:shape>
                <v:shape style="position:absolute;left:7898;top:-2595;width:261;height:261" type="#_x0000_t75" id="docshape73" stroked="false">
                  <v:imagedata r:id="rId11" o:title=""/>
                </v:shape>
                <v:shape style="position:absolute;left:3808;top:-3716;width:4224;height:1336" id="docshape74" coordorigin="3808,-3716" coordsize="4224,1336" path="m3808,-2380l4231,-2520,4654,-3055,5076,-2686,5498,-2414,5921,-2856,6343,-2902,6766,-3173,7186,-2419,7608,-3716,8031,-2498e" filled="false" stroked="true" strokeweight="2.75pt" strokecolor="#4471c4">
                  <v:path arrowok="t"/>
                  <v:stroke dashstyle="solid"/>
                </v:shape>
                <v:shape style="position:absolute;left:3729;top:-2461;width:155;height:155" type="#_x0000_t75" id="docshape75" stroked="false">
                  <v:imagedata r:id="rId12" o:title=""/>
                </v:shape>
                <v:shape style="position:absolute;left:4152;top:-2600;width:155;height:155" type="#_x0000_t75" id="docshape76" stroked="false">
                  <v:imagedata r:id="rId12" o:title=""/>
                </v:shape>
                <v:shape style="position:absolute;left:4574;top:-3135;width:155;height:155" type="#_x0000_t75" id="docshape77" stroked="false">
                  <v:imagedata r:id="rId12" o:title=""/>
                </v:shape>
                <v:shape style="position:absolute;left:4996;top:-2765;width:155;height:155" type="#_x0000_t75" id="docshape78" stroked="false">
                  <v:imagedata r:id="rId12" o:title=""/>
                </v:shape>
                <v:shape style="position:absolute;left:5419;top:-2494;width:155;height:155" type="#_x0000_t75" id="docshape79" stroked="false">
                  <v:imagedata r:id="rId12" o:title=""/>
                </v:shape>
                <v:shape style="position:absolute;left:5841;top:-2936;width:155;height:155" type="#_x0000_t75" id="docshape80" stroked="false">
                  <v:imagedata r:id="rId12" o:title=""/>
                </v:shape>
                <v:shape style="position:absolute;left:6264;top:-2981;width:155;height:155" type="#_x0000_t75" id="docshape81" stroked="false">
                  <v:imagedata r:id="rId12" o:title=""/>
                </v:shape>
                <v:shape style="position:absolute;left:6686;top:-3253;width:155;height:155" type="#_x0000_t75" id="docshape82" stroked="false">
                  <v:imagedata r:id="rId12" o:title=""/>
                </v:shape>
                <v:shape style="position:absolute;left:7106;top:-2499;width:155;height:155" type="#_x0000_t75" id="docshape83" stroked="false">
                  <v:imagedata r:id="rId12" o:title=""/>
                </v:shape>
                <v:shape style="position:absolute;left:7528;top:-3795;width:155;height:155" type="#_x0000_t75" id="docshape84" stroked="false">
                  <v:imagedata r:id="rId12" o:title=""/>
                </v:shape>
                <v:shape style="position:absolute;left:7951;top:-2578;width:155;height:155" type="#_x0000_t75" id="docshape85" stroked="false">
                  <v:imagedata r:id="rId12" o:title=""/>
                </v:shape>
                <v:shape style="position:absolute;left:2547;top:-2209;width:5514;height:1341" type="#_x0000_t75" id="docshape86" stroked="false">
                  <v:imagedata r:id="rId17" o:title=""/>
                </v:shape>
                <v:shape style="position:absolute;left:4300;top:-4580;width:3302;height:746" type="#_x0000_t75" id="docshape87" stroked="false">
                  <v:imagedata r:id="rId18" o:title=""/>
                </v:shape>
                <v:line style="position:absolute" from="8556,-2175" to="8940,-2175" stroked="true" strokeweight="2.75pt" strokecolor="#4471c4">
                  <v:stroke dashstyle="solid"/>
                </v:line>
                <v:shape style="position:absolute;left:8678;top:-2245;width:134;height:134" type="#_x0000_t75" id="docshape88" stroked="false">
                  <v:imagedata r:id="rId13" o:title=""/>
                </v:shape>
                <v:shape style="position:absolute;left:4528;top:-4405;width:2847;height:320" type="#_x0000_t202" id="docshape89" filled="false" stroked="false">
                  <v:textbox inset="0,0,0,0">
                    <w:txbxContent>
                      <w:p>
                        <w:pPr>
                          <w:spacing w:line="319" w:lineRule="exact" w:before="0"/>
                          <w:ind w:left="0" w:right="0" w:firstLine="0"/>
                          <w:jc w:val="left"/>
                          <w:rPr>
                            <w:rFonts w:ascii="Calibri"/>
                            <w:b/>
                            <w:sz w:val="32"/>
                          </w:rPr>
                        </w:pPr>
                        <w:r>
                          <w:rPr>
                            <w:rFonts w:ascii="Calibri"/>
                            <w:b/>
                            <w:color w:val="F1F1F1"/>
                            <w:spacing w:val="14"/>
                            <w:sz w:val="32"/>
                          </w:rPr>
                          <w:t>Exit</w:t>
                        </w:r>
                        <w:r>
                          <w:rPr>
                            <w:rFonts w:ascii="Calibri"/>
                            <w:b/>
                            <w:color w:val="F1F1F1"/>
                            <w:spacing w:val="36"/>
                            <w:sz w:val="32"/>
                          </w:rPr>
                          <w:t> </w:t>
                        </w:r>
                        <w:r>
                          <w:rPr>
                            <w:rFonts w:ascii="Calibri"/>
                            <w:b/>
                            <w:color w:val="F1F1F1"/>
                            <w:spacing w:val="10"/>
                            <w:sz w:val="32"/>
                          </w:rPr>
                          <w:t>Trend</w:t>
                        </w:r>
                        <w:r>
                          <w:rPr>
                            <w:rFonts w:ascii="Calibri"/>
                            <w:b/>
                            <w:color w:val="F1F1F1"/>
                            <w:spacing w:val="39"/>
                            <w:sz w:val="32"/>
                          </w:rPr>
                          <w:t> </w:t>
                        </w:r>
                        <w:r>
                          <w:rPr>
                            <w:rFonts w:ascii="Calibri"/>
                            <w:b/>
                            <w:color w:val="F1F1F1"/>
                            <w:spacing w:val="14"/>
                            <w:sz w:val="32"/>
                          </w:rPr>
                          <w:t>Analysis</w:t>
                        </w:r>
                      </w:p>
                    </w:txbxContent>
                  </v:textbox>
                  <w10:wrap type="none"/>
                </v:shape>
                <v:shape style="position:absolute;left:2883;top:-3914;width:568;height:1656" type="#_x0000_t202" id="docshape90" filled="false" stroked="false">
                  <v:textbox inset="0,0,0,0">
                    <w:txbxContent>
                      <w:p>
                        <w:pPr>
                          <w:spacing w:line="156" w:lineRule="exact" w:before="0"/>
                          <w:ind w:left="0" w:right="18" w:firstLine="0"/>
                          <w:jc w:val="right"/>
                          <w:rPr>
                            <w:rFonts w:ascii="Calibri"/>
                            <w:sz w:val="18"/>
                          </w:rPr>
                        </w:pPr>
                        <w:r>
                          <w:rPr>
                            <w:rFonts w:ascii="Calibri"/>
                            <w:color w:val="D9D9D9"/>
                            <w:spacing w:val="-2"/>
                            <w:sz w:val="18"/>
                          </w:rPr>
                          <w:t>450000</w:t>
                        </w:r>
                      </w:p>
                      <w:p>
                        <w:pPr>
                          <w:spacing w:line="164" w:lineRule="exact" w:before="0"/>
                          <w:ind w:left="0" w:right="18" w:firstLine="0"/>
                          <w:jc w:val="right"/>
                          <w:rPr>
                            <w:rFonts w:ascii="Calibri"/>
                            <w:sz w:val="18"/>
                          </w:rPr>
                        </w:pPr>
                        <w:r>
                          <w:rPr>
                            <w:rFonts w:ascii="Calibri"/>
                            <w:color w:val="D9D9D9"/>
                            <w:spacing w:val="-2"/>
                            <w:sz w:val="18"/>
                          </w:rPr>
                          <w:t>400000</w:t>
                        </w:r>
                      </w:p>
                      <w:p>
                        <w:pPr>
                          <w:spacing w:line="164" w:lineRule="exact" w:before="0"/>
                          <w:ind w:left="0" w:right="18" w:firstLine="0"/>
                          <w:jc w:val="right"/>
                          <w:rPr>
                            <w:rFonts w:ascii="Calibri"/>
                            <w:sz w:val="18"/>
                          </w:rPr>
                        </w:pPr>
                        <w:r>
                          <w:rPr>
                            <w:rFonts w:ascii="Calibri"/>
                            <w:color w:val="D9D9D9"/>
                            <w:spacing w:val="-2"/>
                            <w:sz w:val="18"/>
                          </w:rPr>
                          <w:t>350000</w:t>
                        </w:r>
                      </w:p>
                      <w:p>
                        <w:pPr>
                          <w:spacing w:line="164" w:lineRule="exact" w:before="0"/>
                          <w:ind w:left="0" w:right="18" w:firstLine="0"/>
                          <w:jc w:val="right"/>
                          <w:rPr>
                            <w:rFonts w:ascii="Calibri"/>
                            <w:sz w:val="18"/>
                          </w:rPr>
                        </w:pPr>
                        <w:r>
                          <w:rPr>
                            <w:rFonts w:ascii="Calibri"/>
                            <w:color w:val="D9D9D9"/>
                            <w:spacing w:val="-2"/>
                            <w:sz w:val="18"/>
                          </w:rPr>
                          <w:t>300000</w:t>
                        </w:r>
                      </w:p>
                      <w:p>
                        <w:pPr>
                          <w:spacing w:line="164" w:lineRule="exact" w:before="0"/>
                          <w:ind w:left="0" w:right="18" w:firstLine="0"/>
                          <w:jc w:val="right"/>
                          <w:rPr>
                            <w:rFonts w:ascii="Calibri"/>
                            <w:sz w:val="18"/>
                          </w:rPr>
                        </w:pPr>
                        <w:r>
                          <w:rPr>
                            <w:rFonts w:ascii="Calibri"/>
                            <w:color w:val="D9D9D9"/>
                            <w:spacing w:val="-2"/>
                            <w:sz w:val="18"/>
                          </w:rPr>
                          <w:t>250000</w:t>
                        </w:r>
                      </w:p>
                      <w:p>
                        <w:pPr>
                          <w:spacing w:line="164" w:lineRule="exact" w:before="0"/>
                          <w:ind w:left="0" w:right="18" w:firstLine="0"/>
                          <w:jc w:val="right"/>
                          <w:rPr>
                            <w:rFonts w:ascii="Calibri"/>
                            <w:sz w:val="18"/>
                          </w:rPr>
                        </w:pPr>
                        <w:r>
                          <w:rPr>
                            <w:rFonts w:ascii="Calibri"/>
                            <w:color w:val="D9D9D9"/>
                            <w:spacing w:val="-2"/>
                            <w:sz w:val="18"/>
                          </w:rPr>
                          <w:t>200000</w:t>
                        </w:r>
                      </w:p>
                      <w:p>
                        <w:pPr>
                          <w:spacing w:line="164" w:lineRule="exact" w:before="0"/>
                          <w:ind w:left="0" w:right="18" w:firstLine="0"/>
                          <w:jc w:val="right"/>
                          <w:rPr>
                            <w:rFonts w:ascii="Calibri"/>
                            <w:sz w:val="18"/>
                          </w:rPr>
                        </w:pPr>
                        <w:r>
                          <w:rPr>
                            <w:rFonts w:ascii="Calibri"/>
                            <w:color w:val="D9D9D9"/>
                            <w:spacing w:val="-2"/>
                            <w:sz w:val="18"/>
                          </w:rPr>
                          <w:t>150000</w:t>
                        </w:r>
                      </w:p>
                      <w:p>
                        <w:pPr>
                          <w:spacing w:line="164" w:lineRule="exact" w:before="0"/>
                          <w:ind w:left="0" w:right="18" w:firstLine="0"/>
                          <w:jc w:val="right"/>
                          <w:rPr>
                            <w:rFonts w:ascii="Calibri"/>
                            <w:sz w:val="18"/>
                          </w:rPr>
                        </w:pPr>
                        <w:r>
                          <w:rPr>
                            <w:rFonts w:ascii="Calibri"/>
                            <w:color w:val="D9D9D9"/>
                            <w:spacing w:val="-2"/>
                            <w:sz w:val="18"/>
                          </w:rPr>
                          <w:t>100000</w:t>
                        </w:r>
                      </w:p>
                      <w:p>
                        <w:pPr>
                          <w:spacing w:line="164" w:lineRule="exact" w:before="0"/>
                          <w:ind w:left="0" w:right="18" w:firstLine="0"/>
                          <w:jc w:val="right"/>
                          <w:rPr>
                            <w:rFonts w:ascii="Calibri"/>
                            <w:sz w:val="18"/>
                          </w:rPr>
                        </w:pPr>
                        <w:r>
                          <w:rPr>
                            <w:rFonts w:ascii="Calibri"/>
                            <w:color w:val="D9D9D9"/>
                            <w:spacing w:val="-2"/>
                            <w:sz w:val="18"/>
                          </w:rPr>
                          <w:t>50000</w:t>
                        </w:r>
                      </w:p>
                      <w:p>
                        <w:pPr>
                          <w:spacing w:line="189" w:lineRule="exact" w:before="0"/>
                          <w:ind w:left="0" w:right="18" w:firstLine="0"/>
                          <w:jc w:val="right"/>
                          <w:rPr>
                            <w:rFonts w:ascii="Calibri"/>
                            <w:sz w:val="18"/>
                          </w:rPr>
                        </w:pPr>
                        <w:r>
                          <w:rPr>
                            <w:rFonts w:ascii="Calibri"/>
                            <w:color w:val="D9D9D9"/>
                            <w:spacing w:val="-10"/>
                            <w:sz w:val="18"/>
                          </w:rPr>
                          <w:t>0</w:t>
                        </w:r>
                      </w:p>
                    </w:txbxContent>
                  </v:textbox>
                  <w10:wrap type="none"/>
                </v:shape>
                <v:shape style="position:absolute;left:8981;top:-2259;width:391;height:180" type="#_x0000_t202" id="docshape91" filled="false" stroked="false">
                  <v:textbox inset="0,0,0,0">
                    <w:txbxContent>
                      <w:p>
                        <w:pPr>
                          <w:spacing w:line="180" w:lineRule="exact" w:before="0"/>
                          <w:ind w:left="0" w:right="0" w:firstLine="0"/>
                          <w:jc w:val="left"/>
                          <w:rPr>
                            <w:rFonts w:ascii="Calibri"/>
                            <w:sz w:val="18"/>
                          </w:rPr>
                        </w:pPr>
                        <w:r>
                          <w:rPr>
                            <w:rFonts w:ascii="Calibri"/>
                            <w:color w:val="D9D9D9"/>
                            <w:spacing w:val="-2"/>
                            <w:sz w:val="18"/>
                          </w:rPr>
                          <w:t>Total</w:t>
                        </w:r>
                      </w:p>
                    </w:txbxContent>
                  </v:textbox>
                  <w10:wrap type="none"/>
                </v:shape>
                <v:shape style="position:absolute;left:4996;top:-734;width:1864;height:180" type="#_x0000_t202" id="docshape92" filled="false" stroked="false">
                  <v:textbox inset="0,0,0,0">
                    <w:txbxContent>
                      <w:p>
                        <w:pPr>
                          <w:spacing w:line="180" w:lineRule="exact" w:before="0"/>
                          <w:ind w:left="0" w:right="0" w:firstLine="0"/>
                          <w:jc w:val="left"/>
                          <w:rPr>
                            <w:rFonts w:ascii="Calibri"/>
                            <w:b/>
                            <w:sz w:val="18"/>
                          </w:rPr>
                        </w:pPr>
                        <w:r>
                          <w:rPr>
                            <w:rFonts w:ascii="Calibri"/>
                            <w:b/>
                            <w:color w:val="D9D9D9"/>
                            <w:sz w:val="18"/>
                          </w:rPr>
                          <w:t>EXIT</w:t>
                        </w:r>
                        <w:r>
                          <w:rPr>
                            <w:rFonts w:ascii="Calibri"/>
                            <w:b/>
                            <w:color w:val="D9D9D9"/>
                            <w:spacing w:val="-3"/>
                            <w:sz w:val="18"/>
                          </w:rPr>
                          <w:t> </w:t>
                        </w:r>
                        <w:r>
                          <w:rPr>
                            <w:rFonts w:ascii="Calibri"/>
                            <w:b/>
                            <w:color w:val="D9D9D9"/>
                            <w:sz w:val="18"/>
                          </w:rPr>
                          <w:t>SECTOR</w:t>
                        </w:r>
                        <w:r>
                          <w:rPr>
                            <w:rFonts w:ascii="Calibri"/>
                            <w:b/>
                            <w:color w:val="D9D9D9"/>
                            <w:spacing w:val="-3"/>
                            <w:sz w:val="18"/>
                          </w:rPr>
                          <w:t> </w:t>
                        </w:r>
                        <w:r>
                          <w:rPr>
                            <w:rFonts w:ascii="Calibri"/>
                            <w:b/>
                            <w:color w:val="D9D9D9"/>
                            <w:spacing w:val="-2"/>
                            <w:sz w:val="18"/>
                          </w:rPr>
                          <w:t>PORTFOLIO</w:t>
                        </w:r>
                      </w:p>
                    </w:txbxContent>
                  </v:textbox>
                  <w10:wrap type="none"/>
                </v:shape>
                <w10:wrap type="none"/>
              </v:group>
            </w:pict>
          </mc:Fallback>
        </mc:AlternateContent>
      </w:r>
      <w:r>
        <w:rPr>
          <w:i/>
          <w:color w:val="44536A"/>
          <w:sz w:val="18"/>
        </w:rPr>
        <w:t>Figure</w:t>
      </w:r>
      <w:r>
        <w:rPr>
          <w:i/>
          <w:color w:val="44536A"/>
          <w:spacing w:val="-2"/>
          <w:sz w:val="18"/>
        </w:rPr>
        <w:t> </w:t>
      </w:r>
      <w:r>
        <w:rPr>
          <w:i/>
          <w:color w:val="44536A"/>
          <w:sz w:val="18"/>
        </w:rPr>
        <w:t>4:</w:t>
      </w:r>
      <w:r>
        <w:rPr>
          <w:i/>
          <w:color w:val="44536A"/>
          <w:spacing w:val="-4"/>
          <w:sz w:val="18"/>
        </w:rPr>
        <w:t> </w:t>
      </w:r>
      <w:r>
        <w:rPr>
          <w:i/>
          <w:color w:val="44536A"/>
          <w:sz w:val="18"/>
        </w:rPr>
        <w:t>Exit</w:t>
      </w:r>
      <w:r>
        <w:rPr>
          <w:i/>
          <w:color w:val="44536A"/>
          <w:spacing w:val="-3"/>
          <w:sz w:val="18"/>
        </w:rPr>
        <w:t> </w:t>
      </w:r>
      <w:r>
        <w:rPr>
          <w:i/>
          <w:color w:val="44536A"/>
          <w:spacing w:val="-4"/>
          <w:sz w:val="18"/>
        </w:rPr>
        <w:t>data</w:t>
      </w:r>
    </w:p>
    <w:p>
      <w:pPr>
        <w:pStyle w:val="BodyText"/>
        <w:spacing w:line="360" w:lineRule="auto" w:before="197"/>
        <w:ind w:left="23" w:right="16"/>
        <w:jc w:val="both"/>
      </w:pPr>
      <w:r>
        <w:rPr/>
        <w:t>Exit activity is most concentrated in Technology, Industrials and Consumer Cyclicals, reflecting</w:t>
      </w:r>
      <w:r>
        <w:rPr>
          <w:spacing w:val="-9"/>
        </w:rPr>
        <w:t> </w:t>
      </w:r>
      <w:r>
        <w:rPr/>
        <w:t>investment</w:t>
      </w:r>
      <w:r>
        <w:rPr>
          <w:spacing w:val="-9"/>
        </w:rPr>
        <w:t> </w:t>
      </w:r>
      <w:r>
        <w:rPr/>
        <w:t>trends</w:t>
      </w:r>
      <w:r>
        <w:rPr>
          <w:spacing w:val="-9"/>
        </w:rPr>
        <w:t> </w:t>
      </w:r>
      <w:r>
        <w:rPr/>
        <w:t>and</w:t>
      </w:r>
      <w:r>
        <w:rPr>
          <w:spacing w:val="-9"/>
        </w:rPr>
        <w:t> </w:t>
      </w:r>
      <w:r>
        <w:rPr/>
        <w:t>showing</w:t>
      </w:r>
      <w:r>
        <w:rPr>
          <w:spacing w:val="-9"/>
        </w:rPr>
        <w:t> </w:t>
      </w:r>
      <w:r>
        <w:rPr/>
        <w:t>matching</w:t>
      </w:r>
      <w:r>
        <w:rPr>
          <w:spacing w:val="-9"/>
        </w:rPr>
        <w:t> </w:t>
      </w:r>
      <w:r>
        <w:rPr/>
        <w:t>between</w:t>
      </w:r>
      <w:r>
        <w:rPr>
          <w:spacing w:val="-7"/>
        </w:rPr>
        <w:t> </w:t>
      </w:r>
      <w:r>
        <w:rPr/>
        <w:t>capital</w:t>
      </w:r>
      <w:r>
        <w:rPr>
          <w:spacing w:val="-7"/>
        </w:rPr>
        <w:t> </w:t>
      </w:r>
      <w:r>
        <w:rPr/>
        <w:t>entry</w:t>
      </w:r>
      <w:r>
        <w:rPr>
          <w:spacing w:val="-10"/>
        </w:rPr>
        <w:t> </w:t>
      </w:r>
      <w:r>
        <w:rPr/>
        <w:t>and</w:t>
      </w:r>
      <w:r>
        <w:rPr>
          <w:spacing w:val="-9"/>
        </w:rPr>
        <w:t> </w:t>
      </w:r>
      <w:r>
        <w:rPr/>
        <w:t>capital</w:t>
      </w:r>
      <w:r>
        <w:rPr>
          <w:spacing w:val="-9"/>
        </w:rPr>
        <w:t> </w:t>
      </w:r>
      <w:r>
        <w:rPr/>
        <w:t>recovery. However, sectors like Real Estate and Energy have comparatively low exit throughput which is</w:t>
      </w:r>
      <w:r>
        <w:rPr>
          <w:spacing w:val="-7"/>
        </w:rPr>
        <w:t> </w:t>
      </w:r>
      <w:r>
        <w:rPr/>
        <w:t>a</w:t>
      </w:r>
      <w:r>
        <w:rPr>
          <w:spacing w:val="-8"/>
        </w:rPr>
        <w:t> </w:t>
      </w:r>
      <w:r>
        <w:rPr/>
        <w:t>signal</w:t>
      </w:r>
      <w:r>
        <w:rPr>
          <w:spacing w:val="-7"/>
        </w:rPr>
        <w:t> </w:t>
      </w:r>
      <w:r>
        <w:rPr/>
        <w:t>of</w:t>
      </w:r>
      <w:r>
        <w:rPr>
          <w:spacing w:val="-8"/>
        </w:rPr>
        <w:t> </w:t>
      </w:r>
      <w:r>
        <w:rPr/>
        <w:t>low</w:t>
      </w:r>
      <w:r>
        <w:rPr>
          <w:spacing w:val="-7"/>
        </w:rPr>
        <w:t> </w:t>
      </w:r>
      <w:r>
        <w:rPr/>
        <w:t>liquidity</w:t>
      </w:r>
      <w:r>
        <w:rPr>
          <w:spacing w:val="-7"/>
        </w:rPr>
        <w:t> </w:t>
      </w:r>
      <w:r>
        <w:rPr/>
        <w:t>potential.</w:t>
      </w:r>
      <w:r>
        <w:rPr>
          <w:spacing w:val="-12"/>
        </w:rPr>
        <w:t> </w:t>
      </w:r>
      <w:r>
        <w:rPr/>
        <w:t>While</w:t>
      </w:r>
      <w:r>
        <w:rPr>
          <w:spacing w:val="-8"/>
        </w:rPr>
        <w:t> </w:t>
      </w:r>
      <w:r>
        <w:rPr/>
        <w:t>exit</w:t>
      </w:r>
      <w:r>
        <w:rPr>
          <w:spacing w:val="-7"/>
        </w:rPr>
        <w:t> </w:t>
      </w:r>
      <w:r>
        <w:rPr/>
        <w:t>values</w:t>
      </w:r>
      <w:r>
        <w:rPr>
          <w:spacing w:val="-8"/>
        </w:rPr>
        <w:t> </w:t>
      </w:r>
      <w:r>
        <w:rPr/>
        <w:t>are</w:t>
      </w:r>
      <w:r>
        <w:rPr>
          <w:spacing w:val="-9"/>
        </w:rPr>
        <w:t> </w:t>
      </w:r>
      <w:r>
        <w:rPr/>
        <w:t>not</w:t>
      </w:r>
      <w:r>
        <w:rPr>
          <w:spacing w:val="-4"/>
        </w:rPr>
        <w:t> </w:t>
      </w:r>
      <w:r>
        <w:rPr/>
        <w:t>always</w:t>
      </w:r>
      <w:r>
        <w:rPr>
          <w:spacing w:val="-5"/>
        </w:rPr>
        <w:t> </w:t>
      </w:r>
      <w:r>
        <w:rPr/>
        <w:t>available,</w:t>
      </w:r>
      <w:r>
        <w:rPr>
          <w:spacing w:val="-8"/>
        </w:rPr>
        <w:t> </w:t>
      </w:r>
      <w:r>
        <w:rPr/>
        <w:t>the</w:t>
      </w:r>
      <w:r>
        <w:rPr>
          <w:spacing w:val="-8"/>
        </w:rPr>
        <w:t> </w:t>
      </w:r>
      <w:r>
        <w:rPr/>
        <w:t>prevalence of exit mechanisms suggests that India's exit environment is still dependent upon strategic consolidation (M&amp;A) as opposed to public markets or secondary transactions. This supports the notion of a developing but uneven exit landscape.</w:t>
      </w:r>
    </w:p>
    <w:p>
      <w:pPr>
        <w:pStyle w:val="Heading2"/>
        <w:numPr>
          <w:ilvl w:val="1"/>
          <w:numId w:val="5"/>
        </w:numPr>
        <w:tabs>
          <w:tab w:pos="406" w:val="left" w:leader="none"/>
        </w:tabs>
        <w:spacing w:line="240" w:lineRule="auto" w:before="161" w:after="0"/>
        <w:ind w:left="406" w:right="0" w:hanging="383"/>
        <w:jc w:val="both"/>
      </w:pPr>
      <w:bookmarkStart w:name="_bookmark42" w:id="43"/>
      <w:bookmarkEnd w:id="43"/>
      <w:r>
        <w:rPr>
          <w:b w:val="0"/>
        </w:rPr>
      </w:r>
      <w:r>
        <w:rPr>
          <w:spacing w:val="-2"/>
        </w:rPr>
        <w:t>Trend</w:t>
      </w:r>
      <w:r>
        <w:rPr>
          <w:spacing w:val="-15"/>
        </w:rPr>
        <w:t> </w:t>
      </w:r>
      <w:r>
        <w:rPr>
          <w:spacing w:val="-2"/>
        </w:rPr>
        <w:t>Analysis</w:t>
      </w:r>
      <w:r>
        <w:rPr>
          <w:spacing w:val="-4"/>
        </w:rPr>
        <w:t> </w:t>
      </w:r>
      <w:r>
        <w:rPr>
          <w:spacing w:val="-2"/>
        </w:rPr>
        <w:t>of</w:t>
      </w:r>
      <w:r>
        <w:rPr/>
        <w:t> </w:t>
      </w:r>
      <w:r>
        <w:rPr>
          <w:spacing w:val="-2"/>
        </w:rPr>
        <w:t>Investments (2005–2024)</w:t>
      </w:r>
    </w:p>
    <w:p>
      <w:pPr>
        <w:pStyle w:val="BodyText"/>
        <w:spacing w:line="360" w:lineRule="auto" w:before="229"/>
        <w:ind w:left="23" w:right="19"/>
        <w:jc w:val="both"/>
      </w:pPr>
      <w:r>
        <w:rPr/>
        <w:t>This</w:t>
      </w:r>
      <w:r>
        <w:rPr>
          <w:spacing w:val="-15"/>
        </w:rPr>
        <w:t> </w:t>
      </w:r>
      <w:r>
        <w:rPr/>
        <w:t>section</w:t>
      </w:r>
      <w:r>
        <w:rPr>
          <w:spacing w:val="-15"/>
        </w:rPr>
        <w:t> </w:t>
      </w:r>
      <w:r>
        <w:rPr/>
        <w:t>examines</w:t>
      </w:r>
      <w:r>
        <w:rPr>
          <w:spacing w:val="-15"/>
        </w:rPr>
        <w:t> </w:t>
      </w:r>
      <w:r>
        <w:rPr/>
        <w:t>the</w:t>
      </w:r>
      <w:r>
        <w:rPr>
          <w:spacing w:val="-15"/>
        </w:rPr>
        <w:t> </w:t>
      </w:r>
      <w:r>
        <w:rPr/>
        <w:t>development</w:t>
      </w:r>
      <w:r>
        <w:rPr>
          <w:spacing w:val="-15"/>
        </w:rPr>
        <w:t> </w:t>
      </w:r>
      <w:r>
        <w:rPr/>
        <w:t>of</w:t>
      </w:r>
      <w:r>
        <w:rPr>
          <w:spacing w:val="-15"/>
        </w:rPr>
        <w:t> </w:t>
      </w:r>
      <w:r>
        <w:rPr/>
        <w:t>private</w:t>
      </w:r>
      <w:r>
        <w:rPr>
          <w:spacing w:val="-15"/>
        </w:rPr>
        <w:t> </w:t>
      </w:r>
      <w:r>
        <w:rPr/>
        <w:t>equity</w:t>
      </w:r>
      <w:r>
        <w:rPr>
          <w:spacing w:val="-15"/>
        </w:rPr>
        <w:t> </w:t>
      </w:r>
      <w:r>
        <w:rPr/>
        <w:t>investment</w:t>
      </w:r>
      <w:r>
        <w:rPr>
          <w:spacing w:val="-15"/>
        </w:rPr>
        <w:t> </w:t>
      </w:r>
      <w:r>
        <w:rPr/>
        <w:t>activity</w:t>
      </w:r>
      <w:r>
        <w:rPr>
          <w:spacing w:val="-15"/>
        </w:rPr>
        <w:t> </w:t>
      </w:r>
      <w:r>
        <w:rPr/>
        <w:t>in</w:t>
      </w:r>
      <w:r>
        <w:rPr>
          <w:spacing w:val="-15"/>
        </w:rPr>
        <w:t> </w:t>
      </w:r>
      <w:r>
        <w:rPr/>
        <w:t>India</w:t>
      </w:r>
      <w:r>
        <w:rPr>
          <w:spacing w:val="-15"/>
        </w:rPr>
        <w:t> </w:t>
      </w:r>
      <w:r>
        <w:rPr/>
        <w:t>from</w:t>
      </w:r>
      <w:r>
        <w:rPr>
          <w:spacing w:val="-15"/>
        </w:rPr>
        <w:t> </w:t>
      </w:r>
      <w:r>
        <w:rPr/>
        <w:t>2005 to</w:t>
      </w:r>
      <w:r>
        <w:rPr>
          <w:spacing w:val="-8"/>
        </w:rPr>
        <w:t> </w:t>
      </w:r>
      <w:r>
        <w:rPr/>
        <w:t>2024,</w:t>
      </w:r>
      <w:r>
        <w:rPr>
          <w:spacing w:val="-8"/>
        </w:rPr>
        <w:t> </w:t>
      </w:r>
      <w:r>
        <w:rPr/>
        <w:t>specifically</w:t>
      </w:r>
      <w:r>
        <w:rPr>
          <w:spacing w:val="-8"/>
        </w:rPr>
        <w:t> </w:t>
      </w:r>
      <w:r>
        <w:rPr/>
        <w:t>in</w:t>
      </w:r>
      <w:r>
        <w:rPr>
          <w:spacing w:val="-8"/>
        </w:rPr>
        <w:t> </w:t>
      </w:r>
      <w:r>
        <w:rPr/>
        <w:t>terms</w:t>
      </w:r>
      <w:r>
        <w:rPr>
          <w:spacing w:val="-8"/>
        </w:rPr>
        <w:t> </w:t>
      </w:r>
      <w:r>
        <w:rPr/>
        <w:t>of</w:t>
      </w:r>
      <w:r>
        <w:rPr>
          <w:spacing w:val="-9"/>
        </w:rPr>
        <w:t> </w:t>
      </w:r>
      <w:r>
        <w:rPr/>
        <w:t>the</w:t>
      </w:r>
      <w:r>
        <w:rPr>
          <w:spacing w:val="-9"/>
        </w:rPr>
        <w:t> </w:t>
      </w:r>
      <w:r>
        <w:rPr/>
        <w:t>change</w:t>
      </w:r>
      <w:r>
        <w:rPr>
          <w:spacing w:val="-9"/>
        </w:rPr>
        <w:t> </w:t>
      </w:r>
      <w:r>
        <w:rPr/>
        <w:t>of</w:t>
      </w:r>
      <w:r>
        <w:rPr>
          <w:spacing w:val="-9"/>
        </w:rPr>
        <w:t> </w:t>
      </w:r>
      <w:r>
        <w:rPr/>
        <w:t>deal</w:t>
      </w:r>
      <w:r>
        <w:rPr>
          <w:spacing w:val="-8"/>
        </w:rPr>
        <w:t> </w:t>
      </w:r>
      <w:r>
        <w:rPr/>
        <w:t>volumes</w:t>
      </w:r>
      <w:r>
        <w:rPr>
          <w:spacing w:val="-8"/>
        </w:rPr>
        <w:t> </w:t>
      </w:r>
      <w:r>
        <w:rPr/>
        <w:t>and</w:t>
      </w:r>
      <w:r>
        <w:rPr>
          <w:spacing w:val="-8"/>
        </w:rPr>
        <w:t> </w:t>
      </w:r>
      <w:r>
        <w:rPr/>
        <w:t>deployed</w:t>
      </w:r>
      <w:r>
        <w:rPr>
          <w:spacing w:val="-9"/>
        </w:rPr>
        <w:t> </w:t>
      </w:r>
      <w:r>
        <w:rPr/>
        <w:t>capital.</w:t>
      </w:r>
      <w:r>
        <w:rPr>
          <w:spacing w:val="-12"/>
        </w:rPr>
        <w:t> </w:t>
      </w:r>
      <w:r>
        <w:rPr/>
        <w:t>The</w:t>
      </w:r>
      <w:r>
        <w:rPr>
          <w:spacing w:val="-9"/>
        </w:rPr>
        <w:t> </w:t>
      </w:r>
      <w:r>
        <w:rPr/>
        <w:t>analysis assesses the extent to which patterns in investment behaviour are consistent with macroeconomic</w:t>
      </w:r>
      <w:r>
        <w:rPr>
          <w:spacing w:val="-15"/>
        </w:rPr>
        <w:t> </w:t>
      </w:r>
      <w:r>
        <w:rPr/>
        <w:t>conditions,</w:t>
      </w:r>
      <w:r>
        <w:rPr>
          <w:spacing w:val="-15"/>
        </w:rPr>
        <w:t> </w:t>
      </w:r>
      <w:r>
        <w:rPr/>
        <w:t>regulatory</w:t>
      </w:r>
      <w:r>
        <w:rPr>
          <w:spacing w:val="-13"/>
        </w:rPr>
        <w:t> </w:t>
      </w:r>
      <w:r>
        <w:rPr/>
        <w:t>reforms,</w:t>
      </w:r>
      <w:r>
        <w:rPr>
          <w:spacing w:val="-15"/>
        </w:rPr>
        <w:t> </w:t>
      </w:r>
      <w:r>
        <w:rPr/>
        <w:t>and</w:t>
      </w:r>
      <w:r>
        <w:rPr>
          <w:spacing w:val="-15"/>
        </w:rPr>
        <w:t> </w:t>
      </w:r>
      <w:r>
        <w:rPr/>
        <w:t>sectoral</w:t>
      </w:r>
      <w:r>
        <w:rPr>
          <w:spacing w:val="-14"/>
        </w:rPr>
        <w:t> </w:t>
      </w:r>
      <w:r>
        <w:rPr/>
        <w:t>transformations.</w:t>
      </w:r>
      <w:r>
        <w:rPr>
          <w:spacing w:val="-15"/>
        </w:rPr>
        <w:t> </w:t>
      </w:r>
      <w:r>
        <w:rPr/>
        <w:t>It</w:t>
      </w:r>
      <w:r>
        <w:rPr>
          <w:spacing w:val="-15"/>
        </w:rPr>
        <w:t> </w:t>
      </w:r>
      <w:r>
        <w:rPr/>
        <w:t>uses</w:t>
      </w:r>
      <w:r>
        <w:rPr>
          <w:spacing w:val="-15"/>
        </w:rPr>
        <w:t> </w:t>
      </w:r>
      <w:r>
        <w:rPr/>
        <w:t>the</w:t>
      </w:r>
      <w:r>
        <w:rPr>
          <w:spacing w:val="-15"/>
        </w:rPr>
        <w:t> </w:t>
      </w:r>
      <w:r>
        <w:rPr/>
        <w:t>annual number</w:t>
      </w:r>
      <w:r>
        <w:rPr>
          <w:spacing w:val="-9"/>
        </w:rPr>
        <w:t> </w:t>
      </w:r>
      <w:r>
        <w:rPr/>
        <w:t>of</w:t>
      </w:r>
      <w:r>
        <w:rPr>
          <w:spacing w:val="-7"/>
        </w:rPr>
        <w:t> </w:t>
      </w:r>
      <w:r>
        <w:rPr/>
        <w:t>deals</w:t>
      </w:r>
      <w:r>
        <w:rPr>
          <w:spacing w:val="-6"/>
        </w:rPr>
        <w:t> </w:t>
      </w:r>
      <w:r>
        <w:rPr/>
        <w:t>and</w:t>
      </w:r>
      <w:r>
        <w:rPr>
          <w:spacing w:val="-5"/>
        </w:rPr>
        <w:t> </w:t>
      </w:r>
      <w:r>
        <w:rPr/>
        <w:t>annual</w:t>
      </w:r>
      <w:r>
        <w:rPr>
          <w:spacing w:val="-6"/>
        </w:rPr>
        <w:t> </w:t>
      </w:r>
      <w:r>
        <w:rPr/>
        <w:t>capital</w:t>
      </w:r>
      <w:r>
        <w:rPr>
          <w:spacing w:val="-6"/>
        </w:rPr>
        <w:t> </w:t>
      </w:r>
      <w:r>
        <w:rPr/>
        <w:t>deployment</w:t>
      </w:r>
      <w:r>
        <w:rPr>
          <w:spacing w:val="-6"/>
        </w:rPr>
        <w:t> </w:t>
      </w:r>
      <w:r>
        <w:rPr/>
        <w:t>outputs</w:t>
      </w:r>
      <w:r>
        <w:rPr>
          <w:spacing w:val="-5"/>
        </w:rPr>
        <w:t> </w:t>
      </w:r>
      <w:r>
        <w:rPr/>
        <w:t>generated</w:t>
      </w:r>
      <w:r>
        <w:rPr>
          <w:spacing w:val="-7"/>
        </w:rPr>
        <w:t> </w:t>
      </w:r>
      <w:r>
        <w:rPr/>
        <w:t>from</w:t>
      </w:r>
      <w:r>
        <w:rPr>
          <w:spacing w:val="-6"/>
        </w:rPr>
        <w:t> </w:t>
      </w:r>
      <w:r>
        <w:rPr/>
        <w:t>the</w:t>
      </w:r>
      <w:r>
        <w:rPr>
          <w:spacing w:val="-5"/>
        </w:rPr>
        <w:t> </w:t>
      </w:r>
      <w:r>
        <w:rPr/>
        <w:t>investment</w:t>
      </w:r>
      <w:r>
        <w:rPr>
          <w:spacing w:val="-5"/>
        </w:rPr>
        <w:t> </w:t>
      </w:r>
      <w:r>
        <w:rPr>
          <w:spacing w:val="-2"/>
        </w:rPr>
        <w:t>dataset.</w:t>
      </w:r>
    </w:p>
    <w:p>
      <w:pPr>
        <w:pStyle w:val="BodyText"/>
        <w:spacing w:line="360" w:lineRule="auto" w:before="160"/>
        <w:ind w:left="23" w:right="16"/>
        <w:jc w:val="both"/>
      </w:pPr>
      <w:r>
        <w:rPr/>
        <w:t>The investment dataset includes aggregated round-level investment values rather than per- transaction investment size. Exit performance was not analyzed due to the unavailability of return-based</w:t>
      </w:r>
      <w:r>
        <w:rPr>
          <w:spacing w:val="-6"/>
        </w:rPr>
        <w:t> </w:t>
      </w:r>
      <w:r>
        <w:rPr/>
        <w:t>metrics</w:t>
      </w:r>
      <w:r>
        <w:rPr>
          <w:spacing w:val="-6"/>
        </w:rPr>
        <w:t> </w:t>
      </w:r>
      <w:r>
        <w:rPr/>
        <w:t>(IRR,</w:t>
      </w:r>
      <w:r>
        <w:rPr>
          <w:spacing w:val="-6"/>
        </w:rPr>
        <w:t> </w:t>
      </w:r>
      <w:r>
        <w:rPr/>
        <w:t>MOIC).</w:t>
      </w:r>
      <w:r>
        <w:rPr>
          <w:spacing w:val="-7"/>
        </w:rPr>
        <w:t> </w:t>
      </w:r>
      <w:r>
        <w:rPr/>
        <w:t>Instead,</w:t>
      </w:r>
      <w:r>
        <w:rPr>
          <w:spacing w:val="-6"/>
        </w:rPr>
        <w:t> </w:t>
      </w:r>
      <w:r>
        <w:rPr/>
        <w:t>exit</w:t>
      </w:r>
      <w:r>
        <w:rPr>
          <w:spacing w:val="-5"/>
        </w:rPr>
        <w:t> </w:t>
      </w:r>
      <w:r>
        <w:rPr/>
        <w:t>frequency</w:t>
      </w:r>
      <w:r>
        <w:rPr>
          <w:spacing w:val="-4"/>
        </w:rPr>
        <w:t> </w:t>
      </w:r>
      <w:r>
        <w:rPr/>
        <w:t>and</w:t>
      </w:r>
      <w:r>
        <w:rPr>
          <w:spacing w:val="-6"/>
        </w:rPr>
        <w:t> </w:t>
      </w:r>
      <w:r>
        <w:rPr/>
        <w:t>exit</w:t>
      </w:r>
      <w:r>
        <w:rPr>
          <w:spacing w:val="-5"/>
        </w:rPr>
        <w:t> </w:t>
      </w:r>
      <w:r>
        <w:rPr/>
        <w:t>route</w:t>
      </w:r>
      <w:r>
        <w:rPr>
          <w:spacing w:val="-7"/>
        </w:rPr>
        <w:t> </w:t>
      </w:r>
      <w:r>
        <w:rPr/>
        <w:t>distributions</w:t>
      </w:r>
      <w:r>
        <w:rPr>
          <w:spacing w:val="-5"/>
        </w:rPr>
        <w:t> </w:t>
      </w:r>
      <w:r>
        <w:rPr/>
        <w:t>(M&amp;A, IPOs) were analyzed.</w:t>
      </w:r>
    </w:p>
    <w:p>
      <w:pPr>
        <w:pStyle w:val="BodyText"/>
        <w:spacing w:after="0" w:line="360" w:lineRule="auto"/>
        <w:jc w:val="both"/>
        <w:sectPr>
          <w:pgSz w:w="11910" w:h="16840"/>
          <w:pgMar w:header="0" w:footer="1009" w:top="1420" w:bottom="1200" w:left="1417" w:right="1417"/>
        </w:sectPr>
      </w:pPr>
    </w:p>
    <w:p>
      <w:pPr>
        <w:pStyle w:val="Heading3"/>
        <w:numPr>
          <w:ilvl w:val="2"/>
          <w:numId w:val="5"/>
        </w:numPr>
        <w:tabs>
          <w:tab w:pos="548" w:val="left" w:leader="none"/>
        </w:tabs>
        <w:spacing w:line="240" w:lineRule="auto" w:before="61" w:after="0"/>
        <w:ind w:left="548" w:right="0" w:hanging="525"/>
        <w:jc w:val="both"/>
      </w:pPr>
      <w:r>
        <w:rPr/>
        <mc:AlternateContent>
          <mc:Choice Requires="wps">
            <w:drawing>
              <wp:anchor distT="0" distB="0" distL="0" distR="0" allowOverlap="1" layoutInCell="1" locked="0" behindDoc="0" simplePos="0" relativeHeight="15733248">
                <wp:simplePos x="0" y="0"/>
                <wp:positionH relativeFrom="page">
                  <wp:posOffset>1494155</wp:posOffset>
                </wp:positionH>
                <wp:positionV relativeFrom="paragraph">
                  <wp:posOffset>352806</wp:posOffset>
                </wp:positionV>
                <wp:extent cx="4572000" cy="274320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4572000" cy="2743200"/>
                          <a:chExt cx="4572000" cy="2743200"/>
                        </a:xfrm>
                      </wpg:grpSpPr>
                      <pic:pic>
                        <pic:nvPicPr>
                          <pic:cNvPr id="101" name="Image 101"/>
                          <pic:cNvPicPr/>
                        </pic:nvPicPr>
                        <pic:blipFill>
                          <a:blip r:embed="rId19" cstate="print"/>
                          <a:stretch>
                            <a:fillRect/>
                          </a:stretch>
                        </pic:blipFill>
                        <pic:spPr>
                          <a:xfrm>
                            <a:off x="0" y="0"/>
                            <a:ext cx="4572000" cy="2743200"/>
                          </a:xfrm>
                          <a:prstGeom prst="rect">
                            <a:avLst/>
                          </a:prstGeom>
                        </pic:spPr>
                      </pic:pic>
                      <wps:wsp>
                        <wps:cNvPr id="102" name="Graphic 102"/>
                        <wps:cNvSpPr/>
                        <wps:spPr>
                          <a:xfrm>
                            <a:off x="616076" y="502030"/>
                            <a:ext cx="3124200" cy="1600835"/>
                          </a:xfrm>
                          <a:custGeom>
                            <a:avLst/>
                            <a:gdLst/>
                            <a:ahLst/>
                            <a:cxnLst/>
                            <a:rect l="l" t="t" r="r" b="b"/>
                            <a:pathLst>
                              <a:path w="3124200" h="1600835">
                                <a:moveTo>
                                  <a:pt x="0" y="0"/>
                                </a:moveTo>
                                <a:lnTo>
                                  <a:pt x="3123819" y="0"/>
                                </a:lnTo>
                              </a:path>
                              <a:path w="3124200" h="1600835">
                                <a:moveTo>
                                  <a:pt x="0" y="1600581"/>
                                </a:moveTo>
                                <a:lnTo>
                                  <a:pt x="3123819" y="1600581"/>
                                </a:lnTo>
                              </a:path>
                            </a:pathLst>
                          </a:custGeom>
                          <a:ln w="9525">
                            <a:solidFill>
                              <a:srgbClr val="F1F1F1"/>
                            </a:solidFill>
                            <a:prstDash val="solid"/>
                          </a:ln>
                        </wps:spPr>
                        <wps:bodyPr wrap="square" lIns="0" tIns="0" rIns="0" bIns="0" rtlCol="0">
                          <a:prstTxWarp prst="textNoShape">
                            <a:avLst/>
                          </a:prstTxWarp>
                          <a:noAutofit/>
                        </wps:bodyPr>
                      </wps:wsp>
                      <pic:pic>
                        <pic:nvPicPr>
                          <pic:cNvPr id="103" name="Image 103"/>
                          <pic:cNvPicPr/>
                        </pic:nvPicPr>
                        <pic:blipFill>
                          <a:blip r:embed="rId20" cstate="print"/>
                          <a:stretch>
                            <a:fillRect/>
                          </a:stretch>
                        </pic:blipFill>
                        <pic:spPr>
                          <a:xfrm>
                            <a:off x="616076" y="608330"/>
                            <a:ext cx="3123819" cy="1348740"/>
                          </a:xfrm>
                          <a:prstGeom prst="rect">
                            <a:avLst/>
                          </a:prstGeom>
                        </pic:spPr>
                      </pic:pic>
                      <pic:pic>
                        <pic:nvPicPr>
                          <pic:cNvPr id="104" name="Image 104"/>
                          <pic:cNvPicPr/>
                        </pic:nvPicPr>
                        <pic:blipFill>
                          <a:blip r:embed="rId11" cstate="print"/>
                          <a:stretch>
                            <a:fillRect/>
                          </a:stretch>
                        </pic:blipFill>
                        <pic:spPr>
                          <a:xfrm>
                            <a:off x="610488" y="1560804"/>
                            <a:ext cx="165379" cy="165379"/>
                          </a:xfrm>
                          <a:prstGeom prst="rect">
                            <a:avLst/>
                          </a:prstGeom>
                        </pic:spPr>
                      </pic:pic>
                      <pic:pic>
                        <pic:nvPicPr>
                          <pic:cNvPr id="105" name="Image 105"/>
                          <pic:cNvPicPr/>
                        </pic:nvPicPr>
                        <pic:blipFill>
                          <a:blip r:embed="rId11" cstate="print"/>
                          <a:stretch>
                            <a:fillRect/>
                          </a:stretch>
                        </pic:blipFill>
                        <pic:spPr>
                          <a:xfrm>
                            <a:off x="765937" y="1769592"/>
                            <a:ext cx="165379" cy="165379"/>
                          </a:xfrm>
                          <a:prstGeom prst="rect">
                            <a:avLst/>
                          </a:prstGeom>
                        </pic:spPr>
                      </pic:pic>
                      <pic:pic>
                        <pic:nvPicPr>
                          <pic:cNvPr id="106" name="Image 106"/>
                          <pic:cNvPicPr/>
                        </pic:nvPicPr>
                        <pic:blipFill>
                          <a:blip r:embed="rId11" cstate="print"/>
                          <a:stretch>
                            <a:fillRect/>
                          </a:stretch>
                        </pic:blipFill>
                        <pic:spPr>
                          <a:xfrm>
                            <a:off x="922908" y="1496796"/>
                            <a:ext cx="165379" cy="165379"/>
                          </a:xfrm>
                          <a:prstGeom prst="rect">
                            <a:avLst/>
                          </a:prstGeom>
                        </pic:spPr>
                      </pic:pic>
                      <pic:pic>
                        <pic:nvPicPr>
                          <pic:cNvPr id="107" name="Image 107"/>
                          <pic:cNvPicPr/>
                        </pic:nvPicPr>
                        <pic:blipFill>
                          <a:blip r:embed="rId11" cstate="print"/>
                          <a:stretch>
                            <a:fillRect/>
                          </a:stretch>
                        </pic:blipFill>
                        <pic:spPr>
                          <a:xfrm>
                            <a:off x="1078357" y="1816836"/>
                            <a:ext cx="165379" cy="165379"/>
                          </a:xfrm>
                          <a:prstGeom prst="rect">
                            <a:avLst/>
                          </a:prstGeom>
                        </pic:spPr>
                      </pic:pic>
                      <pic:pic>
                        <pic:nvPicPr>
                          <pic:cNvPr id="108" name="Image 108"/>
                          <pic:cNvPicPr/>
                        </pic:nvPicPr>
                        <pic:blipFill>
                          <a:blip r:embed="rId11" cstate="print"/>
                          <a:stretch>
                            <a:fillRect/>
                          </a:stretch>
                        </pic:blipFill>
                        <pic:spPr>
                          <a:xfrm>
                            <a:off x="1235328" y="1784832"/>
                            <a:ext cx="165379" cy="165379"/>
                          </a:xfrm>
                          <a:prstGeom prst="rect">
                            <a:avLst/>
                          </a:prstGeom>
                        </pic:spPr>
                      </pic:pic>
                      <pic:pic>
                        <pic:nvPicPr>
                          <pic:cNvPr id="109" name="Image 109"/>
                          <pic:cNvPicPr/>
                        </pic:nvPicPr>
                        <pic:blipFill>
                          <a:blip r:embed="rId11" cstate="print"/>
                          <a:stretch>
                            <a:fillRect/>
                          </a:stretch>
                        </pic:blipFill>
                        <pic:spPr>
                          <a:xfrm>
                            <a:off x="1390777" y="1496796"/>
                            <a:ext cx="165379" cy="165379"/>
                          </a:xfrm>
                          <a:prstGeom prst="rect">
                            <a:avLst/>
                          </a:prstGeom>
                        </pic:spPr>
                      </pic:pic>
                      <pic:pic>
                        <pic:nvPicPr>
                          <pic:cNvPr id="110" name="Image 110"/>
                          <pic:cNvPicPr/>
                        </pic:nvPicPr>
                        <pic:blipFill>
                          <a:blip r:embed="rId11" cstate="print"/>
                          <a:stretch>
                            <a:fillRect/>
                          </a:stretch>
                        </pic:blipFill>
                        <pic:spPr>
                          <a:xfrm>
                            <a:off x="1547749" y="1609572"/>
                            <a:ext cx="165379" cy="165379"/>
                          </a:xfrm>
                          <a:prstGeom prst="rect">
                            <a:avLst/>
                          </a:prstGeom>
                        </pic:spPr>
                      </pic:pic>
                      <pic:pic>
                        <pic:nvPicPr>
                          <pic:cNvPr id="111" name="Image 111"/>
                          <pic:cNvPicPr/>
                        </pic:nvPicPr>
                        <pic:blipFill>
                          <a:blip r:embed="rId11" cstate="print"/>
                          <a:stretch>
                            <a:fillRect/>
                          </a:stretch>
                        </pic:blipFill>
                        <pic:spPr>
                          <a:xfrm>
                            <a:off x="1703197" y="1641576"/>
                            <a:ext cx="165379" cy="165379"/>
                          </a:xfrm>
                          <a:prstGeom prst="rect">
                            <a:avLst/>
                          </a:prstGeom>
                        </pic:spPr>
                      </pic:pic>
                      <pic:pic>
                        <pic:nvPicPr>
                          <pic:cNvPr id="112" name="Image 112"/>
                          <pic:cNvPicPr/>
                        </pic:nvPicPr>
                        <pic:blipFill>
                          <a:blip r:embed="rId11" cstate="print"/>
                          <a:stretch>
                            <a:fillRect/>
                          </a:stretch>
                        </pic:blipFill>
                        <pic:spPr>
                          <a:xfrm>
                            <a:off x="1860169" y="1481556"/>
                            <a:ext cx="165379" cy="165379"/>
                          </a:xfrm>
                          <a:prstGeom prst="rect">
                            <a:avLst/>
                          </a:prstGeom>
                        </pic:spPr>
                      </pic:pic>
                      <pic:pic>
                        <pic:nvPicPr>
                          <pic:cNvPr id="113" name="Image 113"/>
                          <pic:cNvPicPr/>
                        </pic:nvPicPr>
                        <pic:blipFill>
                          <a:blip r:embed="rId11" cstate="print"/>
                          <a:stretch>
                            <a:fillRect/>
                          </a:stretch>
                        </pic:blipFill>
                        <pic:spPr>
                          <a:xfrm>
                            <a:off x="2015617" y="1513560"/>
                            <a:ext cx="165379" cy="165379"/>
                          </a:xfrm>
                          <a:prstGeom prst="rect">
                            <a:avLst/>
                          </a:prstGeom>
                        </pic:spPr>
                      </pic:pic>
                      <pic:pic>
                        <pic:nvPicPr>
                          <pic:cNvPr id="114" name="Image 114"/>
                          <pic:cNvPicPr/>
                        </pic:nvPicPr>
                        <pic:blipFill>
                          <a:blip r:embed="rId11" cstate="print"/>
                          <a:stretch>
                            <a:fillRect/>
                          </a:stretch>
                        </pic:blipFill>
                        <pic:spPr>
                          <a:xfrm>
                            <a:off x="2172589" y="1208760"/>
                            <a:ext cx="165379" cy="165379"/>
                          </a:xfrm>
                          <a:prstGeom prst="rect">
                            <a:avLst/>
                          </a:prstGeom>
                        </pic:spPr>
                      </pic:pic>
                      <pic:pic>
                        <pic:nvPicPr>
                          <pic:cNvPr id="115" name="Image 115"/>
                          <pic:cNvPicPr/>
                        </pic:nvPicPr>
                        <pic:blipFill>
                          <a:blip r:embed="rId11" cstate="print"/>
                          <a:stretch>
                            <a:fillRect/>
                          </a:stretch>
                        </pic:blipFill>
                        <pic:spPr>
                          <a:xfrm>
                            <a:off x="2328036" y="1432788"/>
                            <a:ext cx="165379" cy="165379"/>
                          </a:xfrm>
                          <a:prstGeom prst="rect">
                            <a:avLst/>
                          </a:prstGeom>
                        </pic:spPr>
                      </pic:pic>
                      <pic:pic>
                        <pic:nvPicPr>
                          <pic:cNvPr id="116" name="Image 116"/>
                          <pic:cNvPicPr/>
                        </pic:nvPicPr>
                        <pic:blipFill>
                          <a:blip r:embed="rId11" cstate="print"/>
                          <a:stretch>
                            <a:fillRect/>
                          </a:stretch>
                        </pic:blipFill>
                        <pic:spPr>
                          <a:xfrm>
                            <a:off x="2485008" y="1624812"/>
                            <a:ext cx="165379" cy="165379"/>
                          </a:xfrm>
                          <a:prstGeom prst="rect">
                            <a:avLst/>
                          </a:prstGeom>
                        </pic:spPr>
                      </pic:pic>
                      <pic:pic>
                        <pic:nvPicPr>
                          <pic:cNvPr id="117" name="Image 117"/>
                          <pic:cNvPicPr/>
                        </pic:nvPicPr>
                        <pic:blipFill>
                          <a:blip r:embed="rId11" cstate="print"/>
                          <a:stretch>
                            <a:fillRect/>
                          </a:stretch>
                        </pic:blipFill>
                        <pic:spPr>
                          <a:xfrm>
                            <a:off x="2640457" y="1385544"/>
                            <a:ext cx="165379" cy="165379"/>
                          </a:xfrm>
                          <a:prstGeom prst="rect">
                            <a:avLst/>
                          </a:prstGeom>
                        </pic:spPr>
                      </pic:pic>
                      <pic:pic>
                        <pic:nvPicPr>
                          <pic:cNvPr id="118" name="Image 118"/>
                          <pic:cNvPicPr/>
                        </pic:nvPicPr>
                        <pic:blipFill>
                          <a:blip r:embed="rId11" cstate="print"/>
                          <a:stretch>
                            <a:fillRect/>
                          </a:stretch>
                        </pic:blipFill>
                        <pic:spPr>
                          <a:xfrm>
                            <a:off x="2797429" y="1432788"/>
                            <a:ext cx="165379" cy="165379"/>
                          </a:xfrm>
                          <a:prstGeom prst="rect">
                            <a:avLst/>
                          </a:prstGeom>
                        </pic:spPr>
                      </pic:pic>
                      <pic:pic>
                        <pic:nvPicPr>
                          <pic:cNvPr id="119" name="Image 119"/>
                          <pic:cNvPicPr/>
                        </pic:nvPicPr>
                        <pic:blipFill>
                          <a:blip r:embed="rId11" cstate="print"/>
                          <a:stretch>
                            <a:fillRect/>
                          </a:stretch>
                        </pic:blipFill>
                        <pic:spPr>
                          <a:xfrm>
                            <a:off x="2952876" y="1673580"/>
                            <a:ext cx="165379" cy="165379"/>
                          </a:xfrm>
                          <a:prstGeom prst="rect">
                            <a:avLst/>
                          </a:prstGeom>
                        </pic:spPr>
                      </pic:pic>
                      <pic:pic>
                        <pic:nvPicPr>
                          <pic:cNvPr id="120" name="Image 120"/>
                          <pic:cNvPicPr/>
                        </pic:nvPicPr>
                        <pic:blipFill>
                          <a:blip r:embed="rId11" cstate="print"/>
                          <a:stretch>
                            <a:fillRect/>
                          </a:stretch>
                        </pic:blipFill>
                        <pic:spPr>
                          <a:xfrm>
                            <a:off x="3109848" y="585444"/>
                            <a:ext cx="165379" cy="165379"/>
                          </a:xfrm>
                          <a:prstGeom prst="rect">
                            <a:avLst/>
                          </a:prstGeom>
                        </pic:spPr>
                      </pic:pic>
                      <pic:pic>
                        <pic:nvPicPr>
                          <pic:cNvPr id="121" name="Image 121"/>
                          <pic:cNvPicPr/>
                        </pic:nvPicPr>
                        <pic:blipFill>
                          <a:blip r:embed="rId11" cstate="print"/>
                          <a:stretch>
                            <a:fillRect/>
                          </a:stretch>
                        </pic:blipFill>
                        <pic:spPr>
                          <a:xfrm>
                            <a:off x="3265296" y="1225524"/>
                            <a:ext cx="165379" cy="165379"/>
                          </a:xfrm>
                          <a:prstGeom prst="rect">
                            <a:avLst/>
                          </a:prstGeom>
                        </pic:spPr>
                      </pic:pic>
                      <pic:pic>
                        <pic:nvPicPr>
                          <pic:cNvPr id="122" name="Image 122"/>
                          <pic:cNvPicPr/>
                        </pic:nvPicPr>
                        <pic:blipFill>
                          <a:blip r:embed="rId11" cstate="print"/>
                          <a:stretch>
                            <a:fillRect/>
                          </a:stretch>
                        </pic:blipFill>
                        <pic:spPr>
                          <a:xfrm>
                            <a:off x="3422269" y="1289532"/>
                            <a:ext cx="165379" cy="165379"/>
                          </a:xfrm>
                          <a:prstGeom prst="rect">
                            <a:avLst/>
                          </a:prstGeom>
                        </pic:spPr>
                      </pic:pic>
                      <pic:pic>
                        <pic:nvPicPr>
                          <pic:cNvPr id="123" name="Image 123"/>
                          <pic:cNvPicPr/>
                        </pic:nvPicPr>
                        <pic:blipFill>
                          <a:blip r:embed="rId11" cstate="print"/>
                          <a:stretch>
                            <a:fillRect/>
                          </a:stretch>
                        </pic:blipFill>
                        <pic:spPr>
                          <a:xfrm>
                            <a:off x="3577716" y="1353540"/>
                            <a:ext cx="165379" cy="165379"/>
                          </a:xfrm>
                          <a:prstGeom prst="rect">
                            <a:avLst/>
                          </a:prstGeom>
                        </pic:spPr>
                      </pic:pic>
                      <wps:wsp>
                        <wps:cNvPr id="124" name="Graphic 124"/>
                        <wps:cNvSpPr/>
                        <wps:spPr>
                          <a:xfrm>
                            <a:off x="694181" y="646048"/>
                            <a:ext cx="2967990" cy="1232535"/>
                          </a:xfrm>
                          <a:custGeom>
                            <a:avLst/>
                            <a:gdLst/>
                            <a:ahLst/>
                            <a:cxnLst/>
                            <a:rect l="l" t="t" r="r" b="b"/>
                            <a:pathLst>
                              <a:path w="2967990" h="1232535">
                                <a:moveTo>
                                  <a:pt x="0" y="975741"/>
                                </a:moveTo>
                                <a:lnTo>
                                  <a:pt x="155575" y="1184528"/>
                                </a:lnTo>
                                <a:lnTo>
                                  <a:pt x="312546" y="911733"/>
                                </a:lnTo>
                                <a:lnTo>
                                  <a:pt x="467994" y="1232535"/>
                                </a:lnTo>
                                <a:lnTo>
                                  <a:pt x="624967" y="1199769"/>
                                </a:lnTo>
                                <a:lnTo>
                                  <a:pt x="780414" y="911733"/>
                                </a:lnTo>
                                <a:lnTo>
                                  <a:pt x="937387" y="1024509"/>
                                </a:lnTo>
                                <a:lnTo>
                                  <a:pt x="1092835" y="1056513"/>
                                </a:lnTo>
                                <a:lnTo>
                                  <a:pt x="1249807" y="896493"/>
                                </a:lnTo>
                                <a:lnTo>
                                  <a:pt x="1405254" y="928497"/>
                                </a:lnTo>
                                <a:lnTo>
                                  <a:pt x="1562227" y="623697"/>
                                </a:lnTo>
                                <a:lnTo>
                                  <a:pt x="1717675" y="847725"/>
                                </a:lnTo>
                                <a:lnTo>
                                  <a:pt x="1874647" y="1039749"/>
                                </a:lnTo>
                                <a:lnTo>
                                  <a:pt x="2030095" y="800480"/>
                                </a:lnTo>
                                <a:lnTo>
                                  <a:pt x="2187066" y="847725"/>
                                </a:lnTo>
                                <a:lnTo>
                                  <a:pt x="2342515" y="1088517"/>
                                </a:lnTo>
                                <a:lnTo>
                                  <a:pt x="2499487" y="0"/>
                                </a:lnTo>
                                <a:lnTo>
                                  <a:pt x="2654935" y="640461"/>
                                </a:lnTo>
                                <a:lnTo>
                                  <a:pt x="2811907" y="704469"/>
                                </a:lnTo>
                                <a:lnTo>
                                  <a:pt x="2967609" y="768476"/>
                                </a:lnTo>
                              </a:path>
                            </a:pathLst>
                          </a:custGeom>
                          <a:ln w="34925">
                            <a:solidFill>
                              <a:srgbClr val="4471C4"/>
                            </a:solidFill>
                            <a:prstDash val="solid"/>
                          </a:ln>
                        </wps:spPr>
                        <wps:bodyPr wrap="square" lIns="0" tIns="0" rIns="0" bIns="0" rtlCol="0">
                          <a:prstTxWarp prst="textNoShape">
                            <a:avLst/>
                          </a:prstTxWarp>
                          <a:noAutofit/>
                        </wps:bodyPr>
                      </wps:wsp>
                      <pic:pic>
                        <pic:nvPicPr>
                          <pic:cNvPr id="125" name="Image 125"/>
                          <pic:cNvPicPr/>
                        </pic:nvPicPr>
                        <pic:blipFill>
                          <a:blip r:embed="rId12" cstate="print"/>
                          <a:stretch>
                            <a:fillRect/>
                          </a:stretch>
                        </pic:blipFill>
                        <pic:spPr>
                          <a:xfrm>
                            <a:off x="644016" y="1571497"/>
                            <a:ext cx="98298" cy="98298"/>
                          </a:xfrm>
                          <a:prstGeom prst="rect">
                            <a:avLst/>
                          </a:prstGeom>
                        </pic:spPr>
                      </pic:pic>
                      <pic:pic>
                        <pic:nvPicPr>
                          <pic:cNvPr id="126" name="Image 126"/>
                          <pic:cNvPicPr/>
                        </pic:nvPicPr>
                        <pic:blipFill>
                          <a:blip r:embed="rId12" cstate="print"/>
                          <a:stretch>
                            <a:fillRect/>
                          </a:stretch>
                        </pic:blipFill>
                        <pic:spPr>
                          <a:xfrm>
                            <a:off x="799465" y="1780285"/>
                            <a:ext cx="98298" cy="98298"/>
                          </a:xfrm>
                          <a:prstGeom prst="rect">
                            <a:avLst/>
                          </a:prstGeom>
                        </pic:spPr>
                      </pic:pic>
                      <pic:pic>
                        <pic:nvPicPr>
                          <pic:cNvPr id="127" name="Image 127"/>
                          <pic:cNvPicPr/>
                        </pic:nvPicPr>
                        <pic:blipFill>
                          <a:blip r:embed="rId12" cstate="print"/>
                          <a:stretch>
                            <a:fillRect/>
                          </a:stretch>
                        </pic:blipFill>
                        <pic:spPr>
                          <a:xfrm>
                            <a:off x="956436" y="1507488"/>
                            <a:ext cx="98298" cy="98299"/>
                          </a:xfrm>
                          <a:prstGeom prst="rect">
                            <a:avLst/>
                          </a:prstGeom>
                        </pic:spPr>
                      </pic:pic>
                      <pic:pic>
                        <pic:nvPicPr>
                          <pic:cNvPr id="128" name="Image 128"/>
                          <pic:cNvPicPr/>
                        </pic:nvPicPr>
                        <pic:blipFill>
                          <a:blip r:embed="rId12" cstate="print"/>
                          <a:stretch>
                            <a:fillRect/>
                          </a:stretch>
                        </pic:blipFill>
                        <pic:spPr>
                          <a:xfrm>
                            <a:off x="1111885" y="1827528"/>
                            <a:ext cx="98298" cy="98299"/>
                          </a:xfrm>
                          <a:prstGeom prst="rect">
                            <a:avLst/>
                          </a:prstGeom>
                        </pic:spPr>
                      </pic:pic>
                      <pic:pic>
                        <pic:nvPicPr>
                          <pic:cNvPr id="129" name="Image 129"/>
                          <pic:cNvPicPr/>
                        </pic:nvPicPr>
                        <pic:blipFill>
                          <a:blip r:embed="rId12" cstate="print"/>
                          <a:stretch>
                            <a:fillRect/>
                          </a:stretch>
                        </pic:blipFill>
                        <pic:spPr>
                          <a:xfrm>
                            <a:off x="1268857" y="1795526"/>
                            <a:ext cx="98298" cy="98298"/>
                          </a:xfrm>
                          <a:prstGeom prst="rect">
                            <a:avLst/>
                          </a:prstGeom>
                        </pic:spPr>
                      </pic:pic>
                      <pic:pic>
                        <pic:nvPicPr>
                          <pic:cNvPr id="130" name="Image 130"/>
                          <pic:cNvPicPr/>
                        </pic:nvPicPr>
                        <pic:blipFill>
                          <a:blip r:embed="rId12" cstate="print"/>
                          <a:stretch>
                            <a:fillRect/>
                          </a:stretch>
                        </pic:blipFill>
                        <pic:spPr>
                          <a:xfrm>
                            <a:off x="1424305" y="1507488"/>
                            <a:ext cx="98298" cy="98299"/>
                          </a:xfrm>
                          <a:prstGeom prst="rect">
                            <a:avLst/>
                          </a:prstGeom>
                        </pic:spPr>
                      </pic:pic>
                      <pic:pic>
                        <pic:nvPicPr>
                          <pic:cNvPr id="131" name="Image 131"/>
                          <pic:cNvPicPr/>
                        </pic:nvPicPr>
                        <pic:blipFill>
                          <a:blip r:embed="rId12" cstate="print"/>
                          <a:stretch>
                            <a:fillRect/>
                          </a:stretch>
                        </pic:blipFill>
                        <pic:spPr>
                          <a:xfrm>
                            <a:off x="1581277" y="1620266"/>
                            <a:ext cx="98298" cy="98298"/>
                          </a:xfrm>
                          <a:prstGeom prst="rect">
                            <a:avLst/>
                          </a:prstGeom>
                        </pic:spPr>
                      </pic:pic>
                      <pic:pic>
                        <pic:nvPicPr>
                          <pic:cNvPr id="132" name="Image 132"/>
                          <pic:cNvPicPr/>
                        </pic:nvPicPr>
                        <pic:blipFill>
                          <a:blip r:embed="rId12" cstate="print"/>
                          <a:stretch>
                            <a:fillRect/>
                          </a:stretch>
                        </pic:blipFill>
                        <pic:spPr>
                          <a:xfrm>
                            <a:off x="1736725" y="1652270"/>
                            <a:ext cx="98297" cy="98298"/>
                          </a:xfrm>
                          <a:prstGeom prst="rect">
                            <a:avLst/>
                          </a:prstGeom>
                        </pic:spPr>
                      </pic:pic>
                      <pic:pic>
                        <pic:nvPicPr>
                          <pic:cNvPr id="133" name="Image 133"/>
                          <pic:cNvPicPr/>
                        </pic:nvPicPr>
                        <pic:blipFill>
                          <a:blip r:embed="rId12" cstate="print"/>
                          <a:stretch>
                            <a:fillRect/>
                          </a:stretch>
                        </pic:blipFill>
                        <pic:spPr>
                          <a:xfrm>
                            <a:off x="1893697" y="1492250"/>
                            <a:ext cx="98298" cy="98298"/>
                          </a:xfrm>
                          <a:prstGeom prst="rect">
                            <a:avLst/>
                          </a:prstGeom>
                        </pic:spPr>
                      </pic:pic>
                      <pic:pic>
                        <pic:nvPicPr>
                          <pic:cNvPr id="134" name="Image 134"/>
                          <pic:cNvPicPr/>
                        </pic:nvPicPr>
                        <pic:blipFill>
                          <a:blip r:embed="rId12" cstate="print"/>
                          <a:stretch>
                            <a:fillRect/>
                          </a:stretch>
                        </pic:blipFill>
                        <pic:spPr>
                          <a:xfrm>
                            <a:off x="2049145" y="1524252"/>
                            <a:ext cx="98298" cy="98299"/>
                          </a:xfrm>
                          <a:prstGeom prst="rect">
                            <a:avLst/>
                          </a:prstGeom>
                        </pic:spPr>
                      </pic:pic>
                      <pic:pic>
                        <pic:nvPicPr>
                          <pic:cNvPr id="135" name="Image 135"/>
                          <pic:cNvPicPr/>
                        </pic:nvPicPr>
                        <pic:blipFill>
                          <a:blip r:embed="rId12" cstate="print"/>
                          <a:stretch>
                            <a:fillRect/>
                          </a:stretch>
                        </pic:blipFill>
                        <pic:spPr>
                          <a:xfrm>
                            <a:off x="2206117" y="1219452"/>
                            <a:ext cx="98298" cy="98299"/>
                          </a:xfrm>
                          <a:prstGeom prst="rect">
                            <a:avLst/>
                          </a:prstGeom>
                        </pic:spPr>
                      </pic:pic>
                      <pic:pic>
                        <pic:nvPicPr>
                          <pic:cNvPr id="136" name="Image 136"/>
                          <pic:cNvPicPr/>
                        </pic:nvPicPr>
                        <pic:blipFill>
                          <a:blip r:embed="rId12" cstate="print"/>
                          <a:stretch>
                            <a:fillRect/>
                          </a:stretch>
                        </pic:blipFill>
                        <pic:spPr>
                          <a:xfrm>
                            <a:off x="2361564" y="1443482"/>
                            <a:ext cx="98298" cy="98298"/>
                          </a:xfrm>
                          <a:prstGeom prst="rect">
                            <a:avLst/>
                          </a:prstGeom>
                        </pic:spPr>
                      </pic:pic>
                      <pic:pic>
                        <pic:nvPicPr>
                          <pic:cNvPr id="137" name="Image 137"/>
                          <pic:cNvPicPr/>
                        </pic:nvPicPr>
                        <pic:blipFill>
                          <a:blip r:embed="rId12" cstate="print"/>
                          <a:stretch>
                            <a:fillRect/>
                          </a:stretch>
                        </pic:blipFill>
                        <pic:spPr>
                          <a:xfrm>
                            <a:off x="2518536" y="1635504"/>
                            <a:ext cx="98298" cy="98299"/>
                          </a:xfrm>
                          <a:prstGeom prst="rect">
                            <a:avLst/>
                          </a:prstGeom>
                        </pic:spPr>
                      </pic:pic>
                      <pic:pic>
                        <pic:nvPicPr>
                          <pic:cNvPr id="138" name="Image 138"/>
                          <pic:cNvPicPr/>
                        </pic:nvPicPr>
                        <pic:blipFill>
                          <a:blip r:embed="rId12" cstate="print"/>
                          <a:stretch>
                            <a:fillRect/>
                          </a:stretch>
                        </pic:blipFill>
                        <pic:spPr>
                          <a:xfrm>
                            <a:off x="2673985" y="1396236"/>
                            <a:ext cx="98298" cy="98299"/>
                          </a:xfrm>
                          <a:prstGeom prst="rect">
                            <a:avLst/>
                          </a:prstGeom>
                        </pic:spPr>
                      </pic:pic>
                      <pic:pic>
                        <pic:nvPicPr>
                          <pic:cNvPr id="139" name="Image 139"/>
                          <pic:cNvPicPr/>
                        </pic:nvPicPr>
                        <pic:blipFill>
                          <a:blip r:embed="rId12" cstate="print"/>
                          <a:stretch>
                            <a:fillRect/>
                          </a:stretch>
                        </pic:blipFill>
                        <pic:spPr>
                          <a:xfrm>
                            <a:off x="2830957" y="1443482"/>
                            <a:ext cx="98298" cy="98298"/>
                          </a:xfrm>
                          <a:prstGeom prst="rect">
                            <a:avLst/>
                          </a:prstGeom>
                        </pic:spPr>
                      </pic:pic>
                      <pic:pic>
                        <pic:nvPicPr>
                          <pic:cNvPr id="140" name="Image 140"/>
                          <pic:cNvPicPr/>
                        </pic:nvPicPr>
                        <pic:blipFill>
                          <a:blip r:embed="rId12" cstate="print"/>
                          <a:stretch>
                            <a:fillRect/>
                          </a:stretch>
                        </pic:blipFill>
                        <pic:spPr>
                          <a:xfrm>
                            <a:off x="2986404" y="1684273"/>
                            <a:ext cx="98298" cy="98298"/>
                          </a:xfrm>
                          <a:prstGeom prst="rect">
                            <a:avLst/>
                          </a:prstGeom>
                        </pic:spPr>
                      </pic:pic>
                      <pic:pic>
                        <pic:nvPicPr>
                          <pic:cNvPr id="141" name="Image 141"/>
                          <pic:cNvPicPr/>
                        </pic:nvPicPr>
                        <pic:blipFill>
                          <a:blip r:embed="rId12" cstate="print"/>
                          <a:stretch>
                            <a:fillRect/>
                          </a:stretch>
                        </pic:blipFill>
                        <pic:spPr>
                          <a:xfrm>
                            <a:off x="3143376" y="596136"/>
                            <a:ext cx="98298" cy="98299"/>
                          </a:xfrm>
                          <a:prstGeom prst="rect">
                            <a:avLst/>
                          </a:prstGeom>
                        </pic:spPr>
                      </pic:pic>
                      <pic:pic>
                        <pic:nvPicPr>
                          <pic:cNvPr id="142" name="Image 142"/>
                          <pic:cNvPicPr/>
                        </pic:nvPicPr>
                        <pic:blipFill>
                          <a:blip r:embed="rId12" cstate="print"/>
                          <a:stretch>
                            <a:fillRect/>
                          </a:stretch>
                        </pic:blipFill>
                        <pic:spPr>
                          <a:xfrm>
                            <a:off x="3298825" y="1236217"/>
                            <a:ext cx="98298" cy="98298"/>
                          </a:xfrm>
                          <a:prstGeom prst="rect">
                            <a:avLst/>
                          </a:prstGeom>
                        </pic:spPr>
                      </pic:pic>
                      <pic:pic>
                        <pic:nvPicPr>
                          <pic:cNvPr id="143" name="Image 143"/>
                          <pic:cNvPicPr/>
                        </pic:nvPicPr>
                        <pic:blipFill>
                          <a:blip r:embed="rId12" cstate="print"/>
                          <a:stretch>
                            <a:fillRect/>
                          </a:stretch>
                        </pic:blipFill>
                        <pic:spPr>
                          <a:xfrm>
                            <a:off x="3455796" y="1300225"/>
                            <a:ext cx="98298" cy="98298"/>
                          </a:xfrm>
                          <a:prstGeom prst="rect">
                            <a:avLst/>
                          </a:prstGeom>
                        </pic:spPr>
                      </pic:pic>
                      <pic:pic>
                        <pic:nvPicPr>
                          <pic:cNvPr id="144" name="Image 144"/>
                          <pic:cNvPicPr/>
                        </pic:nvPicPr>
                        <pic:blipFill>
                          <a:blip r:embed="rId12" cstate="print"/>
                          <a:stretch>
                            <a:fillRect/>
                          </a:stretch>
                        </pic:blipFill>
                        <pic:spPr>
                          <a:xfrm>
                            <a:off x="3611245" y="1364233"/>
                            <a:ext cx="98298" cy="98298"/>
                          </a:xfrm>
                          <a:prstGeom prst="rect">
                            <a:avLst/>
                          </a:prstGeom>
                        </pic:spPr>
                      </pic:pic>
                      <pic:pic>
                        <pic:nvPicPr>
                          <pic:cNvPr id="145" name="Image 145"/>
                          <pic:cNvPicPr/>
                        </pic:nvPicPr>
                        <pic:blipFill>
                          <a:blip r:embed="rId21" cstate="print"/>
                          <a:stretch>
                            <a:fillRect/>
                          </a:stretch>
                        </pic:blipFill>
                        <pic:spPr>
                          <a:xfrm>
                            <a:off x="656208" y="26161"/>
                            <a:ext cx="3256026" cy="473201"/>
                          </a:xfrm>
                          <a:prstGeom prst="rect">
                            <a:avLst/>
                          </a:prstGeom>
                        </pic:spPr>
                      </pic:pic>
                      <wps:wsp>
                        <wps:cNvPr id="146" name="Graphic 146"/>
                        <wps:cNvSpPr/>
                        <wps:spPr>
                          <a:xfrm>
                            <a:off x="3938651" y="1552702"/>
                            <a:ext cx="243840" cy="1270"/>
                          </a:xfrm>
                          <a:custGeom>
                            <a:avLst/>
                            <a:gdLst/>
                            <a:ahLst/>
                            <a:cxnLst/>
                            <a:rect l="l" t="t" r="r" b="b"/>
                            <a:pathLst>
                              <a:path w="243840" h="0">
                                <a:moveTo>
                                  <a:pt x="0" y="0"/>
                                </a:moveTo>
                                <a:lnTo>
                                  <a:pt x="243840" y="0"/>
                                </a:lnTo>
                              </a:path>
                            </a:pathLst>
                          </a:custGeom>
                          <a:ln w="34925">
                            <a:solidFill>
                              <a:srgbClr val="4471C4"/>
                            </a:solidFill>
                            <a:prstDash val="solid"/>
                          </a:ln>
                        </wps:spPr>
                        <wps:bodyPr wrap="square" lIns="0" tIns="0" rIns="0" bIns="0" rtlCol="0">
                          <a:prstTxWarp prst="textNoShape">
                            <a:avLst/>
                          </a:prstTxWarp>
                          <a:noAutofit/>
                        </wps:bodyPr>
                      </wps:wsp>
                      <pic:pic>
                        <pic:nvPicPr>
                          <pic:cNvPr id="147" name="Image 147"/>
                          <pic:cNvPicPr/>
                        </pic:nvPicPr>
                        <pic:blipFill>
                          <a:blip r:embed="rId13" cstate="print"/>
                          <a:stretch>
                            <a:fillRect/>
                          </a:stretch>
                        </pic:blipFill>
                        <pic:spPr>
                          <a:xfrm>
                            <a:off x="4016628" y="1509013"/>
                            <a:ext cx="84582" cy="84581"/>
                          </a:xfrm>
                          <a:prstGeom prst="rect">
                            <a:avLst/>
                          </a:prstGeom>
                        </pic:spPr>
                      </pic:pic>
                      <wps:wsp>
                        <wps:cNvPr id="148" name="Textbox 148"/>
                        <wps:cNvSpPr txBox="1"/>
                        <wps:spPr>
                          <a:xfrm>
                            <a:off x="800734" y="136677"/>
                            <a:ext cx="2966085" cy="203200"/>
                          </a:xfrm>
                          <a:prstGeom prst="rect">
                            <a:avLst/>
                          </a:prstGeom>
                        </wps:spPr>
                        <wps:txbx>
                          <w:txbxContent>
                            <w:p>
                              <w:pPr>
                                <w:spacing w:line="320" w:lineRule="exact" w:before="0"/>
                                <w:ind w:left="0" w:right="0" w:firstLine="0"/>
                                <w:jc w:val="left"/>
                                <w:rPr>
                                  <w:rFonts w:ascii="Calibri"/>
                                  <w:b/>
                                  <w:sz w:val="32"/>
                                </w:rPr>
                              </w:pPr>
                              <w:r>
                                <w:rPr>
                                  <w:rFonts w:ascii="Calibri"/>
                                  <w:b/>
                                  <w:color w:val="F1F1F1"/>
                                  <w:spacing w:val="14"/>
                                  <w:sz w:val="32"/>
                                </w:rPr>
                                <w:t>Annual</w:t>
                              </w:r>
                              <w:r>
                                <w:rPr>
                                  <w:rFonts w:ascii="Calibri"/>
                                  <w:b/>
                                  <w:color w:val="F1F1F1"/>
                                  <w:spacing w:val="38"/>
                                  <w:sz w:val="32"/>
                                </w:rPr>
                                <w:t> </w:t>
                              </w:r>
                              <w:r>
                                <w:rPr>
                                  <w:rFonts w:ascii="Calibri"/>
                                  <w:b/>
                                  <w:color w:val="F1F1F1"/>
                                  <w:spacing w:val="14"/>
                                  <w:sz w:val="32"/>
                                </w:rPr>
                                <w:t>Deal</w:t>
                              </w:r>
                              <w:r>
                                <w:rPr>
                                  <w:rFonts w:ascii="Calibri"/>
                                  <w:b/>
                                  <w:color w:val="F1F1F1"/>
                                  <w:spacing w:val="35"/>
                                  <w:sz w:val="32"/>
                                </w:rPr>
                                <w:t> </w:t>
                              </w:r>
                              <w:r>
                                <w:rPr>
                                  <w:rFonts w:ascii="Calibri"/>
                                  <w:b/>
                                  <w:color w:val="F1F1F1"/>
                                  <w:spacing w:val="13"/>
                                  <w:sz w:val="32"/>
                                </w:rPr>
                                <w:t>Volume</w:t>
                              </w:r>
                              <w:r>
                                <w:rPr>
                                  <w:rFonts w:ascii="Calibri"/>
                                  <w:b/>
                                  <w:color w:val="F1F1F1"/>
                                  <w:spacing w:val="38"/>
                                  <w:sz w:val="32"/>
                                </w:rPr>
                                <w:t> </w:t>
                              </w:r>
                              <w:r>
                                <w:rPr>
                                  <w:rFonts w:ascii="Calibri"/>
                                  <w:b/>
                                  <w:color w:val="F1F1F1"/>
                                  <w:spacing w:val="10"/>
                                  <w:sz w:val="32"/>
                                </w:rPr>
                                <w:t>Trend</w:t>
                              </w:r>
                              <w:r>
                                <w:rPr>
                                  <w:rFonts w:ascii="Calibri"/>
                                  <w:b/>
                                  <w:color w:val="F1F1F1"/>
                                  <w:spacing w:val="36"/>
                                  <w:sz w:val="32"/>
                                </w:rPr>
                                <w:t> </w:t>
                              </w:r>
                              <w:r>
                                <w:rPr>
                                  <w:rFonts w:ascii="Calibri"/>
                                  <w:b/>
                                  <w:color w:val="F1F1F1"/>
                                  <w:spacing w:val="9"/>
                                  <w:sz w:val="32"/>
                                </w:rPr>
                                <w:t>Exit</w:t>
                              </w:r>
                            </w:p>
                          </w:txbxContent>
                        </wps:txbx>
                        <wps:bodyPr wrap="square" lIns="0" tIns="0" rIns="0" bIns="0" rtlCol="0">
                          <a:noAutofit/>
                        </wps:bodyPr>
                      </wps:wsp>
                      <wps:wsp>
                        <wps:cNvPr id="149" name="Textbox 149"/>
                        <wps:cNvSpPr txBox="1"/>
                        <wps:spPr>
                          <a:xfrm>
                            <a:off x="336804" y="448818"/>
                            <a:ext cx="186690" cy="1715135"/>
                          </a:xfrm>
                          <a:prstGeom prst="rect">
                            <a:avLst/>
                          </a:prstGeom>
                        </wps:spPr>
                        <wps:txbx>
                          <w:txbxContent>
                            <w:p>
                              <w:pPr>
                                <w:spacing w:line="183" w:lineRule="exact" w:before="0"/>
                                <w:ind w:left="0" w:right="0" w:firstLine="0"/>
                                <w:jc w:val="left"/>
                                <w:rPr>
                                  <w:rFonts w:ascii="Calibri"/>
                                  <w:sz w:val="18"/>
                                </w:rPr>
                              </w:pPr>
                              <w:r>
                                <w:rPr>
                                  <w:rFonts w:ascii="Calibri"/>
                                  <w:color w:val="D9D9D9"/>
                                  <w:spacing w:val="-5"/>
                                  <w:sz w:val="18"/>
                                </w:rPr>
                                <w:t>100</w:t>
                              </w:r>
                            </w:p>
                            <w:p>
                              <w:pPr>
                                <w:spacing w:before="32"/>
                                <w:ind w:left="91" w:right="0" w:firstLine="0"/>
                                <w:jc w:val="left"/>
                                <w:rPr>
                                  <w:rFonts w:ascii="Calibri"/>
                                  <w:sz w:val="18"/>
                                </w:rPr>
                              </w:pPr>
                              <w:r>
                                <w:rPr>
                                  <w:rFonts w:ascii="Calibri"/>
                                  <w:color w:val="D9D9D9"/>
                                  <w:spacing w:val="-5"/>
                                  <w:sz w:val="18"/>
                                </w:rPr>
                                <w:t>90</w:t>
                              </w:r>
                            </w:p>
                            <w:p>
                              <w:pPr>
                                <w:spacing w:before="32"/>
                                <w:ind w:left="91" w:right="0" w:firstLine="0"/>
                                <w:jc w:val="left"/>
                                <w:rPr>
                                  <w:rFonts w:ascii="Calibri"/>
                                  <w:sz w:val="18"/>
                                </w:rPr>
                              </w:pPr>
                              <w:r>
                                <w:rPr>
                                  <w:rFonts w:ascii="Calibri"/>
                                  <w:color w:val="D9D9D9"/>
                                  <w:spacing w:val="-5"/>
                                  <w:sz w:val="18"/>
                                </w:rPr>
                                <w:t>80</w:t>
                              </w:r>
                            </w:p>
                            <w:p>
                              <w:pPr>
                                <w:spacing w:before="33"/>
                                <w:ind w:left="91" w:right="0" w:firstLine="0"/>
                                <w:jc w:val="left"/>
                                <w:rPr>
                                  <w:rFonts w:ascii="Calibri"/>
                                  <w:sz w:val="18"/>
                                </w:rPr>
                              </w:pPr>
                              <w:r>
                                <w:rPr>
                                  <w:rFonts w:ascii="Calibri"/>
                                  <w:color w:val="D9D9D9"/>
                                  <w:spacing w:val="-5"/>
                                  <w:sz w:val="18"/>
                                </w:rPr>
                                <w:t>70</w:t>
                              </w:r>
                            </w:p>
                            <w:p>
                              <w:pPr>
                                <w:spacing w:before="32"/>
                                <w:ind w:left="91" w:right="0" w:firstLine="0"/>
                                <w:jc w:val="left"/>
                                <w:rPr>
                                  <w:rFonts w:ascii="Calibri"/>
                                  <w:sz w:val="18"/>
                                </w:rPr>
                              </w:pPr>
                              <w:r>
                                <w:rPr>
                                  <w:rFonts w:ascii="Calibri"/>
                                  <w:color w:val="D9D9D9"/>
                                  <w:spacing w:val="-5"/>
                                  <w:sz w:val="18"/>
                                </w:rPr>
                                <w:t>60</w:t>
                              </w:r>
                            </w:p>
                            <w:p>
                              <w:pPr>
                                <w:spacing w:before="33"/>
                                <w:ind w:left="91" w:right="0" w:firstLine="0"/>
                                <w:jc w:val="left"/>
                                <w:rPr>
                                  <w:rFonts w:ascii="Calibri"/>
                                  <w:sz w:val="18"/>
                                </w:rPr>
                              </w:pPr>
                              <w:r>
                                <w:rPr>
                                  <w:rFonts w:ascii="Calibri"/>
                                  <w:color w:val="D9D9D9"/>
                                  <w:spacing w:val="-5"/>
                                  <w:sz w:val="18"/>
                                </w:rPr>
                                <w:t>50</w:t>
                              </w:r>
                            </w:p>
                            <w:p>
                              <w:pPr>
                                <w:spacing w:before="32"/>
                                <w:ind w:left="91" w:right="0" w:firstLine="0"/>
                                <w:jc w:val="left"/>
                                <w:rPr>
                                  <w:rFonts w:ascii="Calibri"/>
                                  <w:sz w:val="18"/>
                                </w:rPr>
                              </w:pPr>
                              <w:r>
                                <w:rPr>
                                  <w:rFonts w:ascii="Calibri"/>
                                  <w:color w:val="D9D9D9"/>
                                  <w:spacing w:val="-5"/>
                                  <w:sz w:val="18"/>
                                </w:rPr>
                                <w:t>40</w:t>
                              </w:r>
                            </w:p>
                            <w:p>
                              <w:pPr>
                                <w:spacing w:before="32"/>
                                <w:ind w:left="91" w:right="0" w:firstLine="0"/>
                                <w:jc w:val="left"/>
                                <w:rPr>
                                  <w:rFonts w:ascii="Calibri"/>
                                  <w:sz w:val="18"/>
                                </w:rPr>
                              </w:pPr>
                              <w:r>
                                <w:rPr>
                                  <w:rFonts w:ascii="Calibri"/>
                                  <w:color w:val="D9D9D9"/>
                                  <w:spacing w:val="-5"/>
                                  <w:sz w:val="18"/>
                                </w:rPr>
                                <w:t>30</w:t>
                              </w:r>
                            </w:p>
                            <w:p>
                              <w:pPr>
                                <w:spacing w:before="32"/>
                                <w:ind w:left="91" w:right="0" w:firstLine="0"/>
                                <w:jc w:val="left"/>
                                <w:rPr>
                                  <w:rFonts w:ascii="Calibri"/>
                                  <w:sz w:val="18"/>
                                </w:rPr>
                              </w:pPr>
                              <w:r>
                                <w:rPr>
                                  <w:rFonts w:ascii="Calibri"/>
                                  <w:color w:val="D9D9D9"/>
                                  <w:spacing w:val="-5"/>
                                  <w:sz w:val="18"/>
                                </w:rPr>
                                <w:t>20</w:t>
                              </w:r>
                            </w:p>
                            <w:p>
                              <w:pPr>
                                <w:spacing w:before="33"/>
                                <w:ind w:left="91" w:right="0" w:firstLine="0"/>
                                <w:jc w:val="left"/>
                                <w:rPr>
                                  <w:rFonts w:ascii="Calibri"/>
                                  <w:sz w:val="18"/>
                                </w:rPr>
                              </w:pPr>
                              <w:r>
                                <w:rPr>
                                  <w:rFonts w:ascii="Calibri"/>
                                  <w:color w:val="D9D9D9"/>
                                  <w:spacing w:val="-5"/>
                                  <w:sz w:val="18"/>
                                </w:rPr>
                                <w:t>10</w:t>
                              </w:r>
                            </w:p>
                            <w:p>
                              <w:pPr>
                                <w:spacing w:line="216" w:lineRule="exact" w:before="32"/>
                                <w:ind w:left="182" w:right="0" w:firstLine="0"/>
                                <w:jc w:val="left"/>
                                <w:rPr>
                                  <w:rFonts w:ascii="Calibri"/>
                                  <w:sz w:val="18"/>
                                </w:rPr>
                              </w:pPr>
                              <w:r>
                                <w:rPr>
                                  <w:rFonts w:ascii="Calibri"/>
                                  <w:color w:val="D9D9D9"/>
                                  <w:spacing w:val="-10"/>
                                  <w:sz w:val="18"/>
                                </w:rPr>
                                <w:t>0</w:t>
                              </w:r>
                            </w:p>
                          </w:txbxContent>
                        </wps:txbx>
                        <wps:bodyPr wrap="square" lIns="0" tIns="0" rIns="0" bIns="0" rtlCol="0">
                          <a:noAutofit/>
                        </wps:bodyPr>
                      </wps:wsp>
                      <wps:wsp>
                        <wps:cNvPr id="150" name="Textbox 150"/>
                        <wps:cNvSpPr txBox="1"/>
                        <wps:spPr>
                          <a:xfrm>
                            <a:off x="4209288" y="1499488"/>
                            <a:ext cx="248285" cy="114300"/>
                          </a:xfrm>
                          <a:prstGeom prst="rect">
                            <a:avLst/>
                          </a:prstGeom>
                        </wps:spPr>
                        <wps:txbx>
                          <w:txbxContent>
                            <w:p>
                              <w:pPr>
                                <w:spacing w:line="180" w:lineRule="exact" w:before="0"/>
                                <w:ind w:left="0" w:right="0" w:firstLine="0"/>
                                <w:jc w:val="left"/>
                                <w:rPr>
                                  <w:rFonts w:ascii="Calibri"/>
                                  <w:sz w:val="18"/>
                                </w:rPr>
                              </w:pPr>
                              <w:r>
                                <w:rPr>
                                  <w:rFonts w:ascii="Calibri"/>
                                  <w:color w:val="D9D9D9"/>
                                  <w:spacing w:val="-2"/>
                                  <w:sz w:val="18"/>
                                </w:rPr>
                                <w:t>Total</w:t>
                              </w:r>
                            </w:p>
                          </w:txbxContent>
                        </wps:txbx>
                        <wps:bodyPr wrap="square" lIns="0" tIns="0" rIns="0" bIns="0" rtlCol="0">
                          <a:noAutofit/>
                        </wps:bodyPr>
                      </wps:wsp>
                      <wps:wsp>
                        <wps:cNvPr id="151" name="Textbox 151"/>
                        <wps:cNvSpPr txBox="1"/>
                        <wps:spPr>
                          <a:xfrm>
                            <a:off x="2053717" y="2467635"/>
                            <a:ext cx="261620" cy="114935"/>
                          </a:xfrm>
                          <a:prstGeom prst="rect">
                            <a:avLst/>
                          </a:prstGeom>
                        </wps:spPr>
                        <wps:txbx>
                          <w:txbxContent>
                            <w:p>
                              <w:pPr>
                                <w:spacing w:line="180" w:lineRule="exact" w:before="0"/>
                                <w:ind w:left="0" w:right="0" w:firstLine="0"/>
                                <w:jc w:val="left"/>
                                <w:rPr>
                                  <w:rFonts w:ascii="Calibri"/>
                                  <w:b/>
                                  <w:sz w:val="18"/>
                                </w:rPr>
                              </w:pPr>
                              <w:r>
                                <w:rPr>
                                  <w:rFonts w:ascii="Calibri"/>
                                  <w:b/>
                                  <w:color w:val="D9D9D9"/>
                                  <w:spacing w:val="-4"/>
                                  <w:sz w:val="18"/>
                                </w:rPr>
                                <w:t>YEAR</w:t>
                              </w:r>
                            </w:p>
                          </w:txbxContent>
                        </wps:txbx>
                        <wps:bodyPr wrap="square" lIns="0" tIns="0" rIns="0" bIns="0" rtlCol="0">
                          <a:noAutofit/>
                        </wps:bodyPr>
                      </wps:wsp>
                    </wpg:wgp>
                  </a:graphicData>
                </a:graphic>
              </wp:anchor>
            </w:drawing>
          </mc:Choice>
          <mc:Fallback>
            <w:pict>
              <v:group style="position:absolute;margin-left:117.650002pt;margin-top:27.780001pt;width:360pt;height:216pt;mso-position-horizontal-relative:page;mso-position-vertical-relative:paragraph;z-index:15733248" id="docshapegroup93" coordorigin="2353,556" coordsize="7200,4320">
                <v:shape style="position:absolute;left:2353;top:555;width:7200;height:4320" type="#_x0000_t75" id="docshape94" stroked="false">
                  <v:imagedata r:id="rId19" o:title=""/>
                </v:shape>
                <v:shape style="position:absolute;left:3323;top:1346;width:4920;height:2521" id="docshape95" coordorigin="3323,1346" coordsize="4920,2521" path="m3323,1346l8243,1346m3323,3867l8243,3867e" filled="false" stroked="true" strokeweight=".75pt" strokecolor="#f1f1f1">
                  <v:path arrowok="t"/>
                  <v:stroke dashstyle="solid"/>
                </v:shape>
                <v:shape style="position:absolute;left:3323;top:1513;width:4920;height:2124" type="#_x0000_t75" id="docshape96" stroked="false">
                  <v:imagedata r:id="rId20" o:title=""/>
                </v:shape>
                <v:shape style="position:absolute;left:3314;top:3013;width:261;height:261" type="#_x0000_t75" id="docshape97" stroked="false">
                  <v:imagedata r:id="rId11" o:title=""/>
                </v:shape>
                <v:shape style="position:absolute;left:3559;top:3342;width:261;height:261" type="#_x0000_t75" id="docshape98" stroked="false">
                  <v:imagedata r:id="rId11" o:title=""/>
                </v:shape>
                <v:shape style="position:absolute;left:3806;top:2912;width:261;height:261" type="#_x0000_t75" id="docshape99" stroked="false">
                  <v:imagedata r:id="rId11" o:title=""/>
                </v:shape>
                <v:shape style="position:absolute;left:4051;top:3416;width:261;height:261" type="#_x0000_t75" id="docshape100" stroked="false">
                  <v:imagedata r:id="rId11" o:title=""/>
                </v:shape>
                <v:shape style="position:absolute;left:4298;top:3366;width:261;height:261" type="#_x0000_t75" id="docshape101" stroked="false">
                  <v:imagedata r:id="rId11" o:title=""/>
                </v:shape>
                <v:shape style="position:absolute;left:4543;top:2912;width:261;height:261" type="#_x0000_t75" id="docshape102" stroked="false">
                  <v:imagedata r:id="rId11" o:title=""/>
                </v:shape>
                <v:shape style="position:absolute;left:4790;top:3090;width:261;height:261" type="#_x0000_t75" id="docshape103" stroked="false">
                  <v:imagedata r:id="rId11" o:title=""/>
                </v:shape>
                <v:shape style="position:absolute;left:5035;top:3140;width:261;height:261" type="#_x0000_t75" id="docshape104" stroked="false">
                  <v:imagedata r:id="rId11" o:title=""/>
                </v:shape>
                <v:shape style="position:absolute;left:5282;top:2888;width:261;height:261" type="#_x0000_t75" id="docshape105" stroked="false">
                  <v:imagedata r:id="rId11" o:title=""/>
                </v:shape>
                <v:shape style="position:absolute;left:5527;top:2939;width:261;height:261" type="#_x0000_t75" id="docshape106" stroked="false">
                  <v:imagedata r:id="rId11" o:title=""/>
                </v:shape>
                <v:shape style="position:absolute;left:5774;top:2459;width:261;height:261" type="#_x0000_t75" id="docshape107" stroked="false">
                  <v:imagedata r:id="rId11" o:title=""/>
                </v:shape>
                <v:shape style="position:absolute;left:6019;top:2811;width:261;height:261" type="#_x0000_t75" id="docshape108" stroked="false">
                  <v:imagedata r:id="rId11" o:title=""/>
                </v:shape>
                <v:shape style="position:absolute;left:6266;top:3114;width:261;height:261" type="#_x0000_t75" id="docshape109" stroked="false">
                  <v:imagedata r:id="rId11" o:title=""/>
                </v:shape>
                <v:shape style="position:absolute;left:6511;top:2737;width:261;height:261" type="#_x0000_t75" id="docshape110" stroked="false">
                  <v:imagedata r:id="rId11" o:title=""/>
                </v:shape>
                <v:shape style="position:absolute;left:6758;top:2811;width:261;height:261" type="#_x0000_t75" id="docshape111" stroked="false">
                  <v:imagedata r:id="rId11" o:title=""/>
                </v:shape>
                <v:shape style="position:absolute;left:7003;top:3191;width:261;height:261" type="#_x0000_t75" id="docshape112" stroked="false">
                  <v:imagedata r:id="rId11" o:title=""/>
                </v:shape>
                <v:shape style="position:absolute;left:7250;top:1477;width:261;height:261" type="#_x0000_t75" id="docshape113" stroked="false">
                  <v:imagedata r:id="rId11" o:title=""/>
                </v:shape>
                <v:shape style="position:absolute;left:7495;top:2485;width:261;height:261" type="#_x0000_t75" id="docshape114" stroked="false">
                  <v:imagedata r:id="rId11" o:title=""/>
                </v:shape>
                <v:shape style="position:absolute;left:7742;top:2586;width:261;height:261" type="#_x0000_t75" id="docshape115" stroked="false">
                  <v:imagedata r:id="rId11" o:title=""/>
                </v:shape>
                <v:shape style="position:absolute;left:7987;top:2687;width:261;height:261" type="#_x0000_t75" id="docshape116" stroked="false">
                  <v:imagedata r:id="rId11" o:title=""/>
                </v:shape>
                <v:shape style="position:absolute;left:3446;top:1573;width:4674;height:1941" id="docshape117" coordorigin="3446,1573" coordsize="4674,1941" path="m3446,3110l3691,3438,3938,3009,4183,3514,4430,3462,4675,3009,4922,3186,5167,3237,5414,2985,5659,3035,5906,2555,6151,2908,6398,3210,6643,2834,6890,2908,7135,3287,7382,1573,7627,2582,7874,2682,8120,2783e" filled="false" stroked="true" strokeweight="2.75pt" strokecolor="#4471c4">
                  <v:path arrowok="t"/>
                  <v:stroke dashstyle="solid"/>
                </v:shape>
                <v:shape style="position:absolute;left:3367;top:3030;width:155;height:155" type="#_x0000_t75" id="docshape118" stroked="false">
                  <v:imagedata r:id="rId12" o:title=""/>
                </v:shape>
                <v:shape style="position:absolute;left:3612;top:3359;width:155;height:155" type="#_x0000_t75" id="docshape119" stroked="false">
                  <v:imagedata r:id="rId12" o:title=""/>
                </v:shape>
                <v:shape style="position:absolute;left:3859;top:2929;width:155;height:155" type="#_x0000_t75" id="docshape120" stroked="false">
                  <v:imagedata r:id="rId12" o:title=""/>
                </v:shape>
                <v:shape style="position:absolute;left:4104;top:3433;width:155;height:155" type="#_x0000_t75" id="docshape121" stroked="false">
                  <v:imagedata r:id="rId12" o:title=""/>
                </v:shape>
                <v:shape style="position:absolute;left:4351;top:3383;width:155;height:155" type="#_x0000_t75" id="docshape122" stroked="false">
                  <v:imagedata r:id="rId12" o:title=""/>
                </v:shape>
                <v:shape style="position:absolute;left:4596;top:2929;width:155;height:155" type="#_x0000_t75" id="docshape123" stroked="false">
                  <v:imagedata r:id="rId12" o:title=""/>
                </v:shape>
                <v:shape style="position:absolute;left:4843;top:3107;width:155;height:155" type="#_x0000_t75" id="docshape124" stroked="false">
                  <v:imagedata r:id="rId12" o:title=""/>
                </v:shape>
                <v:shape style="position:absolute;left:5088;top:3157;width:155;height:155" type="#_x0000_t75" id="docshape125" stroked="false">
                  <v:imagedata r:id="rId12" o:title=""/>
                </v:shape>
                <v:shape style="position:absolute;left:5335;top:2905;width:155;height:155" type="#_x0000_t75" id="docshape126" stroked="false">
                  <v:imagedata r:id="rId12" o:title=""/>
                </v:shape>
                <v:shape style="position:absolute;left:5580;top:2956;width:155;height:155" type="#_x0000_t75" id="docshape127" stroked="false">
                  <v:imagedata r:id="rId12" o:title=""/>
                </v:shape>
                <v:shape style="position:absolute;left:5827;top:2476;width:155;height:155" type="#_x0000_t75" id="docshape128" stroked="false">
                  <v:imagedata r:id="rId12" o:title=""/>
                </v:shape>
                <v:shape style="position:absolute;left:6072;top:2828;width:155;height:155" type="#_x0000_t75" id="docshape129" stroked="false">
                  <v:imagedata r:id="rId12" o:title=""/>
                </v:shape>
                <v:shape style="position:absolute;left:6319;top:3131;width:155;height:155" type="#_x0000_t75" id="docshape130" stroked="false">
                  <v:imagedata r:id="rId12" o:title=""/>
                </v:shape>
                <v:shape style="position:absolute;left:6564;top:2754;width:155;height:155" type="#_x0000_t75" id="docshape131" stroked="false">
                  <v:imagedata r:id="rId12" o:title=""/>
                </v:shape>
                <v:shape style="position:absolute;left:6811;top:2828;width:155;height:155" type="#_x0000_t75" id="docshape132" stroked="false">
                  <v:imagedata r:id="rId12" o:title=""/>
                </v:shape>
                <v:shape style="position:absolute;left:7056;top:3208;width:155;height:155" type="#_x0000_t75" id="docshape133" stroked="false">
                  <v:imagedata r:id="rId12" o:title=""/>
                </v:shape>
                <v:shape style="position:absolute;left:7303;top:1494;width:155;height:155" type="#_x0000_t75" id="docshape134" stroked="false">
                  <v:imagedata r:id="rId12" o:title=""/>
                </v:shape>
                <v:shape style="position:absolute;left:7548;top:2502;width:155;height:155" type="#_x0000_t75" id="docshape135" stroked="false">
                  <v:imagedata r:id="rId12" o:title=""/>
                </v:shape>
                <v:shape style="position:absolute;left:7795;top:2603;width:155;height:155" type="#_x0000_t75" id="docshape136" stroked="false">
                  <v:imagedata r:id="rId12" o:title=""/>
                </v:shape>
                <v:shape style="position:absolute;left:8040;top:2704;width:155;height:155" type="#_x0000_t75" id="docshape137" stroked="false">
                  <v:imagedata r:id="rId12" o:title=""/>
                </v:shape>
                <v:shape style="position:absolute;left:3386;top:596;width:5128;height:746" type="#_x0000_t75" id="docshape138" stroked="false">
                  <v:imagedata r:id="rId21" o:title=""/>
                </v:shape>
                <v:line style="position:absolute" from="8556,3001" to="8940,3001" stroked="true" strokeweight="2.75pt" strokecolor="#4471c4">
                  <v:stroke dashstyle="solid"/>
                </v:line>
                <v:shape style="position:absolute;left:8678;top:2932;width:134;height:134" type="#_x0000_t75" id="docshape139" stroked="false">
                  <v:imagedata r:id="rId13" o:title=""/>
                </v:shape>
                <v:shape style="position:absolute;left:3614;top:770;width:4671;height:320" type="#_x0000_t202" id="docshape140" filled="false" stroked="false">
                  <v:textbox inset="0,0,0,0">
                    <w:txbxContent>
                      <w:p>
                        <w:pPr>
                          <w:spacing w:line="320" w:lineRule="exact" w:before="0"/>
                          <w:ind w:left="0" w:right="0" w:firstLine="0"/>
                          <w:jc w:val="left"/>
                          <w:rPr>
                            <w:rFonts w:ascii="Calibri"/>
                            <w:b/>
                            <w:sz w:val="32"/>
                          </w:rPr>
                        </w:pPr>
                        <w:r>
                          <w:rPr>
                            <w:rFonts w:ascii="Calibri"/>
                            <w:b/>
                            <w:color w:val="F1F1F1"/>
                            <w:spacing w:val="14"/>
                            <w:sz w:val="32"/>
                          </w:rPr>
                          <w:t>Annual</w:t>
                        </w:r>
                        <w:r>
                          <w:rPr>
                            <w:rFonts w:ascii="Calibri"/>
                            <w:b/>
                            <w:color w:val="F1F1F1"/>
                            <w:spacing w:val="38"/>
                            <w:sz w:val="32"/>
                          </w:rPr>
                          <w:t> </w:t>
                        </w:r>
                        <w:r>
                          <w:rPr>
                            <w:rFonts w:ascii="Calibri"/>
                            <w:b/>
                            <w:color w:val="F1F1F1"/>
                            <w:spacing w:val="14"/>
                            <w:sz w:val="32"/>
                          </w:rPr>
                          <w:t>Deal</w:t>
                        </w:r>
                        <w:r>
                          <w:rPr>
                            <w:rFonts w:ascii="Calibri"/>
                            <w:b/>
                            <w:color w:val="F1F1F1"/>
                            <w:spacing w:val="35"/>
                            <w:sz w:val="32"/>
                          </w:rPr>
                          <w:t> </w:t>
                        </w:r>
                        <w:r>
                          <w:rPr>
                            <w:rFonts w:ascii="Calibri"/>
                            <w:b/>
                            <w:color w:val="F1F1F1"/>
                            <w:spacing w:val="13"/>
                            <w:sz w:val="32"/>
                          </w:rPr>
                          <w:t>Volume</w:t>
                        </w:r>
                        <w:r>
                          <w:rPr>
                            <w:rFonts w:ascii="Calibri"/>
                            <w:b/>
                            <w:color w:val="F1F1F1"/>
                            <w:spacing w:val="38"/>
                            <w:sz w:val="32"/>
                          </w:rPr>
                          <w:t> </w:t>
                        </w:r>
                        <w:r>
                          <w:rPr>
                            <w:rFonts w:ascii="Calibri"/>
                            <w:b/>
                            <w:color w:val="F1F1F1"/>
                            <w:spacing w:val="10"/>
                            <w:sz w:val="32"/>
                          </w:rPr>
                          <w:t>Trend</w:t>
                        </w:r>
                        <w:r>
                          <w:rPr>
                            <w:rFonts w:ascii="Calibri"/>
                            <w:b/>
                            <w:color w:val="F1F1F1"/>
                            <w:spacing w:val="36"/>
                            <w:sz w:val="32"/>
                          </w:rPr>
                          <w:t> </w:t>
                        </w:r>
                        <w:r>
                          <w:rPr>
                            <w:rFonts w:ascii="Calibri"/>
                            <w:b/>
                            <w:color w:val="F1F1F1"/>
                            <w:spacing w:val="9"/>
                            <w:sz w:val="32"/>
                          </w:rPr>
                          <w:t>Exit</w:t>
                        </w:r>
                      </w:p>
                    </w:txbxContent>
                  </v:textbox>
                  <w10:wrap type="none"/>
                </v:shape>
                <v:shape style="position:absolute;left:2883;top:1262;width:294;height:2701" type="#_x0000_t202" id="docshape141" filled="false" stroked="false">
                  <v:textbox inset="0,0,0,0">
                    <w:txbxContent>
                      <w:p>
                        <w:pPr>
                          <w:spacing w:line="183" w:lineRule="exact" w:before="0"/>
                          <w:ind w:left="0" w:right="0" w:firstLine="0"/>
                          <w:jc w:val="left"/>
                          <w:rPr>
                            <w:rFonts w:ascii="Calibri"/>
                            <w:sz w:val="18"/>
                          </w:rPr>
                        </w:pPr>
                        <w:r>
                          <w:rPr>
                            <w:rFonts w:ascii="Calibri"/>
                            <w:color w:val="D9D9D9"/>
                            <w:spacing w:val="-5"/>
                            <w:sz w:val="18"/>
                          </w:rPr>
                          <w:t>100</w:t>
                        </w:r>
                      </w:p>
                      <w:p>
                        <w:pPr>
                          <w:spacing w:before="32"/>
                          <w:ind w:left="91" w:right="0" w:firstLine="0"/>
                          <w:jc w:val="left"/>
                          <w:rPr>
                            <w:rFonts w:ascii="Calibri"/>
                            <w:sz w:val="18"/>
                          </w:rPr>
                        </w:pPr>
                        <w:r>
                          <w:rPr>
                            <w:rFonts w:ascii="Calibri"/>
                            <w:color w:val="D9D9D9"/>
                            <w:spacing w:val="-5"/>
                            <w:sz w:val="18"/>
                          </w:rPr>
                          <w:t>90</w:t>
                        </w:r>
                      </w:p>
                      <w:p>
                        <w:pPr>
                          <w:spacing w:before="32"/>
                          <w:ind w:left="91" w:right="0" w:firstLine="0"/>
                          <w:jc w:val="left"/>
                          <w:rPr>
                            <w:rFonts w:ascii="Calibri"/>
                            <w:sz w:val="18"/>
                          </w:rPr>
                        </w:pPr>
                        <w:r>
                          <w:rPr>
                            <w:rFonts w:ascii="Calibri"/>
                            <w:color w:val="D9D9D9"/>
                            <w:spacing w:val="-5"/>
                            <w:sz w:val="18"/>
                          </w:rPr>
                          <w:t>80</w:t>
                        </w:r>
                      </w:p>
                      <w:p>
                        <w:pPr>
                          <w:spacing w:before="33"/>
                          <w:ind w:left="91" w:right="0" w:firstLine="0"/>
                          <w:jc w:val="left"/>
                          <w:rPr>
                            <w:rFonts w:ascii="Calibri"/>
                            <w:sz w:val="18"/>
                          </w:rPr>
                        </w:pPr>
                        <w:r>
                          <w:rPr>
                            <w:rFonts w:ascii="Calibri"/>
                            <w:color w:val="D9D9D9"/>
                            <w:spacing w:val="-5"/>
                            <w:sz w:val="18"/>
                          </w:rPr>
                          <w:t>70</w:t>
                        </w:r>
                      </w:p>
                      <w:p>
                        <w:pPr>
                          <w:spacing w:before="32"/>
                          <w:ind w:left="91" w:right="0" w:firstLine="0"/>
                          <w:jc w:val="left"/>
                          <w:rPr>
                            <w:rFonts w:ascii="Calibri"/>
                            <w:sz w:val="18"/>
                          </w:rPr>
                        </w:pPr>
                        <w:r>
                          <w:rPr>
                            <w:rFonts w:ascii="Calibri"/>
                            <w:color w:val="D9D9D9"/>
                            <w:spacing w:val="-5"/>
                            <w:sz w:val="18"/>
                          </w:rPr>
                          <w:t>60</w:t>
                        </w:r>
                      </w:p>
                      <w:p>
                        <w:pPr>
                          <w:spacing w:before="33"/>
                          <w:ind w:left="91" w:right="0" w:firstLine="0"/>
                          <w:jc w:val="left"/>
                          <w:rPr>
                            <w:rFonts w:ascii="Calibri"/>
                            <w:sz w:val="18"/>
                          </w:rPr>
                        </w:pPr>
                        <w:r>
                          <w:rPr>
                            <w:rFonts w:ascii="Calibri"/>
                            <w:color w:val="D9D9D9"/>
                            <w:spacing w:val="-5"/>
                            <w:sz w:val="18"/>
                          </w:rPr>
                          <w:t>50</w:t>
                        </w:r>
                      </w:p>
                      <w:p>
                        <w:pPr>
                          <w:spacing w:before="32"/>
                          <w:ind w:left="91" w:right="0" w:firstLine="0"/>
                          <w:jc w:val="left"/>
                          <w:rPr>
                            <w:rFonts w:ascii="Calibri"/>
                            <w:sz w:val="18"/>
                          </w:rPr>
                        </w:pPr>
                        <w:r>
                          <w:rPr>
                            <w:rFonts w:ascii="Calibri"/>
                            <w:color w:val="D9D9D9"/>
                            <w:spacing w:val="-5"/>
                            <w:sz w:val="18"/>
                          </w:rPr>
                          <w:t>40</w:t>
                        </w:r>
                      </w:p>
                      <w:p>
                        <w:pPr>
                          <w:spacing w:before="32"/>
                          <w:ind w:left="91" w:right="0" w:firstLine="0"/>
                          <w:jc w:val="left"/>
                          <w:rPr>
                            <w:rFonts w:ascii="Calibri"/>
                            <w:sz w:val="18"/>
                          </w:rPr>
                        </w:pPr>
                        <w:r>
                          <w:rPr>
                            <w:rFonts w:ascii="Calibri"/>
                            <w:color w:val="D9D9D9"/>
                            <w:spacing w:val="-5"/>
                            <w:sz w:val="18"/>
                          </w:rPr>
                          <w:t>30</w:t>
                        </w:r>
                      </w:p>
                      <w:p>
                        <w:pPr>
                          <w:spacing w:before="32"/>
                          <w:ind w:left="91" w:right="0" w:firstLine="0"/>
                          <w:jc w:val="left"/>
                          <w:rPr>
                            <w:rFonts w:ascii="Calibri"/>
                            <w:sz w:val="18"/>
                          </w:rPr>
                        </w:pPr>
                        <w:r>
                          <w:rPr>
                            <w:rFonts w:ascii="Calibri"/>
                            <w:color w:val="D9D9D9"/>
                            <w:spacing w:val="-5"/>
                            <w:sz w:val="18"/>
                          </w:rPr>
                          <w:t>20</w:t>
                        </w:r>
                      </w:p>
                      <w:p>
                        <w:pPr>
                          <w:spacing w:before="33"/>
                          <w:ind w:left="91" w:right="0" w:firstLine="0"/>
                          <w:jc w:val="left"/>
                          <w:rPr>
                            <w:rFonts w:ascii="Calibri"/>
                            <w:sz w:val="18"/>
                          </w:rPr>
                        </w:pPr>
                        <w:r>
                          <w:rPr>
                            <w:rFonts w:ascii="Calibri"/>
                            <w:color w:val="D9D9D9"/>
                            <w:spacing w:val="-5"/>
                            <w:sz w:val="18"/>
                          </w:rPr>
                          <w:t>10</w:t>
                        </w:r>
                      </w:p>
                      <w:p>
                        <w:pPr>
                          <w:spacing w:line="216" w:lineRule="exact" w:before="32"/>
                          <w:ind w:left="182" w:right="0" w:firstLine="0"/>
                          <w:jc w:val="left"/>
                          <w:rPr>
                            <w:rFonts w:ascii="Calibri"/>
                            <w:sz w:val="18"/>
                          </w:rPr>
                        </w:pPr>
                        <w:r>
                          <w:rPr>
                            <w:rFonts w:ascii="Calibri"/>
                            <w:color w:val="D9D9D9"/>
                            <w:spacing w:val="-10"/>
                            <w:sz w:val="18"/>
                          </w:rPr>
                          <w:t>0</w:t>
                        </w:r>
                      </w:p>
                    </w:txbxContent>
                  </v:textbox>
                  <w10:wrap type="none"/>
                </v:shape>
                <v:shape style="position:absolute;left:8981;top:2917;width:391;height:180" type="#_x0000_t202" id="docshape142" filled="false" stroked="false">
                  <v:textbox inset="0,0,0,0">
                    <w:txbxContent>
                      <w:p>
                        <w:pPr>
                          <w:spacing w:line="180" w:lineRule="exact" w:before="0"/>
                          <w:ind w:left="0" w:right="0" w:firstLine="0"/>
                          <w:jc w:val="left"/>
                          <w:rPr>
                            <w:rFonts w:ascii="Calibri"/>
                            <w:sz w:val="18"/>
                          </w:rPr>
                        </w:pPr>
                        <w:r>
                          <w:rPr>
                            <w:rFonts w:ascii="Calibri"/>
                            <w:color w:val="D9D9D9"/>
                            <w:spacing w:val="-2"/>
                            <w:sz w:val="18"/>
                          </w:rPr>
                          <w:t>Total</w:t>
                        </w:r>
                      </w:p>
                    </w:txbxContent>
                  </v:textbox>
                  <w10:wrap type="none"/>
                </v:shape>
                <v:shape style="position:absolute;left:5587;top:4441;width:412;height:181" type="#_x0000_t202" id="docshape143" filled="false" stroked="false">
                  <v:textbox inset="0,0,0,0">
                    <w:txbxContent>
                      <w:p>
                        <w:pPr>
                          <w:spacing w:line="180" w:lineRule="exact" w:before="0"/>
                          <w:ind w:left="0" w:right="0" w:firstLine="0"/>
                          <w:jc w:val="left"/>
                          <w:rPr>
                            <w:rFonts w:ascii="Calibri"/>
                            <w:b/>
                            <w:sz w:val="18"/>
                          </w:rPr>
                        </w:pPr>
                        <w:r>
                          <w:rPr>
                            <w:rFonts w:ascii="Calibri"/>
                            <w:b/>
                            <w:color w:val="D9D9D9"/>
                            <w:spacing w:val="-4"/>
                            <w:sz w:val="18"/>
                          </w:rPr>
                          <w:t>YEAR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3760">
                <wp:simplePos x="0" y="0"/>
                <wp:positionH relativeFrom="page">
                  <wp:posOffset>1663064</wp:posOffset>
                </wp:positionH>
                <wp:positionV relativeFrom="paragraph">
                  <wp:posOffset>1125309</wp:posOffset>
                </wp:positionV>
                <wp:extent cx="139700" cy="106299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139700" cy="1062990"/>
                        </a:xfrm>
                        <a:prstGeom prst="rect">
                          <a:avLst/>
                        </a:prstGeom>
                      </wps:spPr>
                      <wps:txbx>
                        <w:txbxContent>
                          <w:p>
                            <w:pPr>
                              <w:spacing w:line="203" w:lineRule="exact" w:before="0"/>
                              <w:ind w:left="20" w:right="0" w:firstLine="0"/>
                              <w:jc w:val="left"/>
                              <w:rPr>
                                <w:rFonts w:ascii="Calibri"/>
                                <w:b/>
                                <w:sz w:val="18"/>
                              </w:rPr>
                            </w:pPr>
                            <w:r>
                              <w:rPr>
                                <w:rFonts w:ascii="Calibri"/>
                                <w:b/>
                                <w:color w:val="D9D9D9"/>
                                <w:sz w:val="18"/>
                              </w:rPr>
                              <w:t>COUNT</w:t>
                            </w:r>
                            <w:r>
                              <w:rPr>
                                <w:rFonts w:ascii="Calibri"/>
                                <w:b/>
                                <w:color w:val="D9D9D9"/>
                                <w:spacing w:val="-2"/>
                                <w:sz w:val="18"/>
                              </w:rPr>
                              <w:t> </w:t>
                            </w:r>
                            <w:r>
                              <w:rPr>
                                <w:rFonts w:ascii="Calibri"/>
                                <w:b/>
                                <w:color w:val="D9D9D9"/>
                                <w:sz w:val="18"/>
                              </w:rPr>
                              <w:t>BU </w:t>
                            </w:r>
                            <w:r>
                              <w:rPr>
                                <w:rFonts w:ascii="Calibri"/>
                                <w:b/>
                                <w:color w:val="D9D9D9"/>
                                <w:spacing w:val="-2"/>
                                <w:sz w:val="18"/>
                              </w:rPr>
                              <w:t>COMPANY</w:t>
                            </w:r>
                          </w:p>
                        </w:txbxContent>
                      </wps:txbx>
                      <wps:bodyPr wrap="square" lIns="0" tIns="0" rIns="0" bIns="0" rtlCol="0" vert="vert270">
                        <a:noAutofit/>
                      </wps:bodyPr>
                    </wps:wsp>
                  </a:graphicData>
                </a:graphic>
              </wp:anchor>
            </w:drawing>
          </mc:Choice>
          <mc:Fallback>
            <w:pict>
              <v:shape style="position:absolute;margin-left:130.949997pt;margin-top:88.607086pt;width:11pt;height:83.7pt;mso-position-horizontal-relative:page;mso-position-vertical-relative:paragraph;z-index:15733760" type="#_x0000_t202" id="docshape144" filled="false" stroked="false">
                <v:textbox inset="0,0,0,0" style="layout-flow:vertical;mso-layout-flow-alt:bottom-to-top">
                  <w:txbxContent>
                    <w:p>
                      <w:pPr>
                        <w:spacing w:line="203" w:lineRule="exact" w:before="0"/>
                        <w:ind w:left="20" w:right="0" w:firstLine="0"/>
                        <w:jc w:val="left"/>
                        <w:rPr>
                          <w:rFonts w:ascii="Calibri"/>
                          <w:b/>
                          <w:sz w:val="18"/>
                        </w:rPr>
                      </w:pPr>
                      <w:r>
                        <w:rPr>
                          <w:rFonts w:ascii="Calibri"/>
                          <w:b/>
                          <w:color w:val="D9D9D9"/>
                          <w:sz w:val="18"/>
                        </w:rPr>
                        <w:t>COUNT</w:t>
                      </w:r>
                      <w:r>
                        <w:rPr>
                          <w:rFonts w:ascii="Calibri"/>
                          <w:b/>
                          <w:color w:val="D9D9D9"/>
                          <w:spacing w:val="-2"/>
                          <w:sz w:val="18"/>
                        </w:rPr>
                        <w:t> </w:t>
                      </w:r>
                      <w:r>
                        <w:rPr>
                          <w:rFonts w:ascii="Calibri"/>
                          <w:b/>
                          <w:color w:val="D9D9D9"/>
                          <w:sz w:val="18"/>
                        </w:rPr>
                        <w:t>BU </w:t>
                      </w:r>
                      <w:r>
                        <w:rPr>
                          <w:rFonts w:ascii="Calibri"/>
                          <w:b/>
                          <w:color w:val="D9D9D9"/>
                          <w:spacing w:val="-2"/>
                          <w:sz w:val="18"/>
                        </w:rPr>
                        <w:t>COMPANY</w:t>
                      </w:r>
                    </w:p>
                  </w:txbxContent>
                </v:textbox>
                <w10:wrap type="none"/>
              </v:shape>
            </w:pict>
          </mc:Fallback>
        </mc:AlternateContent>
      </w:r>
      <w:bookmarkStart w:name="_bookmark43" w:id="44"/>
      <w:bookmarkEnd w:id="44"/>
      <w:r>
        <w:rPr>
          <w:b w:val="0"/>
        </w:rPr>
      </w:r>
      <w:r>
        <w:rPr/>
        <w:t>Annual</w:t>
      </w:r>
      <w:r>
        <w:rPr>
          <w:spacing w:val="-11"/>
        </w:rPr>
        <w:t> </w:t>
      </w:r>
      <w:r>
        <w:rPr/>
        <w:t>Deal</w:t>
      </w:r>
      <w:r>
        <w:rPr>
          <w:spacing w:val="-14"/>
        </w:rPr>
        <w:t> </w:t>
      </w:r>
      <w:r>
        <w:rPr/>
        <w:t>Volume</w:t>
      </w:r>
      <w:r>
        <w:rPr>
          <w:spacing w:val="-15"/>
        </w:rPr>
        <w:t> </w:t>
      </w:r>
      <w:r>
        <w:rPr>
          <w:spacing w:val="-4"/>
        </w:rPr>
        <w:t>Trend</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8"/>
        <w:rPr>
          <w:b/>
        </w:rPr>
      </w:pPr>
    </w:p>
    <w:p>
      <w:pPr>
        <w:spacing w:before="0"/>
        <w:ind w:left="3" w:right="1" w:firstLine="0"/>
        <w:jc w:val="center"/>
        <w:rPr>
          <w:i/>
          <w:sz w:val="18"/>
        </w:rPr>
      </w:pPr>
      <w:r>
        <w:rPr>
          <w:i/>
          <w:sz w:val="18"/>
        </w:rPr>
        <mc:AlternateContent>
          <mc:Choice Requires="wps">
            <w:drawing>
              <wp:anchor distT="0" distB="0" distL="0" distR="0" allowOverlap="1" layoutInCell="1" locked="0" behindDoc="0" simplePos="0" relativeHeight="15734272">
                <wp:simplePos x="0" y="0"/>
                <wp:positionH relativeFrom="page">
                  <wp:posOffset>2128773</wp:posOffset>
                </wp:positionH>
                <wp:positionV relativeFrom="paragraph">
                  <wp:posOffset>-771384</wp:posOffset>
                </wp:positionV>
                <wp:extent cx="3108325" cy="25717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3108325" cy="257175"/>
                        </a:xfrm>
                        <a:prstGeom prst="rect">
                          <a:avLst/>
                        </a:prstGeom>
                      </wps:spPr>
                      <wps:txbx>
                        <w:txbxContent>
                          <w:p>
                            <w:pPr>
                              <w:spacing w:line="203" w:lineRule="exact" w:before="0"/>
                              <w:ind w:left="20" w:right="0" w:firstLine="0"/>
                              <w:jc w:val="left"/>
                              <w:rPr>
                                <w:rFonts w:ascii="Calibri"/>
                                <w:sz w:val="18"/>
                              </w:rPr>
                            </w:pPr>
                            <w:r>
                              <w:rPr>
                                <w:rFonts w:ascii="Calibri"/>
                                <w:color w:val="D9D9D9"/>
                                <w:spacing w:val="-4"/>
                                <w:sz w:val="18"/>
                              </w:rPr>
                              <w:t>2005</w:t>
                            </w:r>
                          </w:p>
                          <w:p>
                            <w:pPr>
                              <w:spacing w:before="26"/>
                              <w:ind w:left="20" w:right="0" w:firstLine="0"/>
                              <w:jc w:val="left"/>
                              <w:rPr>
                                <w:rFonts w:ascii="Calibri"/>
                                <w:sz w:val="18"/>
                              </w:rPr>
                            </w:pPr>
                            <w:r>
                              <w:rPr>
                                <w:rFonts w:ascii="Calibri"/>
                                <w:color w:val="D9D9D9"/>
                                <w:spacing w:val="-4"/>
                                <w:sz w:val="18"/>
                              </w:rPr>
                              <w:t>2006</w:t>
                            </w:r>
                          </w:p>
                          <w:p>
                            <w:pPr>
                              <w:spacing w:before="26"/>
                              <w:ind w:left="20" w:right="0" w:firstLine="0"/>
                              <w:jc w:val="left"/>
                              <w:rPr>
                                <w:rFonts w:ascii="Calibri"/>
                                <w:sz w:val="18"/>
                              </w:rPr>
                            </w:pPr>
                            <w:r>
                              <w:rPr>
                                <w:rFonts w:ascii="Calibri"/>
                                <w:color w:val="D9D9D9"/>
                                <w:spacing w:val="-4"/>
                                <w:sz w:val="18"/>
                              </w:rPr>
                              <w:t>2007</w:t>
                            </w:r>
                          </w:p>
                          <w:p>
                            <w:pPr>
                              <w:spacing w:before="27"/>
                              <w:ind w:left="20" w:right="0" w:firstLine="0"/>
                              <w:jc w:val="left"/>
                              <w:rPr>
                                <w:rFonts w:ascii="Calibri"/>
                                <w:sz w:val="18"/>
                              </w:rPr>
                            </w:pPr>
                            <w:r>
                              <w:rPr>
                                <w:rFonts w:ascii="Calibri"/>
                                <w:color w:val="D9D9D9"/>
                                <w:spacing w:val="-4"/>
                                <w:sz w:val="18"/>
                              </w:rPr>
                              <w:t>2008</w:t>
                            </w:r>
                          </w:p>
                          <w:p>
                            <w:pPr>
                              <w:spacing w:before="26"/>
                              <w:ind w:left="20" w:right="0" w:firstLine="0"/>
                              <w:jc w:val="left"/>
                              <w:rPr>
                                <w:rFonts w:ascii="Calibri"/>
                                <w:sz w:val="18"/>
                              </w:rPr>
                            </w:pPr>
                            <w:r>
                              <w:rPr>
                                <w:rFonts w:ascii="Calibri"/>
                                <w:color w:val="D9D9D9"/>
                                <w:spacing w:val="-4"/>
                                <w:sz w:val="18"/>
                              </w:rPr>
                              <w:t>2009</w:t>
                            </w:r>
                          </w:p>
                          <w:p>
                            <w:pPr>
                              <w:spacing w:before="26"/>
                              <w:ind w:left="20" w:right="0" w:firstLine="0"/>
                              <w:jc w:val="left"/>
                              <w:rPr>
                                <w:rFonts w:ascii="Calibri"/>
                                <w:sz w:val="18"/>
                              </w:rPr>
                            </w:pPr>
                            <w:r>
                              <w:rPr>
                                <w:rFonts w:ascii="Calibri"/>
                                <w:color w:val="D9D9D9"/>
                                <w:spacing w:val="-4"/>
                                <w:sz w:val="18"/>
                              </w:rPr>
                              <w:t>2010</w:t>
                            </w:r>
                          </w:p>
                          <w:p>
                            <w:pPr>
                              <w:spacing w:before="27"/>
                              <w:ind w:left="20" w:right="0" w:firstLine="0"/>
                              <w:jc w:val="left"/>
                              <w:rPr>
                                <w:rFonts w:ascii="Calibri"/>
                                <w:sz w:val="18"/>
                              </w:rPr>
                            </w:pPr>
                            <w:r>
                              <w:rPr>
                                <w:rFonts w:ascii="Calibri"/>
                                <w:color w:val="D9D9D9"/>
                                <w:spacing w:val="-4"/>
                                <w:sz w:val="18"/>
                              </w:rPr>
                              <w:t>2011</w:t>
                            </w:r>
                          </w:p>
                          <w:p>
                            <w:pPr>
                              <w:spacing w:before="26"/>
                              <w:ind w:left="20" w:right="0" w:firstLine="0"/>
                              <w:jc w:val="left"/>
                              <w:rPr>
                                <w:rFonts w:ascii="Calibri"/>
                                <w:sz w:val="18"/>
                              </w:rPr>
                            </w:pPr>
                            <w:r>
                              <w:rPr>
                                <w:rFonts w:ascii="Calibri"/>
                                <w:color w:val="D9D9D9"/>
                                <w:spacing w:val="-4"/>
                                <w:sz w:val="18"/>
                              </w:rPr>
                              <w:t>2012</w:t>
                            </w:r>
                          </w:p>
                          <w:p>
                            <w:pPr>
                              <w:spacing w:before="26"/>
                              <w:ind w:left="20" w:right="0" w:firstLine="0"/>
                              <w:jc w:val="left"/>
                              <w:rPr>
                                <w:rFonts w:ascii="Calibri"/>
                                <w:sz w:val="18"/>
                              </w:rPr>
                            </w:pPr>
                            <w:r>
                              <w:rPr>
                                <w:rFonts w:ascii="Calibri"/>
                                <w:color w:val="D9D9D9"/>
                                <w:spacing w:val="-4"/>
                                <w:sz w:val="18"/>
                              </w:rPr>
                              <w:t>2013</w:t>
                            </w:r>
                          </w:p>
                          <w:p>
                            <w:pPr>
                              <w:spacing w:before="26"/>
                              <w:ind w:left="20" w:right="0" w:firstLine="0"/>
                              <w:jc w:val="left"/>
                              <w:rPr>
                                <w:rFonts w:ascii="Calibri"/>
                                <w:sz w:val="18"/>
                              </w:rPr>
                            </w:pPr>
                            <w:r>
                              <w:rPr>
                                <w:rFonts w:ascii="Calibri"/>
                                <w:color w:val="D9D9D9"/>
                                <w:spacing w:val="-4"/>
                                <w:sz w:val="18"/>
                              </w:rPr>
                              <w:t>2014</w:t>
                            </w:r>
                          </w:p>
                          <w:p>
                            <w:pPr>
                              <w:spacing w:before="27"/>
                              <w:ind w:left="20" w:right="0" w:firstLine="0"/>
                              <w:jc w:val="left"/>
                              <w:rPr>
                                <w:rFonts w:ascii="Calibri"/>
                                <w:sz w:val="18"/>
                              </w:rPr>
                            </w:pPr>
                            <w:r>
                              <w:rPr>
                                <w:rFonts w:ascii="Calibri"/>
                                <w:color w:val="D9D9D9"/>
                                <w:spacing w:val="-4"/>
                                <w:sz w:val="18"/>
                              </w:rPr>
                              <w:t>2015</w:t>
                            </w:r>
                          </w:p>
                          <w:p>
                            <w:pPr>
                              <w:spacing w:before="26"/>
                              <w:ind w:left="20" w:right="0" w:firstLine="0"/>
                              <w:jc w:val="left"/>
                              <w:rPr>
                                <w:rFonts w:ascii="Calibri"/>
                                <w:sz w:val="18"/>
                              </w:rPr>
                            </w:pPr>
                            <w:r>
                              <w:rPr>
                                <w:rFonts w:ascii="Calibri"/>
                                <w:color w:val="D9D9D9"/>
                                <w:spacing w:val="-4"/>
                                <w:sz w:val="18"/>
                              </w:rPr>
                              <w:t>2016</w:t>
                            </w:r>
                          </w:p>
                          <w:p>
                            <w:pPr>
                              <w:spacing w:before="26"/>
                              <w:ind w:left="20" w:right="0" w:firstLine="0"/>
                              <w:jc w:val="left"/>
                              <w:rPr>
                                <w:rFonts w:ascii="Calibri"/>
                                <w:sz w:val="18"/>
                              </w:rPr>
                            </w:pPr>
                            <w:r>
                              <w:rPr>
                                <w:rFonts w:ascii="Calibri"/>
                                <w:color w:val="D9D9D9"/>
                                <w:spacing w:val="-4"/>
                                <w:sz w:val="18"/>
                              </w:rPr>
                              <w:t>2017</w:t>
                            </w:r>
                          </w:p>
                          <w:p>
                            <w:pPr>
                              <w:spacing w:before="26"/>
                              <w:ind w:left="20" w:right="0" w:firstLine="0"/>
                              <w:jc w:val="left"/>
                              <w:rPr>
                                <w:rFonts w:ascii="Calibri"/>
                                <w:sz w:val="18"/>
                              </w:rPr>
                            </w:pPr>
                            <w:r>
                              <w:rPr>
                                <w:rFonts w:ascii="Calibri"/>
                                <w:color w:val="D9D9D9"/>
                                <w:spacing w:val="-4"/>
                                <w:sz w:val="18"/>
                              </w:rPr>
                              <w:t>2018</w:t>
                            </w:r>
                          </w:p>
                          <w:p>
                            <w:pPr>
                              <w:spacing w:before="27"/>
                              <w:ind w:left="20" w:right="0" w:firstLine="0"/>
                              <w:jc w:val="left"/>
                              <w:rPr>
                                <w:rFonts w:ascii="Calibri"/>
                                <w:sz w:val="18"/>
                              </w:rPr>
                            </w:pPr>
                            <w:r>
                              <w:rPr>
                                <w:rFonts w:ascii="Calibri"/>
                                <w:color w:val="D9D9D9"/>
                                <w:spacing w:val="-4"/>
                                <w:sz w:val="18"/>
                              </w:rPr>
                              <w:t>2019</w:t>
                            </w:r>
                          </w:p>
                          <w:p>
                            <w:pPr>
                              <w:spacing w:before="26"/>
                              <w:ind w:left="20" w:right="0" w:firstLine="0"/>
                              <w:jc w:val="left"/>
                              <w:rPr>
                                <w:rFonts w:ascii="Calibri"/>
                                <w:sz w:val="18"/>
                              </w:rPr>
                            </w:pPr>
                            <w:r>
                              <w:rPr>
                                <w:rFonts w:ascii="Calibri"/>
                                <w:color w:val="D9D9D9"/>
                                <w:spacing w:val="-4"/>
                                <w:sz w:val="18"/>
                              </w:rPr>
                              <w:t>2020</w:t>
                            </w:r>
                          </w:p>
                          <w:p>
                            <w:pPr>
                              <w:spacing w:before="26"/>
                              <w:ind w:left="20" w:right="0" w:firstLine="0"/>
                              <w:jc w:val="left"/>
                              <w:rPr>
                                <w:rFonts w:ascii="Calibri"/>
                                <w:sz w:val="18"/>
                              </w:rPr>
                            </w:pPr>
                            <w:r>
                              <w:rPr>
                                <w:rFonts w:ascii="Calibri"/>
                                <w:color w:val="D9D9D9"/>
                                <w:spacing w:val="-4"/>
                                <w:sz w:val="18"/>
                              </w:rPr>
                              <w:t>2021</w:t>
                            </w:r>
                          </w:p>
                          <w:p>
                            <w:pPr>
                              <w:spacing w:before="27"/>
                              <w:ind w:left="20" w:right="0" w:firstLine="0"/>
                              <w:jc w:val="left"/>
                              <w:rPr>
                                <w:rFonts w:ascii="Calibri"/>
                                <w:sz w:val="18"/>
                              </w:rPr>
                            </w:pPr>
                            <w:r>
                              <w:rPr>
                                <w:rFonts w:ascii="Calibri"/>
                                <w:color w:val="D9D9D9"/>
                                <w:spacing w:val="-4"/>
                                <w:sz w:val="18"/>
                              </w:rPr>
                              <w:t>2022</w:t>
                            </w:r>
                          </w:p>
                          <w:p>
                            <w:pPr>
                              <w:spacing w:before="26"/>
                              <w:ind w:left="20" w:right="0" w:firstLine="0"/>
                              <w:jc w:val="left"/>
                              <w:rPr>
                                <w:rFonts w:ascii="Calibri"/>
                                <w:sz w:val="18"/>
                              </w:rPr>
                            </w:pPr>
                            <w:r>
                              <w:rPr>
                                <w:rFonts w:ascii="Calibri"/>
                                <w:color w:val="D9D9D9"/>
                                <w:spacing w:val="-4"/>
                                <w:sz w:val="18"/>
                              </w:rPr>
                              <w:t>2023</w:t>
                            </w:r>
                          </w:p>
                          <w:p>
                            <w:pPr>
                              <w:spacing w:before="26"/>
                              <w:ind w:left="20" w:right="0" w:firstLine="0"/>
                              <w:jc w:val="left"/>
                              <w:rPr>
                                <w:rFonts w:ascii="Calibri"/>
                                <w:sz w:val="18"/>
                              </w:rPr>
                            </w:pPr>
                            <w:r>
                              <w:rPr>
                                <w:rFonts w:ascii="Calibri"/>
                                <w:color w:val="D9D9D9"/>
                                <w:spacing w:val="-4"/>
                                <w:sz w:val="18"/>
                              </w:rPr>
                              <w:t>2024</w:t>
                            </w:r>
                          </w:p>
                        </w:txbxContent>
                      </wps:txbx>
                      <wps:bodyPr wrap="square" lIns="0" tIns="0" rIns="0" bIns="0" rtlCol="0" vert="vert270">
                        <a:noAutofit/>
                      </wps:bodyPr>
                    </wps:wsp>
                  </a:graphicData>
                </a:graphic>
              </wp:anchor>
            </w:drawing>
          </mc:Choice>
          <mc:Fallback>
            <w:pict>
              <v:shape style="position:absolute;margin-left:167.619995pt;margin-top:-60.738907pt;width:244.75pt;height:20.25pt;mso-position-horizontal-relative:page;mso-position-vertical-relative:paragraph;z-index:15734272" type="#_x0000_t202" id="docshape145"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color w:val="D9D9D9"/>
                          <w:spacing w:val="-4"/>
                          <w:sz w:val="18"/>
                        </w:rPr>
                        <w:t>2005</w:t>
                      </w:r>
                    </w:p>
                    <w:p>
                      <w:pPr>
                        <w:spacing w:before="26"/>
                        <w:ind w:left="20" w:right="0" w:firstLine="0"/>
                        <w:jc w:val="left"/>
                        <w:rPr>
                          <w:rFonts w:ascii="Calibri"/>
                          <w:sz w:val="18"/>
                        </w:rPr>
                      </w:pPr>
                      <w:r>
                        <w:rPr>
                          <w:rFonts w:ascii="Calibri"/>
                          <w:color w:val="D9D9D9"/>
                          <w:spacing w:val="-4"/>
                          <w:sz w:val="18"/>
                        </w:rPr>
                        <w:t>2006</w:t>
                      </w:r>
                    </w:p>
                    <w:p>
                      <w:pPr>
                        <w:spacing w:before="26"/>
                        <w:ind w:left="20" w:right="0" w:firstLine="0"/>
                        <w:jc w:val="left"/>
                        <w:rPr>
                          <w:rFonts w:ascii="Calibri"/>
                          <w:sz w:val="18"/>
                        </w:rPr>
                      </w:pPr>
                      <w:r>
                        <w:rPr>
                          <w:rFonts w:ascii="Calibri"/>
                          <w:color w:val="D9D9D9"/>
                          <w:spacing w:val="-4"/>
                          <w:sz w:val="18"/>
                        </w:rPr>
                        <w:t>2007</w:t>
                      </w:r>
                    </w:p>
                    <w:p>
                      <w:pPr>
                        <w:spacing w:before="27"/>
                        <w:ind w:left="20" w:right="0" w:firstLine="0"/>
                        <w:jc w:val="left"/>
                        <w:rPr>
                          <w:rFonts w:ascii="Calibri"/>
                          <w:sz w:val="18"/>
                        </w:rPr>
                      </w:pPr>
                      <w:r>
                        <w:rPr>
                          <w:rFonts w:ascii="Calibri"/>
                          <w:color w:val="D9D9D9"/>
                          <w:spacing w:val="-4"/>
                          <w:sz w:val="18"/>
                        </w:rPr>
                        <w:t>2008</w:t>
                      </w:r>
                    </w:p>
                    <w:p>
                      <w:pPr>
                        <w:spacing w:before="26"/>
                        <w:ind w:left="20" w:right="0" w:firstLine="0"/>
                        <w:jc w:val="left"/>
                        <w:rPr>
                          <w:rFonts w:ascii="Calibri"/>
                          <w:sz w:val="18"/>
                        </w:rPr>
                      </w:pPr>
                      <w:r>
                        <w:rPr>
                          <w:rFonts w:ascii="Calibri"/>
                          <w:color w:val="D9D9D9"/>
                          <w:spacing w:val="-4"/>
                          <w:sz w:val="18"/>
                        </w:rPr>
                        <w:t>2009</w:t>
                      </w:r>
                    </w:p>
                    <w:p>
                      <w:pPr>
                        <w:spacing w:before="26"/>
                        <w:ind w:left="20" w:right="0" w:firstLine="0"/>
                        <w:jc w:val="left"/>
                        <w:rPr>
                          <w:rFonts w:ascii="Calibri"/>
                          <w:sz w:val="18"/>
                        </w:rPr>
                      </w:pPr>
                      <w:r>
                        <w:rPr>
                          <w:rFonts w:ascii="Calibri"/>
                          <w:color w:val="D9D9D9"/>
                          <w:spacing w:val="-4"/>
                          <w:sz w:val="18"/>
                        </w:rPr>
                        <w:t>2010</w:t>
                      </w:r>
                    </w:p>
                    <w:p>
                      <w:pPr>
                        <w:spacing w:before="27"/>
                        <w:ind w:left="20" w:right="0" w:firstLine="0"/>
                        <w:jc w:val="left"/>
                        <w:rPr>
                          <w:rFonts w:ascii="Calibri"/>
                          <w:sz w:val="18"/>
                        </w:rPr>
                      </w:pPr>
                      <w:r>
                        <w:rPr>
                          <w:rFonts w:ascii="Calibri"/>
                          <w:color w:val="D9D9D9"/>
                          <w:spacing w:val="-4"/>
                          <w:sz w:val="18"/>
                        </w:rPr>
                        <w:t>2011</w:t>
                      </w:r>
                    </w:p>
                    <w:p>
                      <w:pPr>
                        <w:spacing w:before="26"/>
                        <w:ind w:left="20" w:right="0" w:firstLine="0"/>
                        <w:jc w:val="left"/>
                        <w:rPr>
                          <w:rFonts w:ascii="Calibri"/>
                          <w:sz w:val="18"/>
                        </w:rPr>
                      </w:pPr>
                      <w:r>
                        <w:rPr>
                          <w:rFonts w:ascii="Calibri"/>
                          <w:color w:val="D9D9D9"/>
                          <w:spacing w:val="-4"/>
                          <w:sz w:val="18"/>
                        </w:rPr>
                        <w:t>2012</w:t>
                      </w:r>
                    </w:p>
                    <w:p>
                      <w:pPr>
                        <w:spacing w:before="26"/>
                        <w:ind w:left="20" w:right="0" w:firstLine="0"/>
                        <w:jc w:val="left"/>
                        <w:rPr>
                          <w:rFonts w:ascii="Calibri"/>
                          <w:sz w:val="18"/>
                        </w:rPr>
                      </w:pPr>
                      <w:r>
                        <w:rPr>
                          <w:rFonts w:ascii="Calibri"/>
                          <w:color w:val="D9D9D9"/>
                          <w:spacing w:val="-4"/>
                          <w:sz w:val="18"/>
                        </w:rPr>
                        <w:t>2013</w:t>
                      </w:r>
                    </w:p>
                    <w:p>
                      <w:pPr>
                        <w:spacing w:before="26"/>
                        <w:ind w:left="20" w:right="0" w:firstLine="0"/>
                        <w:jc w:val="left"/>
                        <w:rPr>
                          <w:rFonts w:ascii="Calibri"/>
                          <w:sz w:val="18"/>
                        </w:rPr>
                      </w:pPr>
                      <w:r>
                        <w:rPr>
                          <w:rFonts w:ascii="Calibri"/>
                          <w:color w:val="D9D9D9"/>
                          <w:spacing w:val="-4"/>
                          <w:sz w:val="18"/>
                        </w:rPr>
                        <w:t>2014</w:t>
                      </w:r>
                    </w:p>
                    <w:p>
                      <w:pPr>
                        <w:spacing w:before="27"/>
                        <w:ind w:left="20" w:right="0" w:firstLine="0"/>
                        <w:jc w:val="left"/>
                        <w:rPr>
                          <w:rFonts w:ascii="Calibri"/>
                          <w:sz w:val="18"/>
                        </w:rPr>
                      </w:pPr>
                      <w:r>
                        <w:rPr>
                          <w:rFonts w:ascii="Calibri"/>
                          <w:color w:val="D9D9D9"/>
                          <w:spacing w:val="-4"/>
                          <w:sz w:val="18"/>
                        </w:rPr>
                        <w:t>2015</w:t>
                      </w:r>
                    </w:p>
                    <w:p>
                      <w:pPr>
                        <w:spacing w:before="26"/>
                        <w:ind w:left="20" w:right="0" w:firstLine="0"/>
                        <w:jc w:val="left"/>
                        <w:rPr>
                          <w:rFonts w:ascii="Calibri"/>
                          <w:sz w:val="18"/>
                        </w:rPr>
                      </w:pPr>
                      <w:r>
                        <w:rPr>
                          <w:rFonts w:ascii="Calibri"/>
                          <w:color w:val="D9D9D9"/>
                          <w:spacing w:val="-4"/>
                          <w:sz w:val="18"/>
                        </w:rPr>
                        <w:t>2016</w:t>
                      </w:r>
                    </w:p>
                    <w:p>
                      <w:pPr>
                        <w:spacing w:before="26"/>
                        <w:ind w:left="20" w:right="0" w:firstLine="0"/>
                        <w:jc w:val="left"/>
                        <w:rPr>
                          <w:rFonts w:ascii="Calibri"/>
                          <w:sz w:val="18"/>
                        </w:rPr>
                      </w:pPr>
                      <w:r>
                        <w:rPr>
                          <w:rFonts w:ascii="Calibri"/>
                          <w:color w:val="D9D9D9"/>
                          <w:spacing w:val="-4"/>
                          <w:sz w:val="18"/>
                        </w:rPr>
                        <w:t>2017</w:t>
                      </w:r>
                    </w:p>
                    <w:p>
                      <w:pPr>
                        <w:spacing w:before="26"/>
                        <w:ind w:left="20" w:right="0" w:firstLine="0"/>
                        <w:jc w:val="left"/>
                        <w:rPr>
                          <w:rFonts w:ascii="Calibri"/>
                          <w:sz w:val="18"/>
                        </w:rPr>
                      </w:pPr>
                      <w:r>
                        <w:rPr>
                          <w:rFonts w:ascii="Calibri"/>
                          <w:color w:val="D9D9D9"/>
                          <w:spacing w:val="-4"/>
                          <w:sz w:val="18"/>
                        </w:rPr>
                        <w:t>2018</w:t>
                      </w:r>
                    </w:p>
                    <w:p>
                      <w:pPr>
                        <w:spacing w:before="27"/>
                        <w:ind w:left="20" w:right="0" w:firstLine="0"/>
                        <w:jc w:val="left"/>
                        <w:rPr>
                          <w:rFonts w:ascii="Calibri"/>
                          <w:sz w:val="18"/>
                        </w:rPr>
                      </w:pPr>
                      <w:r>
                        <w:rPr>
                          <w:rFonts w:ascii="Calibri"/>
                          <w:color w:val="D9D9D9"/>
                          <w:spacing w:val="-4"/>
                          <w:sz w:val="18"/>
                        </w:rPr>
                        <w:t>2019</w:t>
                      </w:r>
                    </w:p>
                    <w:p>
                      <w:pPr>
                        <w:spacing w:before="26"/>
                        <w:ind w:left="20" w:right="0" w:firstLine="0"/>
                        <w:jc w:val="left"/>
                        <w:rPr>
                          <w:rFonts w:ascii="Calibri"/>
                          <w:sz w:val="18"/>
                        </w:rPr>
                      </w:pPr>
                      <w:r>
                        <w:rPr>
                          <w:rFonts w:ascii="Calibri"/>
                          <w:color w:val="D9D9D9"/>
                          <w:spacing w:val="-4"/>
                          <w:sz w:val="18"/>
                        </w:rPr>
                        <w:t>2020</w:t>
                      </w:r>
                    </w:p>
                    <w:p>
                      <w:pPr>
                        <w:spacing w:before="26"/>
                        <w:ind w:left="20" w:right="0" w:firstLine="0"/>
                        <w:jc w:val="left"/>
                        <w:rPr>
                          <w:rFonts w:ascii="Calibri"/>
                          <w:sz w:val="18"/>
                        </w:rPr>
                      </w:pPr>
                      <w:r>
                        <w:rPr>
                          <w:rFonts w:ascii="Calibri"/>
                          <w:color w:val="D9D9D9"/>
                          <w:spacing w:val="-4"/>
                          <w:sz w:val="18"/>
                        </w:rPr>
                        <w:t>2021</w:t>
                      </w:r>
                    </w:p>
                    <w:p>
                      <w:pPr>
                        <w:spacing w:before="27"/>
                        <w:ind w:left="20" w:right="0" w:firstLine="0"/>
                        <w:jc w:val="left"/>
                        <w:rPr>
                          <w:rFonts w:ascii="Calibri"/>
                          <w:sz w:val="18"/>
                        </w:rPr>
                      </w:pPr>
                      <w:r>
                        <w:rPr>
                          <w:rFonts w:ascii="Calibri"/>
                          <w:color w:val="D9D9D9"/>
                          <w:spacing w:val="-4"/>
                          <w:sz w:val="18"/>
                        </w:rPr>
                        <w:t>2022</w:t>
                      </w:r>
                    </w:p>
                    <w:p>
                      <w:pPr>
                        <w:spacing w:before="26"/>
                        <w:ind w:left="20" w:right="0" w:firstLine="0"/>
                        <w:jc w:val="left"/>
                        <w:rPr>
                          <w:rFonts w:ascii="Calibri"/>
                          <w:sz w:val="18"/>
                        </w:rPr>
                      </w:pPr>
                      <w:r>
                        <w:rPr>
                          <w:rFonts w:ascii="Calibri"/>
                          <w:color w:val="D9D9D9"/>
                          <w:spacing w:val="-4"/>
                          <w:sz w:val="18"/>
                        </w:rPr>
                        <w:t>2023</w:t>
                      </w:r>
                    </w:p>
                    <w:p>
                      <w:pPr>
                        <w:spacing w:before="26"/>
                        <w:ind w:left="20" w:right="0" w:firstLine="0"/>
                        <w:jc w:val="left"/>
                        <w:rPr>
                          <w:rFonts w:ascii="Calibri"/>
                          <w:sz w:val="18"/>
                        </w:rPr>
                      </w:pPr>
                      <w:r>
                        <w:rPr>
                          <w:rFonts w:ascii="Calibri"/>
                          <w:color w:val="D9D9D9"/>
                          <w:spacing w:val="-4"/>
                          <w:sz w:val="18"/>
                        </w:rPr>
                        <w:t>2024</w:t>
                      </w:r>
                    </w:p>
                  </w:txbxContent>
                </v:textbox>
                <w10:wrap type="none"/>
              </v:shape>
            </w:pict>
          </mc:Fallback>
        </mc:AlternateContent>
      </w:r>
      <w:r>
        <w:rPr>
          <w:i/>
          <w:color w:val="44536A"/>
          <w:sz w:val="18"/>
        </w:rPr>
        <w:t>Figure</w:t>
      </w:r>
      <w:r>
        <w:rPr>
          <w:i/>
          <w:color w:val="44536A"/>
          <w:spacing w:val="-6"/>
          <w:sz w:val="18"/>
        </w:rPr>
        <w:t> </w:t>
      </w:r>
      <w:r>
        <w:rPr>
          <w:i/>
          <w:color w:val="44536A"/>
          <w:sz w:val="18"/>
        </w:rPr>
        <w:t>5:</w:t>
      </w:r>
      <w:r>
        <w:rPr>
          <w:i/>
          <w:color w:val="44536A"/>
          <w:spacing w:val="-10"/>
          <w:sz w:val="18"/>
        </w:rPr>
        <w:t> </w:t>
      </w:r>
      <w:r>
        <w:rPr>
          <w:i/>
          <w:color w:val="44536A"/>
          <w:sz w:val="18"/>
        </w:rPr>
        <w:t>Annual</w:t>
      </w:r>
      <w:r>
        <w:rPr>
          <w:i/>
          <w:color w:val="44536A"/>
          <w:spacing w:val="-7"/>
          <w:sz w:val="18"/>
        </w:rPr>
        <w:t> </w:t>
      </w:r>
      <w:r>
        <w:rPr>
          <w:i/>
          <w:color w:val="44536A"/>
          <w:sz w:val="18"/>
        </w:rPr>
        <w:t>Deal</w:t>
      </w:r>
      <w:r>
        <w:rPr>
          <w:i/>
          <w:color w:val="44536A"/>
          <w:spacing w:val="-7"/>
          <w:sz w:val="18"/>
        </w:rPr>
        <w:t> </w:t>
      </w:r>
      <w:r>
        <w:rPr>
          <w:i/>
          <w:color w:val="44536A"/>
          <w:sz w:val="18"/>
        </w:rPr>
        <w:t>Volume</w:t>
      </w:r>
      <w:r>
        <w:rPr>
          <w:i/>
          <w:color w:val="44536A"/>
          <w:spacing w:val="-6"/>
          <w:sz w:val="18"/>
        </w:rPr>
        <w:t> </w:t>
      </w:r>
      <w:r>
        <w:rPr>
          <w:i/>
          <w:color w:val="44536A"/>
          <w:spacing w:val="-4"/>
          <w:sz w:val="18"/>
        </w:rPr>
        <w:t>Trend</w:t>
      </w:r>
    </w:p>
    <w:p>
      <w:pPr>
        <w:pStyle w:val="BodyText"/>
        <w:spacing w:line="360" w:lineRule="auto" w:before="198"/>
        <w:ind w:left="23" w:right="20"/>
        <w:jc w:val="both"/>
      </w:pPr>
      <w:r>
        <w:rPr/>
        <w:t>Deal</w:t>
      </w:r>
      <w:r>
        <w:rPr>
          <w:spacing w:val="-13"/>
        </w:rPr>
        <w:t> </w:t>
      </w:r>
      <w:r>
        <w:rPr/>
        <w:t>volume</w:t>
      </w:r>
      <w:r>
        <w:rPr>
          <w:spacing w:val="-11"/>
        </w:rPr>
        <w:t> </w:t>
      </w:r>
      <w:r>
        <w:rPr/>
        <w:t>data</w:t>
      </w:r>
      <w:r>
        <w:rPr>
          <w:spacing w:val="-8"/>
        </w:rPr>
        <w:t> </w:t>
      </w:r>
      <w:r>
        <w:rPr/>
        <w:t>show</w:t>
      </w:r>
      <w:r>
        <w:rPr>
          <w:spacing w:val="-10"/>
        </w:rPr>
        <w:t> </w:t>
      </w:r>
      <w:r>
        <w:rPr/>
        <w:t>a</w:t>
      </w:r>
      <w:r>
        <w:rPr>
          <w:spacing w:val="-8"/>
        </w:rPr>
        <w:t> </w:t>
      </w:r>
      <w:r>
        <w:rPr/>
        <w:t>definite</w:t>
      </w:r>
      <w:r>
        <w:rPr>
          <w:spacing w:val="-10"/>
        </w:rPr>
        <w:t> </w:t>
      </w:r>
      <w:r>
        <w:rPr/>
        <w:t>growth</w:t>
      </w:r>
      <w:r>
        <w:rPr>
          <w:spacing w:val="-9"/>
        </w:rPr>
        <w:t> </w:t>
      </w:r>
      <w:r>
        <w:rPr/>
        <w:t>path</w:t>
      </w:r>
      <w:r>
        <w:rPr>
          <w:spacing w:val="-9"/>
        </w:rPr>
        <w:t> </w:t>
      </w:r>
      <w:r>
        <w:rPr/>
        <w:t>in</w:t>
      </w:r>
      <w:r>
        <w:rPr>
          <w:spacing w:val="-9"/>
        </w:rPr>
        <w:t> </w:t>
      </w:r>
      <w:r>
        <w:rPr/>
        <w:t>the</w:t>
      </w:r>
      <w:r>
        <w:rPr>
          <w:spacing w:val="-11"/>
        </w:rPr>
        <w:t> </w:t>
      </w:r>
      <w:r>
        <w:rPr/>
        <w:t>past</w:t>
      </w:r>
      <w:r>
        <w:rPr>
          <w:spacing w:val="-9"/>
        </w:rPr>
        <w:t> </w:t>
      </w:r>
      <w:r>
        <w:rPr/>
        <w:t>two</w:t>
      </w:r>
      <w:r>
        <w:rPr>
          <w:spacing w:val="-10"/>
        </w:rPr>
        <w:t> </w:t>
      </w:r>
      <w:r>
        <w:rPr/>
        <w:t>decades.</w:t>
      </w:r>
      <w:r>
        <w:rPr>
          <w:spacing w:val="-15"/>
        </w:rPr>
        <w:t> </w:t>
      </w:r>
      <w:r>
        <w:rPr/>
        <w:t>Annual</w:t>
      </w:r>
      <w:r>
        <w:rPr>
          <w:spacing w:val="-9"/>
        </w:rPr>
        <w:t> </w:t>
      </w:r>
      <w:r>
        <w:rPr/>
        <w:t>deal</w:t>
      </w:r>
      <w:r>
        <w:rPr>
          <w:spacing w:val="-9"/>
        </w:rPr>
        <w:t> </w:t>
      </w:r>
      <w:r>
        <w:rPr/>
        <w:t>counts</w:t>
      </w:r>
      <w:r>
        <w:rPr>
          <w:spacing w:val="-9"/>
        </w:rPr>
        <w:t> </w:t>
      </w:r>
      <w:r>
        <w:rPr/>
        <w:t>rose from 77 transactions in 2005 to 698 transactions in 2022, an almost 9-fold increase in the amount of market activity Periodization of this trend shows three major phases. First, from 2005 to 2008, deal volumes increase steadily as the first stage venture funding and first- generation</w:t>
      </w:r>
      <w:r>
        <w:rPr>
          <w:spacing w:val="-7"/>
        </w:rPr>
        <w:t> </w:t>
      </w:r>
      <w:r>
        <w:rPr/>
        <w:t>buyout</w:t>
      </w:r>
      <w:r>
        <w:rPr>
          <w:spacing w:val="-6"/>
        </w:rPr>
        <w:t> </w:t>
      </w:r>
      <w:r>
        <w:rPr/>
        <w:t>activity</w:t>
      </w:r>
      <w:r>
        <w:rPr>
          <w:spacing w:val="-7"/>
        </w:rPr>
        <w:t> </w:t>
      </w:r>
      <w:r>
        <w:rPr/>
        <w:t>emerges</w:t>
      </w:r>
      <w:r>
        <w:rPr>
          <w:spacing w:val="-5"/>
        </w:rPr>
        <w:t> </w:t>
      </w:r>
      <w:r>
        <w:rPr/>
        <w:t>alongside</w:t>
      </w:r>
      <w:r>
        <w:rPr>
          <w:spacing w:val="-7"/>
        </w:rPr>
        <w:t> </w:t>
      </w:r>
      <w:r>
        <w:rPr/>
        <w:t>the</w:t>
      </w:r>
      <w:r>
        <w:rPr>
          <w:spacing w:val="-3"/>
        </w:rPr>
        <w:t> </w:t>
      </w:r>
      <w:r>
        <w:rPr/>
        <w:t>economic</w:t>
      </w:r>
      <w:r>
        <w:rPr>
          <w:spacing w:val="-8"/>
        </w:rPr>
        <w:t> </w:t>
      </w:r>
      <w:r>
        <w:rPr/>
        <w:t>liberalization</w:t>
      </w:r>
      <w:r>
        <w:rPr>
          <w:spacing w:val="-4"/>
        </w:rPr>
        <w:t> </w:t>
      </w:r>
      <w:r>
        <w:rPr/>
        <w:t>momentum</w:t>
      </w:r>
      <w:r>
        <w:rPr>
          <w:spacing w:val="-6"/>
        </w:rPr>
        <w:t> </w:t>
      </w:r>
      <w:r>
        <w:rPr/>
        <w:t>in</w:t>
      </w:r>
      <w:r>
        <w:rPr>
          <w:spacing w:val="-6"/>
        </w:rPr>
        <w:t> </w:t>
      </w:r>
      <w:r>
        <w:rPr/>
        <w:t>India. The Global Financial Crisis (2008-2010) breaks this trend, as reflected in a drop to 129 deals in 2009, reflecting global liquidity withdrawal and investor risk aversion.</w:t>
      </w:r>
    </w:p>
    <w:p>
      <w:pPr>
        <w:pStyle w:val="BodyText"/>
        <w:spacing w:line="360" w:lineRule="auto" w:before="160"/>
        <w:ind w:left="23" w:right="21"/>
        <w:jc w:val="both"/>
      </w:pPr>
      <w:r>
        <w:rPr/>
        <w:t>The</w:t>
      </w:r>
      <w:r>
        <w:rPr>
          <w:spacing w:val="-2"/>
        </w:rPr>
        <w:t> </w:t>
      </w:r>
      <w:r>
        <w:rPr/>
        <w:t>second</w:t>
      </w:r>
      <w:r>
        <w:rPr>
          <w:spacing w:val="-1"/>
        </w:rPr>
        <w:t> </w:t>
      </w:r>
      <w:r>
        <w:rPr/>
        <w:t>phase,</w:t>
      </w:r>
      <w:r>
        <w:rPr>
          <w:spacing w:val="-1"/>
        </w:rPr>
        <w:t> </w:t>
      </w:r>
      <w:r>
        <w:rPr/>
        <w:t>from 2011-2016,</w:t>
      </w:r>
      <w:r>
        <w:rPr>
          <w:spacing w:val="-1"/>
        </w:rPr>
        <w:t> </w:t>
      </w:r>
      <w:r>
        <w:rPr/>
        <w:t>is characterized</w:t>
      </w:r>
      <w:r>
        <w:rPr>
          <w:spacing w:val="-1"/>
        </w:rPr>
        <w:t> </w:t>
      </w:r>
      <w:r>
        <w:rPr/>
        <w:t>by</w:t>
      </w:r>
      <w:r>
        <w:rPr>
          <w:spacing w:val="-1"/>
        </w:rPr>
        <w:t> </w:t>
      </w:r>
      <w:r>
        <w:rPr/>
        <w:t>stabilizing</w:t>
      </w:r>
      <w:r>
        <w:rPr>
          <w:spacing w:val="-1"/>
        </w:rPr>
        <w:t> </w:t>
      </w:r>
      <w:r>
        <w:rPr/>
        <w:t>of</w:t>
      </w:r>
      <w:r>
        <w:rPr>
          <w:spacing w:val="-2"/>
        </w:rPr>
        <w:t> </w:t>
      </w:r>
      <w:r>
        <w:rPr/>
        <w:t>the markets</w:t>
      </w:r>
      <w:r>
        <w:rPr>
          <w:spacing w:val="-1"/>
        </w:rPr>
        <w:t> </w:t>
      </w:r>
      <w:r>
        <w:rPr/>
        <w:t>and gradual recovery</w:t>
      </w:r>
      <w:r>
        <w:rPr>
          <w:spacing w:val="-1"/>
        </w:rPr>
        <w:t> </w:t>
      </w:r>
      <w:r>
        <w:rPr/>
        <w:t>with the number</w:t>
      </w:r>
      <w:r>
        <w:rPr>
          <w:spacing w:val="-1"/>
        </w:rPr>
        <w:t> </w:t>
      </w:r>
      <w:r>
        <w:rPr/>
        <w:t>of</w:t>
      </w:r>
      <w:r>
        <w:rPr>
          <w:spacing w:val="-1"/>
        </w:rPr>
        <w:t> </w:t>
      </w:r>
      <w:r>
        <w:rPr/>
        <w:t>deals increasing from 227 in 2011 to</w:t>
      </w:r>
      <w:r>
        <w:rPr>
          <w:spacing w:val="-2"/>
        </w:rPr>
        <w:t> </w:t>
      </w:r>
      <w:r>
        <w:rPr/>
        <w:t>355 by</w:t>
      </w:r>
      <w:r>
        <w:rPr>
          <w:spacing w:val="-2"/>
        </w:rPr>
        <w:t> </w:t>
      </w:r>
      <w:r>
        <w:rPr/>
        <w:t>2018. Notably, deal activity picks up from 2016 onwards corresponding with the introduction of strategic policy interventions such as the Insolvency and Bankruptcy Code (IBC, 2016) and expansion of the Alternative Investment Fund (AIF) regulatory framework, which improve invest ability and certainty of governance. The third phase, 2017 onwards, indicates exponential scaling, with deal counts peaking in 2022, thanks to digital-sector capital formation and global inflows of venture capital.</w:t>
      </w:r>
    </w:p>
    <w:p>
      <w:pPr>
        <w:pStyle w:val="Heading3"/>
        <w:numPr>
          <w:ilvl w:val="2"/>
          <w:numId w:val="5"/>
        </w:numPr>
        <w:tabs>
          <w:tab w:pos="548" w:val="left" w:leader="none"/>
        </w:tabs>
        <w:spacing w:line="240" w:lineRule="auto" w:before="159" w:after="0"/>
        <w:ind w:left="548" w:right="0" w:hanging="525"/>
        <w:jc w:val="both"/>
      </w:pPr>
      <w:bookmarkStart w:name="_bookmark44" w:id="45"/>
      <w:bookmarkEnd w:id="45"/>
      <w:r>
        <w:rPr>
          <w:b w:val="0"/>
        </w:rPr>
      </w:r>
      <w:r>
        <w:rPr/>
        <w:t>Annual</w:t>
      </w:r>
      <w:r>
        <w:rPr>
          <w:spacing w:val="-10"/>
        </w:rPr>
        <w:t> </w:t>
      </w:r>
      <w:r>
        <w:rPr/>
        <w:t>Deal</w:t>
      </w:r>
      <w:r>
        <w:rPr>
          <w:spacing w:val="-13"/>
        </w:rPr>
        <w:t> </w:t>
      </w:r>
      <w:r>
        <w:rPr/>
        <w:t>Value</w:t>
      </w:r>
      <w:r>
        <w:rPr>
          <w:spacing w:val="-14"/>
        </w:rPr>
        <w:t> </w:t>
      </w:r>
      <w:r>
        <w:rPr>
          <w:spacing w:val="-4"/>
        </w:rPr>
        <w:t>Trend</w:t>
      </w:r>
    </w:p>
    <w:p>
      <w:pPr>
        <w:pStyle w:val="BodyText"/>
        <w:spacing w:line="360" w:lineRule="auto" w:before="219"/>
        <w:ind w:left="23" w:right="17"/>
        <w:jc w:val="both"/>
      </w:pPr>
      <w:r>
        <w:rPr/>
        <w:t>Further strengthening of the structural growth of the market is owing to capital deployment. Investment values are, however, modest in the early period, increasing from USD 1.1 billion in</w:t>
      </w:r>
      <w:r>
        <w:rPr>
          <w:spacing w:val="-1"/>
        </w:rPr>
        <w:t> </w:t>
      </w:r>
      <w:r>
        <w:rPr/>
        <w:t>2005</w:t>
      </w:r>
      <w:r>
        <w:rPr>
          <w:spacing w:val="-1"/>
        </w:rPr>
        <w:t> </w:t>
      </w:r>
      <w:r>
        <w:rPr/>
        <w:t>to</w:t>
      </w:r>
      <w:r>
        <w:rPr>
          <w:spacing w:val="-2"/>
        </w:rPr>
        <w:t> </w:t>
      </w:r>
      <w:r>
        <w:rPr/>
        <w:t>USD</w:t>
      </w:r>
      <w:r>
        <w:rPr>
          <w:spacing w:val="-1"/>
        </w:rPr>
        <w:t> </w:t>
      </w:r>
      <w:r>
        <w:rPr/>
        <w:t>3.1</w:t>
      </w:r>
      <w:r>
        <w:rPr>
          <w:spacing w:val="-1"/>
        </w:rPr>
        <w:t> </w:t>
      </w:r>
      <w:r>
        <w:rPr/>
        <w:t>billion</w:t>
      </w:r>
      <w:r>
        <w:rPr>
          <w:spacing w:val="-1"/>
        </w:rPr>
        <w:t> </w:t>
      </w:r>
      <w:r>
        <w:rPr/>
        <w:t>by</w:t>
      </w:r>
      <w:r>
        <w:rPr>
          <w:spacing w:val="-1"/>
        </w:rPr>
        <w:t> </w:t>
      </w:r>
      <w:r>
        <w:rPr/>
        <w:t>2008,</w:t>
      </w:r>
      <w:r>
        <w:rPr>
          <w:spacing w:val="-2"/>
        </w:rPr>
        <w:t> </w:t>
      </w:r>
      <w:r>
        <w:rPr/>
        <w:t>before</w:t>
      </w:r>
      <w:r>
        <w:rPr>
          <w:spacing w:val="-1"/>
        </w:rPr>
        <w:t> </w:t>
      </w:r>
      <w:r>
        <w:rPr/>
        <w:t>falling</w:t>
      </w:r>
      <w:r>
        <w:rPr>
          <w:spacing w:val="-1"/>
        </w:rPr>
        <w:t> </w:t>
      </w:r>
      <w:r>
        <w:rPr/>
        <w:t>during</w:t>
      </w:r>
      <w:r>
        <w:rPr>
          <w:spacing w:val="-1"/>
        </w:rPr>
        <w:t> </w:t>
      </w:r>
      <w:r>
        <w:rPr/>
        <w:t>the</w:t>
      </w:r>
      <w:r>
        <w:rPr>
          <w:spacing w:val="-2"/>
        </w:rPr>
        <w:t> </w:t>
      </w:r>
      <w:r>
        <w:rPr/>
        <w:t>2008-2010</w:t>
      </w:r>
      <w:r>
        <w:rPr>
          <w:spacing w:val="-1"/>
        </w:rPr>
        <w:t> </w:t>
      </w:r>
      <w:r>
        <w:rPr/>
        <w:t>crisis.</w:t>
      </w:r>
      <w:r>
        <w:rPr>
          <w:spacing w:val="-1"/>
        </w:rPr>
        <w:t> </w:t>
      </w:r>
      <w:r>
        <w:rPr/>
        <w:t>Steady</w:t>
      </w:r>
      <w:r>
        <w:rPr>
          <w:spacing w:val="-1"/>
        </w:rPr>
        <w:t> </w:t>
      </w:r>
      <w:r>
        <w:rPr>
          <w:spacing w:val="-2"/>
        </w:rPr>
        <w:t>growth</w:t>
      </w:r>
    </w:p>
    <w:p>
      <w:pPr>
        <w:pStyle w:val="BodyText"/>
        <w:spacing w:after="0" w:line="360" w:lineRule="auto"/>
        <w:jc w:val="both"/>
        <w:sectPr>
          <w:pgSz w:w="11910" w:h="16840"/>
          <w:pgMar w:header="0" w:footer="1009" w:top="1360" w:bottom="1200" w:left="1417" w:right="1417"/>
        </w:sectPr>
      </w:pPr>
    </w:p>
    <w:p>
      <w:pPr>
        <w:pStyle w:val="BodyText"/>
        <w:spacing w:line="360" w:lineRule="auto" w:before="61"/>
        <w:ind w:left="23" w:right="22"/>
        <w:jc w:val="both"/>
      </w:pPr>
      <w:r>
        <w:rPr/>
        <w:t>can be seen through the 2010s, with values reaching USD 8.7 billion (2018) and USD 12.1 billion (2019).</w:t>
      </w:r>
      <w:r>
        <w:rPr>
          <w:spacing w:val="-2"/>
        </w:rPr>
        <w:t> </w:t>
      </w:r>
      <w:r>
        <w:rPr/>
        <w:t>The largest inflection reaches out in 2020, where the total invested value rises to USD 35.3 billion, which is the highest point of the data set.</w:t>
      </w:r>
    </w:p>
    <w:p>
      <w:pPr>
        <w:pStyle w:val="BodyText"/>
        <w:spacing w:line="360" w:lineRule="auto" w:before="160"/>
        <w:ind w:left="23" w:right="17"/>
        <w:jc w:val="both"/>
      </w:pPr>
      <w:r>
        <w:rPr/>
        <w:t>This</w:t>
      </w:r>
      <w:r>
        <w:rPr>
          <w:spacing w:val="-1"/>
        </w:rPr>
        <w:t> </w:t>
      </w:r>
      <w:r>
        <w:rPr/>
        <w:t>unprecedented spike</w:t>
      </w:r>
      <w:r>
        <w:rPr>
          <w:spacing w:val="-2"/>
        </w:rPr>
        <w:t> </w:t>
      </w:r>
      <w:r>
        <w:rPr/>
        <w:t>there coincides with</w:t>
      </w:r>
      <w:r>
        <w:rPr>
          <w:spacing w:val="-1"/>
        </w:rPr>
        <w:t> </w:t>
      </w:r>
      <w:r>
        <w:rPr/>
        <w:t>pandemic-era</w:t>
      </w:r>
      <w:r>
        <w:rPr>
          <w:spacing w:val="-2"/>
        </w:rPr>
        <w:t> </w:t>
      </w:r>
      <w:r>
        <w:rPr/>
        <w:t>global liquidity</w:t>
      </w:r>
      <w:r>
        <w:rPr>
          <w:spacing w:val="-1"/>
        </w:rPr>
        <w:t> </w:t>
      </w:r>
      <w:r>
        <w:rPr/>
        <w:t>expansion, rapid digital adoption, and institutional shift in favor of scalable technology-enabled business models.</w:t>
      </w:r>
      <w:r>
        <w:rPr>
          <w:spacing w:val="-10"/>
        </w:rPr>
        <w:t> </w:t>
      </w:r>
      <w:r>
        <w:rPr/>
        <w:t>Subsequent</w:t>
      </w:r>
      <w:r>
        <w:rPr>
          <w:spacing w:val="-10"/>
        </w:rPr>
        <w:t> </w:t>
      </w:r>
      <w:r>
        <w:rPr/>
        <w:t>years</w:t>
      </w:r>
      <w:r>
        <w:rPr>
          <w:spacing w:val="-10"/>
        </w:rPr>
        <w:t> </w:t>
      </w:r>
      <w:r>
        <w:rPr/>
        <w:t>show</w:t>
      </w:r>
      <w:r>
        <w:rPr>
          <w:spacing w:val="-11"/>
        </w:rPr>
        <w:t> </w:t>
      </w:r>
      <w:r>
        <w:rPr/>
        <w:t>a</w:t>
      </w:r>
      <w:r>
        <w:rPr>
          <w:spacing w:val="-11"/>
        </w:rPr>
        <w:t> </w:t>
      </w:r>
      <w:r>
        <w:rPr/>
        <w:t>correction,</w:t>
      </w:r>
      <w:r>
        <w:rPr>
          <w:spacing w:val="-11"/>
        </w:rPr>
        <w:t> </w:t>
      </w:r>
      <w:r>
        <w:rPr/>
        <w:t>reducing</w:t>
      </w:r>
      <w:r>
        <w:rPr>
          <w:spacing w:val="-10"/>
        </w:rPr>
        <w:t> </w:t>
      </w:r>
      <w:r>
        <w:rPr/>
        <w:t>investment</w:t>
      </w:r>
      <w:r>
        <w:rPr>
          <w:spacing w:val="-10"/>
        </w:rPr>
        <w:t> </w:t>
      </w:r>
      <w:r>
        <w:rPr/>
        <w:t>to</w:t>
      </w:r>
      <w:r>
        <w:rPr>
          <w:spacing w:val="-10"/>
        </w:rPr>
        <w:t> </w:t>
      </w:r>
      <w:r>
        <w:rPr/>
        <w:t>USD</w:t>
      </w:r>
      <w:r>
        <w:rPr>
          <w:spacing w:val="-12"/>
        </w:rPr>
        <w:t> </w:t>
      </w:r>
      <w:r>
        <w:rPr/>
        <w:t>24.2</w:t>
      </w:r>
      <w:r>
        <w:rPr>
          <w:spacing w:val="-11"/>
        </w:rPr>
        <w:t> </w:t>
      </w:r>
      <w:r>
        <w:rPr/>
        <w:t>billion</w:t>
      </w:r>
      <w:r>
        <w:rPr>
          <w:spacing w:val="-11"/>
        </w:rPr>
        <w:t> </w:t>
      </w:r>
      <w:r>
        <w:rPr/>
        <w:t>in</w:t>
      </w:r>
      <w:r>
        <w:rPr>
          <w:spacing w:val="-12"/>
        </w:rPr>
        <w:t> </w:t>
      </w:r>
      <w:r>
        <w:rPr/>
        <w:t>2021, USD 15.3 billion in 2022 and USD 6.4 billion in 2023. While this contraction may signal cyclical caution, the level of post-2020 value plateau is significantly higher than the pre-2016 level, documenting long-term capital deepening.</w:t>
      </w:r>
    </w:p>
    <w:p>
      <w:pPr>
        <w:pStyle w:val="Heading3"/>
        <w:numPr>
          <w:ilvl w:val="2"/>
          <w:numId w:val="5"/>
        </w:numPr>
        <w:tabs>
          <w:tab w:pos="563" w:val="left" w:leader="none"/>
        </w:tabs>
        <w:spacing w:line="240" w:lineRule="auto" w:before="161" w:after="0"/>
        <w:ind w:left="563" w:right="0" w:hanging="540"/>
        <w:jc w:val="both"/>
      </w:pPr>
      <w:r>
        <w:rPr/>
        <mc:AlternateContent>
          <mc:Choice Requires="wps">
            <w:drawing>
              <wp:anchor distT="0" distB="0" distL="0" distR="0" allowOverlap="1" layoutInCell="1" locked="0" behindDoc="0" simplePos="0" relativeHeight="15734784">
                <wp:simplePos x="0" y="0"/>
                <wp:positionH relativeFrom="page">
                  <wp:posOffset>1494155</wp:posOffset>
                </wp:positionH>
                <wp:positionV relativeFrom="paragraph">
                  <wp:posOffset>415617</wp:posOffset>
                </wp:positionV>
                <wp:extent cx="4572000" cy="274320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4572000" cy="2743200"/>
                          <a:chExt cx="4572000" cy="2743200"/>
                        </a:xfrm>
                      </wpg:grpSpPr>
                      <pic:pic>
                        <pic:nvPicPr>
                          <pic:cNvPr id="155" name="Image 155"/>
                          <pic:cNvPicPr/>
                        </pic:nvPicPr>
                        <pic:blipFill>
                          <a:blip r:embed="rId22" cstate="print"/>
                          <a:stretch>
                            <a:fillRect/>
                          </a:stretch>
                        </pic:blipFill>
                        <pic:spPr>
                          <a:xfrm>
                            <a:off x="0" y="0"/>
                            <a:ext cx="4572000" cy="2743200"/>
                          </a:xfrm>
                          <a:prstGeom prst="rect">
                            <a:avLst/>
                          </a:prstGeom>
                        </pic:spPr>
                      </pic:pic>
                      <pic:pic>
                        <pic:nvPicPr>
                          <pic:cNvPr id="156" name="Image 156"/>
                          <pic:cNvPicPr/>
                        </pic:nvPicPr>
                        <pic:blipFill>
                          <a:blip r:embed="rId23" cstate="print"/>
                          <a:stretch>
                            <a:fillRect/>
                          </a:stretch>
                        </pic:blipFill>
                        <pic:spPr>
                          <a:xfrm>
                            <a:off x="857377" y="500621"/>
                            <a:ext cx="2934462" cy="936510"/>
                          </a:xfrm>
                          <a:prstGeom prst="rect">
                            <a:avLst/>
                          </a:prstGeom>
                        </pic:spPr>
                      </pic:pic>
                      <pic:pic>
                        <pic:nvPicPr>
                          <pic:cNvPr id="157" name="Image 157"/>
                          <pic:cNvPicPr/>
                        </pic:nvPicPr>
                        <pic:blipFill>
                          <a:blip r:embed="rId24" cstate="print"/>
                          <a:stretch>
                            <a:fillRect/>
                          </a:stretch>
                        </pic:blipFill>
                        <pic:spPr>
                          <a:xfrm>
                            <a:off x="568367" y="1508886"/>
                            <a:ext cx="3079834" cy="851662"/>
                          </a:xfrm>
                          <a:prstGeom prst="rect">
                            <a:avLst/>
                          </a:prstGeom>
                        </pic:spPr>
                      </pic:pic>
                      <pic:pic>
                        <pic:nvPicPr>
                          <pic:cNvPr id="158" name="Image 158"/>
                          <pic:cNvPicPr/>
                        </pic:nvPicPr>
                        <pic:blipFill>
                          <a:blip r:embed="rId25" cstate="print"/>
                          <a:stretch>
                            <a:fillRect/>
                          </a:stretch>
                        </pic:blipFill>
                        <pic:spPr>
                          <a:xfrm>
                            <a:off x="1328292" y="26657"/>
                            <a:ext cx="1911857" cy="471690"/>
                          </a:xfrm>
                          <a:prstGeom prst="rect">
                            <a:avLst/>
                          </a:prstGeom>
                        </pic:spPr>
                      </pic:pic>
                      <pic:pic>
                        <pic:nvPicPr>
                          <pic:cNvPr id="159" name="Image 159"/>
                          <pic:cNvPicPr/>
                        </pic:nvPicPr>
                        <pic:blipFill>
                          <a:blip r:embed="rId26" cstate="print"/>
                          <a:stretch>
                            <a:fillRect/>
                          </a:stretch>
                        </pic:blipFill>
                        <pic:spPr>
                          <a:xfrm>
                            <a:off x="4115689" y="1517141"/>
                            <a:ext cx="69341" cy="69341"/>
                          </a:xfrm>
                          <a:prstGeom prst="rect">
                            <a:avLst/>
                          </a:prstGeom>
                        </pic:spPr>
                      </pic:pic>
                      <wps:wsp>
                        <wps:cNvPr id="160" name="Textbox 160"/>
                        <wps:cNvSpPr txBox="1"/>
                        <wps:spPr>
                          <a:xfrm>
                            <a:off x="1472819" y="137413"/>
                            <a:ext cx="1623695" cy="203200"/>
                          </a:xfrm>
                          <a:prstGeom prst="rect">
                            <a:avLst/>
                          </a:prstGeom>
                        </wps:spPr>
                        <wps:txbx>
                          <w:txbxContent>
                            <w:p>
                              <w:pPr>
                                <w:spacing w:line="319" w:lineRule="exact" w:before="0"/>
                                <w:ind w:left="0" w:right="0" w:firstLine="0"/>
                                <w:jc w:val="left"/>
                                <w:rPr>
                                  <w:rFonts w:ascii="Calibri"/>
                                  <w:b/>
                                  <w:sz w:val="32"/>
                                </w:rPr>
                              </w:pPr>
                              <w:r>
                                <w:rPr>
                                  <w:rFonts w:ascii="Calibri"/>
                                  <w:b/>
                                  <w:color w:val="F1F1F1"/>
                                  <w:spacing w:val="15"/>
                                  <w:sz w:val="32"/>
                                </w:rPr>
                                <w:t>Sectoral</w:t>
                              </w:r>
                              <w:r>
                                <w:rPr>
                                  <w:rFonts w:ascii="Calibri"/>
                                  <w:b/>
                                  <w:color w:val="F1F1F1"/>
                                  <w:spacing w:val="36"/>
                                  <w:sz w:val="32"/>
                                </w:rPr>
                                <w:t> </w:t>
                              </w:r>
                              <w:r>
                                <w:rPr>
                                  <w:rFonts w:ascii="Calibri"/>
                                  <w:b/>
                                  <w:color w:val="F1F1F1"/>
                                  <w:spacing w:val="14"/>
                                  <w:sz w:val="32"/>
                                </w:rPr>
                                <w:t>Analysis</w:t>
                              </w:r>
                            </w:p>
                          </w:txbxContent>
                        </wps:txbx>
                        <wps:bodyPr wrap="square" lIns="0" tIns="0" rIns="0" bIns="0" rtlCol="0">
                          <a:noAutofit/>
                        </wps:bodyPr>
                      </wps:wsp>
                      <wps:wsp>
                        <wps:cNvPr id="161" name="Textbox 161"/>
                        <wps:cNvSpPr txBox="1"/>
                        <wps:spPr>
                          <a:xfrm>
                            <a:off x="484631" y="546608"/>
                            <a:ext cx="304165" cy="937894"/>
                          </a:xfrm>
                          <a:prstGeom prst="rect">
                            <a:avLst/>
                          </a:prstGeom>
                        </wps:spPr>
                        <wps:txbx>
                          <w:txbxContent>
                            <w:p>
                              <w:pPr>
                                <w:spacing w:line="166" w:lineRule="exact" w:before="0"/>
                                <w:ind w:left="0" w:right="18" w:firstLine="0"/>
                                <w:jc w:val="right"/>
                                <w:rPr>
                                  <w:rFonts w:ascii="Calibri"/>
                                  <w:sz w:val="18"/>
                                </w:rPr>
                              </w:pPr>
                              <w:r>
                                <w:rPr>
                                  <w:rFonts w:ascii="Calibri"/>
                                  <w:color w:val="D9D9D9"/>
                                  <w:spacing w:val="-2"/>
                                  <w:sz w:val="18"/>
                                </w:rPr>
                                <w:t>70000</w:t>
                              </w:r>
                            </w:p>
                            <w:p>
                              <w:pPr>
                                <w:spacing w:line="185" w:lineRule="exact" w:before="0"/>
                                <w:ind w:left="0" w:right="18" w:firstLine="0"/>
                                <w:jc w:val="right"/>
                                <w:rPr>
                                  <w:rFonts w:ascii="Calibri"/>
                                  <w:sz w:val="18"/>
                                </w:rPr>
                              </w:pPr>
                              <w:r>
                                <w:rPr>
                                  <w:rFonts w:ascii="Calibri"/>
                                  <w:color w:val="D9D9D9"/>
                                  <w:spacing w:val="-2"/>
                                  <w:sz w:val="18"/>
                                </w:rPr>
                                <w:t>60000</w:t>
                              </w:r>
                            </w:p>
                            <w:p>
                              <w:pPr>
                                <w:spacing w:line="185" w:lineRule="exact" w:before="0"/>
                                <w:ind w:left="0" w:right="18" w:firstLine="0"/>
                                <w:jc w:val="right"/>
                                <w:rPr>
                                  <w:rFonts w:ascii="Calibri"/>
                                  <w:sz w:val="18"/>
                                </w:rPr>
                              </w:pPr>
                              <w:r>
                                <w:rPr>
                                  <w:rFonts w:ascii="Calibri"/>
                                  <w:color w:val="D9D9D9"/>
                                  <w:spacing w:val="-2"/>
                                  <w:sz w:val="18"/>
                                </w:rPr>
                                <w:t>50000</w:t>
                              </w:r>
                            </w:p>
                            <w:p>
                              <w:pPr>
                                <w:spacing w:line="185" w:lineRule="exact" w:before="0"/>
                                <w:ind w:left="0" w:right="18" w:firstLine="0"/>
                                <w:jc w:val="right"/>
                                <w:rPr>
                                  <w:rFonts w:ascii="Calibri"/>
                                  <w:sz w:val="18"/>
                                </w:rPr>
                              </w:pPr>
                              <w:r>
                                <w:rPr>
                                  <w:rFonts w:ascii="Calibri"/>
                                  <w:color w:val="D9D9D9"/>
                                  <w:spacing w:val="-2"/>
                                  <w:sz w:val="18"/>
                                </w:rPr>
                                <w:t>40000</w:t>
                              </w:r>
                            </w:p>
                            <w:p>
                              <w:pPr>
                                <w:spacing w:line="185" w:lineRule="exact" w:before="0"/>
                                <w:ind w:left="0" w:right="18" w:firstLine="0"/>
                                <w:jc w:val="right"/>
                                <w:rPr>
                                  <w:rFonts w:ascii="Calibri"/>
                                  <w:sz w:val="18"/>
                                </w:rPr>
                              </w:pPr>
                              <w:r>
                                <w:rPr>
                                  <w:rFonts w:ascii="Calibri"/>
                                  <w:color w:val="D9D9D9"/>
                                  <w:spacing w:val="-2"/>
                                  <w:sz w:val="18"/>
                                </w:rPr>
                                <w:t>30000</w:t>
                              </w:r>
                            </w:p>
                            <w:p>
                              <w:pPr>
                                <w:spacing w:line="185" w:lineRule="exact" w:before="0"/>
                                <w:ind w:left="0" w:right="18" w:firstLine="0"/>
                                <w:jc w:val="right"/>
                                <w:rPr>
                                  <w:rFonts w:ascii="Calibri"/>
                                  <w:sz w:val="18"/>
                                </w:rPr>
                              </w:pPr>
                              <w:r>
                                <w:rPr>
                                  <w:rFonts w:ascii="Calibri"/>
                                  <w:color w:val="D9D9D9"/>
                                  <w:spacing w:val="-2"/>
                                  <w:sz w:val="18"/>
                                </w:rPr>
                                <w:t>20000</w:t>
                              </w:r>
                            </w:p>
                            <w:p>
                              <w:pPr>
                                <w:spacing w:line="185" w:lineRule="exact" w:before="0"/>
                                <w:ind w:left="0" w:right="18" w:firstLine="0"/>
                                <w:jc w:val="right"/>
                                <w:rPr>
                                  <w:rFonts w:ascii="Calibri"/>
                                  <w:sz w:val="18"/>
                                </w:rPr>
                              </w:pPr>
                              <w:r>
                                <w:rPr>
                                  <w:rFonts w:ascii="Calibri"/>
                                  <w:color w:val="D9D9D9"/>
                                  <w:spacing w:val="-2"/>
                                  <w:sz w:val="18"/>
                                </w:rPr>
                                <w:t>10000</w:t>
                              </w:r>
                            </w:p>
                            <w:p>
                              <w:pPr>
                                <w:spacing w:line="199" w:lineRule="exact" w:before="0"/>
                                <w:ind w:left="0" w:right="19" w:firstLine="0"/>
                                <w:jc w:val="right"/>
                                <w:rPr>
                                  <w:rFonts w:ascii="Calibri"/>
                                  <w:sz w:val="18"/>
                                </w:rPr>
                              </w:pPr>
                              <w:r>
                                <w:rPr>
                                  <w:rFonts w:ascii="Calibri"/>
                                  <w:color w:val="D9D9D9"/>
                                  <w:spacing w:val="-10"/>
                                  <w:sz w:val="18"/>
                                </w:rPr>
                                <w:t>0</w:t>
                              </w:r>
                            </w:p>
                          </w:txbxContent>
                        </wps:txbx>
                        <wps:bodyPr wrap="square" lIns="0" tIns="0" rIns="0" bIns="0" rtlCol="0">
                          <a:noAutofit/>
                        </wps:bodyPr>
                      </wps:wsp>
                      <wps:wsp>
                        <wps:cNvPr id="162" name="Textbox 162"/>
                        <wps:cNvSpPr txBox="1"/>
                        <wps:spPr>
                          <a:xfrm>
                            <a:off x="4209288" y="1499997"/>
                            <a:ext cx="248285" cy="114300"/>
                          </a:xfrm>
                          <a:prstGeom prst="rect">
                            <a:avLst/>
                          </a:prstGeom>
                        </wps:spPr>
                        <wps:txbx>
                          <w:txbxContent>
                            <w:p>
                              <w:pPr>
                                <w:spacing w:line="180" w:lineRule="exact" w:before="0"/>
                                <w:ind w:left="0" w:right="0" w:firstLine="0"/>
                                <w:jc w:val="left"/>
                                <w:rPr>
                                  <w:rFonts w:ascii="Calibri"/>
                                  <w:sz w:val="18"/>
                                </w:rPr>
                              </w:pPr>
                              <w:r>
                                <w:rPr>
                                  <w:rFonts w:ascii="Calibri"/>
                                  <w:color w:val="D9D9D9"/>
                                  <w:spacing w:val="-2"/>
                                  <w:sz w:val="18"/>
                                </w:rPr>
                                <w:t>Total</w:t>
                              </w:r>
                            </w:p>
                          </w:txbxContent>
                        </wps:txbx>
                        <wps:bodyPr wrap="square" lIns="0" tIns="0" rIns="0" bIns="0" rtlCol="0">
                          <a:noAutofit/>
                        </wps:bodyPr>
                      </wps:wsp>
                      <wps:wsp>
                        <wps:cNvPr id="163" name="Textbox 163"/>
                        <wps:cNvSpPr txBox="1"/>
                        <wps:spPr>
                          <a:xfrm>
                            <a:off x="2097277" y="2449448"/>
                            <a:ext cx="381635" cy="114300"/>
                          </a:xfrm>
                          <a:prstGeom prst="rect">
                            <a:avLst/>
                          </a:prstGeom>
                        </wps:spPr>
                        <wps:txbx>
                          <w:txbxContent>
                            <w:p>
                              <w:pPr>
                                <w:spacing w:line="180" w:lineRule="exact" w:before="0"/>
                                <w:ind w:left="0" w:right="0" w:firstLine="0"/>
                                <w:jc w:val="left"/>
                                <w:rPr>
                                  <w:rFonts w:ascii="Calibri"/>
                                  <w:b/>
                                  <w:sz w:val="18"/>
                                </w:rPr>
                              </w:pPr>
                              <w:r>
                                <w:rPr>
                                  <w:rFonts w:ascii="Calibri"/>
                                  <w:b/>
                                  <w:color w:val="D9D9D9"/>
                                  <w:spacing w:val="-2"/>
                                  <w:sz w:val="18"/>
                                </w:rPr>
                                <w:t>SECTOR</w:t>
                              </w:r>
                            </w:p>
                          </w:txbxContent>
                        </wps:txbx>
                        <wps:bodyPr wrap="square" lIns="0" tIns="0" rIns="0" bIns="0" rtlCol="0">
                          <a:noAutofit/>
                        </wps:bodyPr>
                      </wps:wsp>
                    </wpg:wgp>
                  </a:graphicData>
                </a:graphic>
              </wp:anchor>
            </w:drawing>
          </mc:Choice>
          <mc:Fallback>
            <w:pict>
              <v:group style="position:absolute;margin-left:117.650002pt;margin-top:32.725819pt;width:360pt;height:216pt;mso-position-horizontal-relative:page;mso-position-vertical-relative:paragraph;z-index:15734784" id="docshapegroup146" coordorigin="2353,655" coordsize="7200,4320">
                <v:shape style="position:absolute;left:2353;top:654;width:7200;height:4320" type="#_x0000_t75" id="docshape147" stroked="false">
                  <v:imagedata r:id="rId22" o:title=""/>
                </v:shape>
                <v:shape style="position:absolute;left:3703;top:1442;width:4622;height:1475" type="#_x0000_t75" id="docshape148" stroked="false">
                  <v:imagedata r:id="rId23" o:title=""/>
                </v:shape>
                <v:shape style="position:absolute;left:3248;top:3030;width:4851;height:1342" type="#_x0000_t75" id="docshape149" stroked="false">
                  <v:imagedata r:id="rId24" o:title=""/>
                </v:shape>
                <v:shape style="position:absolute;left:4444;top:696;width:3011;height:743" type="#_x0000_t75" id="docshape150" stroked="false">
                  <v:imagedata r:id="rId25" o:title=""/>
                </v:shape>
                <v:shape style="position:absolute;left:8834;top:3043;width:110;height:110" type="#_x0000_t75" id="docshape151" stroked="false">
                  <v:imagedata r:id="rId26" o:title=""/>
                </v:shape>
                <v:shape style="position:absolute;left:4672;top:870;width:2557;height:320" type="#_x0000_t202" id="docshape152" filled="false" stroked="false">
                  <v:textbox inset="0,0,0,0">
                    <w:txbxContent>
                      <w:p>
                        <w:pPr>
                          <w:spacing w:line="319" w:lineRule="exact" w:before="0"/>
                          <w:ind w:left="0" w:right="0" w:firstLine="0"/>
                          <w:jc w:val="left"/>
                          <w:rPr>
                            <w:rFonts w:ascii="Calibri"/>
                            <w:b/>
                            <w:sz w:val="32"/>
                          </w:rPr>
                        </w:pPr>
                        <w:r>
                          <w:rPr>
                            <w:rFonts w:ascii="Calibri"/>
                            <w:b/>
                            <w:color w:val="F1F1F1"/>
                            <w:spacing w:val="15"/>
                            <w:sz w:val="32"/>
                          </w:rPr>
                          <w:t>Sectoral</w:t>
                        </w:r>
                        <w:r>
                          <w:rPr>
                            <w:rFonts w:ascii="Calibri"/>
                            <w:b/>
                            <w:color w:val="F1F1F1"/>
                            <w:spacing w:val="36"/>
                            <w:sz w:val="32"/>
                          </w:rPr>
                          <w:t> </w:t>
                        </w:r>
                        <w:r>
                          <w:rPr>
                            <w:rFonts w:ascii="Calibri"/>
                            <w:b/>
                            <w:color w:val="F1F1F1"/>
                            <w:spacing w:val="14"/>
                            <w:sz w:val="32"/>
                          </w:rPr>
                          <w:t>Analysis</w:t>
                        </w:r>
                      </w:p>
                    </w:txbxContent>
                  </v:textbox>
                  <w10:wrap type="none"/>
                </v:shape>
                <v:shape style="position:absolute;left:3116;top:1515;width:479;height:1477" type="#_x0000_t202" id="docshape153" filled="false" stroked="false">
                  <v:textbox inset="0,0,0,0">
                    <w:txbxContent>
                      <w:p>
                        <w:pPr>
                          <w:spacing w:line="166" w:lineRule="exact" w:before="0"/>
                          <w:ind w:left="0" w:right="18" w:firstLine="0"/>
                          <w:jc w:val="right"/>
                          <w:rPr>
                            <w:rFonts w:ascii="Calibri"/>
                            <w:sz w:val="18"/>
                          </w:rPr>
                        </w:pPr>
                        <w:r>
                          <w:rPr>
                            <w:rFonts w:ascii="Calibri"/>
                            <w:color w:val="D9D9D9"/>
                            <w:spacing w:val="-2"/>
                            <w:sz w:val="18"/>
                          </w:rPr>
                          <w:t>70000</w:t>
                        </w:r>
                      </w:p>
                      <w:p>
                        <w:pPr>
                          <w:spacing w:line="185" w:lineRule="exact" w:before="0"/>
                          <w:ind w:left="0" w:right="18" w:firstLine="0"/>
                          <w:jc w:val="right"/>
                          <w:rPr>
                            <w:rFonts w:ascii="Calibri"/>
                            <w:sz w:val="18"/>
                          </w:rPr>
                        </w:pPr>
                        <w:r>
                          <w:rPr>
                            <w:rFonts w:ascii="Calibri"/>
                            <w:color w:val="D9D9D9"/>
                            <w:spacing w:val="-2"/>
                            <w:sz w:val="18"/>
                          </w:rPr>
                          <w:t>60000</w:t>
                        </w:r>
                      </w:p>
                      <w:p>
                        <w:pPr>
                          <w:spacing w:line="185" w:lineRule="exact" w:before="0"/>
                          <w:ind w:left="0" w:right="18" w:firstLine="0"/>
                          <w:jc w:val="right"/>
                          <w:rPr>
                            <w:rFonts w:ascii="Calibri"/>
                            <w:sz w:val="18"/>
                          </w:rPr>
                        </w:pPr>
                        <w:r>
                          <w:rPr>
                            <w:rFonts w:ascii="Calibri"/>
                            <w:color w:val="D9D9D9"/>
                            <w:spacing w:val="-2"/>
                            <w:sz w:val="18"/>
                          </w:rPr>
                          <w:t>50000</w:t>
                        </w:r>
                      </w:p>
                      <w:p>
                        <w:pPr>
                          <w:spacing w:line="185" w:lineRule="exact" w:before="0"/>
                          <w:ind w:left="0" w:right="18" w:firstLine="0"/>
                          <w:jc w:val="right"/>
                          <w:rPr>
                            <w:rFonts w:ascii="Calibri"/>
                            <w:sz w:val="18"/>
                          </w:rPr>
                        </w:pPr>
                        <w:r>
                          <w:rPr>
                            <w:rFonts w:ascii="Calibri"/>
                            <w:color w:val="D9D9D9"/>
                            <w:spacing w:val="-2"/>
                            <w:sz w:val="18"/>
                          </w:rPr>
                          <w:t>40000</w:t>
                        </w:r>
                      </w:p>
                      <w:p>
                        <w:pPr>
                          <w:spacing w:line="185" w:lineRule="exact" w:before="0"/>
                          <w:ind w:left="0" w:right="18" w:firstLine="0"/>
                          <w:jc w:val="right"/>
                          <w:rPr>
                            <w:rFonts w:ascii="Calibri"/>
                            <w:sz w:val="18"/>
                          </w:rPr>
                        </w:pPr>
                        <w:r>
                          <w:rPr>
                            <w:rFonts w:ascii="Calibri"/>
                            <w:color w:val="D9D9D9"/>
                            <w:spacing w:val="-2"/>
                            <w:sz w:val="18"/>
                          </w:rPr>
                          <w:t>30000</w:t>
                        </w:r>
                      </w:p>
                      <w:p>
                        <w:pPr>
                          <w:spacing w:line="185" w:lineRule="exact" w:before="0"/>
                          <w:ind w:left="0" w:right="18" w:firstLine="0"/>
                          <w:jc w:val="right"/>
                          <w:rPr>
                            <w:rFonts w:ascii="Calibri"/>
                            <w:sz w:val="18"/>
                          </w:rPr>
                        </w:pPr>
                        <w:r>
                          <w:rPr>
                            <w:rFonts w:ascii="Calibri"/>
                            <w:color w:val="D9D9D9"/>
                            <w:spacing w:val="-2"/>
                            <w:sz w:val="18"/>
                          </w:rPr>
                          <w:t>20000</w:t>
                        </w:r>
                      </w:p>
                      <w:p>
                        <w:pPr>
                          <w:spacing w:line="185" w:lineRule="exact" w:before="0"/>
                          <w:ind w:left="0" w:right="18" w:firstLine="0"/>
                          <w:jc w:val="right"/>
                          <w:rPr>
                            <w:rFonts w:ascii="Calibri"/>
                            <w:sz w:val="18"/>
                          </w:rPr>
                        </w:pPr>
                        <w:r>
                          <w:rPr>
                            <w:rFonts w:ascii="Calibri"/>
                            <w:color w:val="D9D9D9"/>
                            <w:spacing w:val="-2"/>
                            <w:sz w:val="18"/>
                          </w:rPr>
                          <w:t>10000</w:t>
                        </w:r>
                      </w:p>
                      <w:p>
                        <w:pPr>
                          <w:spacing w:line="199" w:lineRule="exact" w:before="0"/>
                          <w:ind w:left="0" w:right="19" w:firstLine="0"/>
                          <w:jc w:val="right"/>
                          <w:rPr>
                            <w:rFonts w:ascii="Calibri"/>
                            <w:sz w:val="18"/>
                          </w:rPr>
                        </w:pPr>
                        <w:r>
                          <w:rPr>
                            <w:rFonts w:ascii="Calibri"/>
                            <w:color w:val="D9D9D9"/>
                            <w:spacing w:val="-10"/>
                            <w:sz w:val="18"/>
                          </w:rPr>
                          <w:t>0</w:t>
                        </w:r>
                      </w:p>
                    </w:txbxContent>
                  </v:textbox>
                  <w10:wrap type="none"/>
                </v:shape>
                <v:shape style="position:absolute;left:8981;top:3016;width:391;height:180" type="#_x0000_t202" id="docshape154" filled="false" stroked="false">
                  <v:textbox inset="0,0,0,0">
                    <w:txbxContent>
                      <w:p>
                        <w:pPr>
                          <w:spacing w:line="180" w:lineRule="exact" w:before="0"/>
                          <w:ind w:left="0" w:right="0" w:firstLine="0"/>
                          <w:jc w:val="left"/>
                          <w:rPr>
                            <w:rFonts w:ascii="Calibri"/>
                            <w:sz w:val="18"/>
                          </w:rPr>
                        </w:pPr>
                        <w:r>
                          <w:rPr>
                            <w:rFonts w:ascii="Calibri"/>
                            <w:color w:val="D9D9D9"/>
                            <w:spacing w:val="-2"/>
                            <w:sz w:val="18"/>
                          </w:rPr>
                          <w:t>Total</w:t>
                        </w:r>
                      </w:p>
                    </w:txbxContent>
                  </v:textbox>
                  <w10:wrap type="none"/>
                </v:shape>
                <v:shape style="position:absolute;left:5655;top:4511;width:601;height:180" type="#_x0000_t202" id="docshape155" filled="false" stroked="false">
                  <v:textbox inset="0,0,0,0">
                    <w:txbxContent>
                      <w:p>
                        <w:pPr>
                          <w:spacing w:line="180" w:lineRule="exact" w:before="0"/>
                          <w:ind w:left="0" w:right="0" w:firstLine="0"/>
                          <w:jc w:val="left"/>
                          <w:rPr>
                            <w:rFonts w:ascii="Calibri"/>
                            <w:b/>
                            <w:sz w:val="18"/>
                          </w:rPr>
                        </w:pPr>
                        <w:r>
                          <w:rPr>
                            <w:rFonts w:ascii="Calibri"/>
                            <w:b/>
                            <w:color w:val="D9D9D9"/>
                            <w:spacing w:val="-2"/>
                            <w:sz w:val="18"/>
                          </w:rPr>
                          <w:t>SECTOR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5296">
                <wp:simplePos x="0" y="0"/>
                <wp:positionH relativeFrom="page">
                  <wp:posOffset>1798700</wp:posOffset>
                </wp:positionH>
                <wp:positionV relativeFrom="paragraph">
                  <wp:posOffset>943657</wp:posOffset>
                </wp:positionV>
                <wp:extent cx="139700" cy="129095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39700" cy="1290955"/>
                        </a:xfrm>
                        <a:prstGeom prst="rect">
                          <a:avLst/>
                        </a:prstGeom>
                      </wps:spPr>
                      <wps:txbx>
                        <w:txbxContent>
                          <w:p>
                            <w:pPr>
                              <w:spacing w:line="203" w:lineRule="exact" w:before="0"/>
                              <w:ind w:left="20" w:right="0" w:firstLine="0"/>
                              <w:jc w:val="left"/>
                              <w:rPr>
                                <w:rFonts w:ascii="Calibri"/>
                                <w:b/>
                                <w:sz w:val="18"/>
                              </w:rPr>
                            </w:pPr>
                            <w:r>
                              <w:rPr>
                                <w:rFonts w:ascii="Calibri"/>
                                <w:b/>
                                <w:color w:val="D9D9D9"/>
                                <w:sz w:val="18"/>
                              </w:rPr>
                              <w:t>TOTAL</w:t>
                            </w:r>
                            <w:r>
                              <w:rPr>
                                <w:rFonts w:ascii="Calibri"/>
                                <w:b/>
                                <w:color w:val="D9D9D9"/>
                                <w:spacing w:val="-2"/>
                                <w:sz w:val="18"/>
                              </w:rPr>
                              <w:t> </w:t>
                            </w:r>
                            <w:r>
                              <w:rPr>
                                <w:rFonts w:ascii="Calibri"/>
                                <w:b/>
                                <w:color w:val="D9D9D9"/>
                                <w:sz w:val="18"/>
                              </w:rPr>
                              <w:t>ROUND</w:t>
                            </w:r>
                            <w:r>
                              <w:rPr>
                                <w:rFonts w:ascii="Calibri"/>
                                <w:b/>
                                <w:color w:val="D9D9D9"/>
                                <w:spacing w:val="-1"/>
                                <w:sz w:val="18"/>
                              </w:rPr>
                              <w:t> </w:t>
                            </w:r>
                            <w:r>
                              <w:rPr>
                                <w:rFonts w:ascii="Calibri"/>
                                <w:b/>
                                <w:color w:val="D9D9D9"/>
                                <w:sz w:val="18"/>
                              </w:rPr>
                              <w:t>VALUE</w:t>
                            </w:r>
                            <w:r>
                              <w:rPr>
                                <w:rFonts w:ascii="Calibri"/>
                                <w:b/>
                                <w:color w:val="D9D9D9"/>
                                <w:spacing w:val="-1"/>
                                <w:sz w:val="18"/>
                              </w:rPr>
                              <w:t> </w:t>
                            </w:r>
                            <w:r>
                              <w:rPr>
                                <w:rFonts w:ascii="Calibri"/>
                                <w:b/>
                                <w:color w:val="D9D9D9"/>
                                <w:spacing w:val="-5"/>
                                <w:sz w:val="18"/>
                              </w:rPr>
                              <w:t>USD</w:t>
                            </w:r>
                          </w:p>
                        </w:txbxContent>
                      </wps:txbx>
                      <wps:bodyPr wrap="square" lIns="0" tIns="0" rIns="0" bIns="0" rtlCol="0" vert="vert270">
                        <a:noAutofit/>
                      </wps:bodyPr>
                    </wps:wsp>
                  </a:graphicData>
                </a:graphic>
              </wp:anchor>
            </w:drawing>
          </mc:Choice>
          <mc:Fallback>
            <w:pict>
              <v:shape style="position:absolute;margin-left:141.62999pt;margin-top:74.303703pt;width:11pt;height:101.65pt;mso-position-horizontal-relative:page;mso-position-vertical-relative:paragraph;z-index:15735296" type="#_x0000_t202" id="docshape156" filled="false" stroked="false">
                <v:textbox inset="0,0,0,0" style="layout-flow:vertical;mso-layout-flow-alt:bottom-to-top">
                  <w:txbxContent>
                    <w:p>
                      <w:pPr>
                        <w:spacing w:line="203" w:lineRule="exact" w:before="0"/>
                        <w:ind w:left="20" w:right="0" w:firstLine="0"/>
                        <w:jc w:val="left"/>
                        <w:rPr>
                          <w:rFonts w:ascii="Calibri"/>
                          <w:b/>
                          <w:sz w:val="18"/>
                        </w:rPr>
                      </w:pPr>
                      <w:r>
                        <w:rPr>
                          <w:rFonts w:ascii="Calibri"/>
                          <w:b/>
                          <w:color w:val="D9D9D9"/>
                          <w:sz w:val="18"/>
                        </w:rPr>
                        <w:t>TOTAL</w:t>
                      </w:r>
                      <w:r>
                        <w:rPr>
                          <w:rFonts w:ascii="Calibri"/>
                          <w:b/>
                          <w:color w:val="D9D9D9"/>
                          <w:spacing w:val="-2"/>
                          <w:sz w:val="18"/>
                        </w:rPr>
                        <w:t> </w:t>
                      </w:r>
                      <w:r>
                        <w:rPr>
                          <w:rFonts w:ascii="Calibri"/>
                          <w:b/>
                          <w:color w:val="D9D9D9"/>
                          <w:sz w:val="18"/>
                        </w:rPr>
                        <w:t>ROUND</w:t>
                      </w:r>
                      <w:r>
                        <w:rPr>
                          <w:rFonts w:ascii="Calibri"/>
                          <w:b/>
                          <w:color w:val="D9D9D9"/>
                          <w:spacing w:val="-1"/>
                          <w:sz w:val="18"/>
                        </w:rPr>
                        <w:t> </w:t>
                      </w:r>
                      <w:r>
                        <w:rPr>
                          <w:rFonts w:ascii="Calibri"/>
                          <w:b/>
                          <w:color w:val="D9D9D9"/>
                          <w:sz w:val="18"/>
                        </w:rPr>
                        <w:t>VALUE</w:t>
                      </w:r>
                      <w:r>
                        <w:rPr>
                          <w:rFonts w:ascii="Calibri"/>
                          <w:b/>
                          <w:color w:val="D9D9D9"/>
                          <w:spacing w:val="-1"/>
                          <w:sz w:val="18"/>
                        </w:rPr>
                        <w:t> </w:t>
                      </w:r>
                      <w:r>
                        <w:rPr>
                          <w:rFonts w:ascii="Calibri"/>
                          <w:b/>
                          <w:color w:val="D9D9D9"/>
                          <w:spacing w:val="-5"/>
                          <w:sz w:val="18"/>
                        </w:rPr>
                        <w:t>USD</w:t>
                      </w:r>
                    </w:p>
                  </w:txbxContent>
                </v:textbox>
                <w10:wrap type="none"/>
              </v:shape>
            </w:pict>
          </mc:Fallback>
        </mc:AlternateContent>
      </w:r>
      <w:bookmarkStart w:name="_bookmark45" w:id="46"/>
      <w:bookmarkEnd w:id="46"/>
      <w:r>
        <w:rPr>
          <w:b w:val="0"/>
        </w:rPr>
      </w:r>
      <w:r>
        <w:rPr/>
        <w:t>Interpretation</w:t>
      </w:r>
      <w:r>
        <w:rPr>
          <w:spacing w:val="-8"/>
        </w:rPr>
        <w:t> </w:t>
      </w:r>
      <w:r>
        <w:rPr/>
        <w:t>of</w:t>
      </w:r>
      <w:r>
        <w:rPr>
          <w:spacing w:val="-12"/>
        </w:rPr>
        <w:t> </w:t>
      </w:r>
      <w:r>
        <w:rPr/>
        <w:t>Trends</w:t>
      </w:r>
      <w:r>
        <w:rPr>
          <w:spacing w:val="-10"/>
        </w:rPr>
        <w:t> </w:t>
      </w:r>
      <w:r>
        <w:rPr/>
        <w:t>and</w:t>
      </w:r>
      <w:r>
        <w:rPr>
          <w:spacing w:val="-8"/>
        </w:rPr>
        <w:t> </w:t>
      </w:r>
      <w:r>
        <w:rPr/>
        <w:t>Reform</w:t>
      </w:r>
      <w:r>
        <w:rPr>
          <w:spacing w:val="-9"/>
        </w:rPr>
        <w:t> </w:t>
      </w:r>
      <w:r>
        <w:rPr>
          <w:spacing w:val="-2"/>
        </w:rPr>
        <w:t>Linkages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8"/>
        <w:rPr>
          <w:b/>
        </w:rPr>
      </w:pPr>
    </w:p>
    <w:p>
      <w:pPr>
        <w:spacing w:before="0"/>
        <w:ind w:left="2" w:right="3" w:firstLine="0"/>
        <w:jc w:val="center"/>
        <w:rPr>
          <w:i/>
          <w:sz w:val="18"/>
        </w:rPr>
      </w:pPr>
      <w:r>
        <w:rPr>
          <w:i/>
          <w:color w:val="44536A"/>
          <w:sz w:val="18"/>
        </w:rPr>
        <w:t>Figure</w:t>
      </w:r>
      <w:r>
        <w:rPr>
          <w:i/>
          <w:color w:val="44536A"/>
          <w:spacing w:val="-9"/>
          <w:sz w:val="18"/>
        </w:rPr>
        <w:t> </w:t>
      </w:r>
      <w:r>
        <w:rPr>
          <w:i/>
          <w:color w:val="44536A"/>
          <w:sz w:val="18"/>
        </w:rPr>
        <w:t>6:</w:t>
      </w:r>
      <w:r>
        <w:rPr>
          <w:i/>
          <w:color w:val="44536A"/>
          <w:spacing w:val="-8"/>
          <w:sz w:val="18"/>
        </w:rPr>
        <w:t> </w:t>
      </w:r>
      <w:r>
        <w:rPr>
          <w:i/>
          <w:color w:val="44536A"/>
          <w:sz w:val="18"/>
        </w:rPr>
        <w:t>Total</w:t>
      </w:r>
      <w:r>
        <w:rPr>
          <w:i/>
          <w:color w:val="44536A"/>
          <w:spacing w:val="-7"/>
          <w:sz w:val="18"/>
        </w:rPr>
        <w:t> </w:t>
      </w:r>
      <w:r>
        <w:rPr>
          <w:i/>
          <w:color w:val="44536A"/>
          <w:sz w:val="18"/>
        </w:rPr>
        <w:t>sectoral</w:t>
      </w:r>
      <w:r>
        <w:rPr>
          <w:i/>
          <w:color w:val="44536A"/>
          <w:spacing w:val="-6"/>
          <w:sz w:val="18"/>
        </w:rPr>
        <w:t> </w:t>
      </w:r>
      <w:r>
        <w:rPr>
          <w:i/>
          <w:color w:val="44536A"/>
          <w:spacing w:val="-2"/>
          <w:sz w:val="18"/>
        </w:rPr>
        <w:t>analysis</w:t>
      </w:r>
    </w:p>
    <w:p>
      <w:pPr>
        <w:pStyle w:val="BodyText"/>
        <w:spacing w:line="360" w:lineRule="auto" w:before="196"/>
        <w:ind w:left="23" w:right="21"/>
        <w:jc w:val="both"/>
      </w:pPr>
      <w:r>
        <w:rPr/>
        <w:t>The trajectory of investment is commensurate with macroeconomic cycles and successive policy reforms. The Global Financial Crisis (2008) is the first time that there is a major disruption, seeing a visible suppression of deal flow and capital deployment. Investors are showing sensitivity to systemic global shocks, confirming the embedded nature of India's PE market, which is driven by domestic consumption but ultimately linked to global liquidity </w:t>
      </w:r>
      <w:r>
        <w:rPr>
          <w:spacing w:val="-2"/>
        </w:rPr>
        <w:t>conditions.</w:t>
      </w:r>
    </w:p>
    <w:p>
      <w:pPr>
        <w:pStyle w:val="BodyText"/>
        <w:spacing w:line="360" w:lineRule="auto" w:before="161"/>
        <w:ind w:left="23" w:right="17"/>
        <w:jc w:val="both"/>
      </w:pPr>
      <w:r>
        <w:rPr/>
        <w:t>The</w:t>
      </w:r>
      <w:r>
        <w:rPr>
          <w:spacing w:val="-8"/>
        </w:rPr>
        <w:t> </w:t>
      </w:r>
      <w:r>
        <w:rPr/>
        <w:t>recovery</w:t>
      </w:r>
      <w:r>
        <w:rPr>
          <w:spacing w:val="-8"/>
        </w:rPr>
        <w:t> </w:t>
      </w:r>
      <w:r>
        <w:rPr/>
        <w:t>period</w:t>
      </w:r>
      <w:r>
        <w:rPr>
          <w:spacing w:val="-8"/>
        </w:rPr>
        <w:t> </w:t>
      </w:r>
      <w:r>
        <w:rPr/>
        <w:t>since</w:t>
      </w:r>
      <w:r>
        <w:rPr>
          <w:spacing w:val="-8"/>
        </w:rPr>
        <w:t> </w:t>
      </w:r>
      <w:r>
        <w:rPr/>
        <w:t>2011</w:t>
      </w:r>
      <w:r>
        <w:rPr>
          <w:spacing w:val="-7"/>
        </w:rPr>
        <w:t> </w:t>
      </w:r>
      <w:r>
        <w:rPr/>
        <w:t>is</w:t>
      </w:r>
      <w:r>
        <w:rPr>
          <w:spacing w:val="-4"/>
        </w:rPr>
        <w:t> </w:t>
      </w:r>
      <w:r>
        <w:rPr/>
        <w:t>consistent</w:t>
      </w:r>
      <w:r>
        <w:rPr>
          <w:spacing w:val="-7"/>
        </w:rPr>
        <w:t> </w:t>
      </w:r>
      <w:r>
        <w:rPr/>
        <w:t>with</w:t>
      </w:r>
      <w:r>
        <w:rPr>
          <w:spacing w:val="-4"/>
        </w:rPr>
        <w:t> </w:t>
      </w:r>
      <w:r>
        <w:rPr/>
        <w:t>institutional</w:t>
      </w:r>
      <w:r>
        <w:rPr>
          <w:spacing w:val="-7"/>
        </w:rPr>
        <w:t> </w:t>
      </w:r>
      <w:r>
        <w:rPr/>
        <w:t>reforms</w:t>
      </w:r>
      <w:r>
        <w:rPr>
          <w:spacing w:val="-7"/>
        </w:rPr>
        <w:t> </w:t>
      </w:r>
      <w:r>
        <w:rPr/>
        <w:t>to</w:t>
      </w:r>
      <w:r>
        <w:rPr>
          <w:spacing w:val="-7"/>
        </w:rPr>
        <w:t> </w:t>
      </w:r>
      <w:r>
        <w:rPr/>
        <w:t>promote</w:t>
      </w:r>
      <w:r>
        <w:rPr>
          <w:spacing w:val="-8"/>
        </w:rPr>
        <w:t> </w:t>
      </w:r>
      <w:r>
        <w:rPr/>
        <w:t>the</w:t>
      </w:r>
      <w:r>
        <w:rPr>
          <w:spacing w:val="-8"/>
        </w:rPr>
        <w:t> </w:t>
      </w:r>
      <w:r>
        <w:rPr/>
        <w:t>depth</w:t>
      </w:r>
      <w:r>
        <w:rPr>
          <w:spacing w:val="-7"/>
        </w:rPr>
        <w:t> </w:t>
      </w:r>
      <w:r>
        <w:rPr/>
        <w:t>of the capital market. In particular, the SEBI AIF Regulations (2012) brought about standardisation</w:t>
      </w:r>
      <w:r>
        <w:rPr>
          <w:spacing w:val="29"/>
        </w:rPr>
        <w:t> </w:t>
      </w:r>
      <w:r>
        <w:rPr/>
        <w:t>of</w:t>
      </w:r>
      <w:r>
        <w:rPr>
          <w:spacing w:val="31"/>
        </w:rPr>
        <w:t> </w:t>
      </w:r>
      <w:r>
        <w:rPr/>
        <w:t>fund</w:t>
      </w:r>
      <w:r>
        <w:rPr>
          <w:spacing w:val="34"/>
        </w:rPr>
        <w:t> </w:t>
      </w:r>
      <w:r>
        <w:rPr/>
        <w:t>structures</w:t>
      </w:r>
      <w:r>
        <w:rPr>
          <w:spacing w:val="31"/>
        </w:rPr>
        <w:t> </w:t>
      </w:r>
      <w:r>
        <w:rPr/>
        <w:t>and</w:t>
      </w:r>
      <w:r>
        <w:rPr>
          <w:spacing w:val="32"/>
        </w:rPr>
        <w:t> </w:t>
      </w:r>
      <w:r>
        <w:rPr/>
        <w:t>reporting</w:t>
      </w:r>
      <w:r>
        <w:rPr>
          <w:spacing w:val="35"/>
        </w:rPr>
        <w:t> </w:t>
      </w:r>
      <w:r>
        <w:rPr/>
        <w:t>requirements</w:t>
      </w:r>
      <w:r>
        <w:rPr>
          <w:spacing w:val="31"/>
        </w:rPr>
        <w:t> </w:t>
      </w:r>
      <w:r>
        <w:rPr/>
        <w:t>to</w:t>
      </w:r>
      <w:r>
        <w:rPr>
          <w:spacing w:val="32"/>
        </w:rPr>
        <w:t> </w:t>
      </w:r>
      <w:r>
        <w:rPr/>
        <w:t>provide</w:t>
      </w:r>
      <w:r>
        <w:rPr>
          <w:spacing w:val="33"/>
        </w:rPr>
        <w:t> </w:t>
      </w:r>
      <w:r>
        <w:rPr/>
        <w:t>institutional-</w:t>
      </w:r>
      <w:r>
        <w:rPr>
          <w:spacing w:val="-2"/>
        </w:rPr>
        <w:t>grade</w:t>
      </w:r>
    </w:p>
    <w:p>
      <w:pPr>
        <w:pStyle w:val="BodyText"/>
        <w:spacing w:after="0" w:line="360" w:lineRule="auto"/>
        <w:jc w:val="both"/>
        <w:sectPr>
          <w:pgSz w:w="11910" w:h="16840"/>
          <w:pgMar w:header="0" w:footer="1009" w:top="1360" w:bottom="1200" w:left="1417" w:right="1417"/>
        </w:sectPr>
      </w:pPr>
    </w:p>
    <w:p>
      <w:pPr>
        <w:pStyle w:val="BodyText"/>
        <w:spacing w:line="360" w:lineRule="auto" w:before="61"/>
        <w:ind w:left="23" w:right="19"/>
        <w:jc w:val="both"/>
      </w:pPr>
      <w:r>
        <w:rPr/>
        <w:t>avenues</w:t>
      </w:r>
      <w:r>
        <w:rPr>
          <w:spacing w:val="-1"/>
        </w:rPr>
        <w:t> </w:t>
      </w:r>
      <w:r>
        <w:rPr/>
        <w:t>of</w:t>
      </w:r>
      <w:r>
        <w:rPr>
          <w:spacing w:val="-2"/>
        </w:rPr>
        <w:t> </w:t>
      </w:r>
      <w:r>
        <w:rPr/>
        <w:t>foreign</w:t>
      </w:r>
      <w:r>
        <w:rPr>
          <w:spacing w:val="-1"/>
        </w:rPr>
        <w:t> </w:t>
      </w:r>
      <w:r>
        <w:rPr/>
        <w:t>and</w:t>
      </w:r>
      <w:r>
        <w:rPr>
          <w:spacing w:val="-1"/>
        </w:rPr>
        <w:t> </w:t>
      </w:r>
      <w:r>
        <w:rPr/>
        <w:t>domestic</w:t>
      </w:r>
      <w:r>
        <w:rPr>
          <w:spacing w:val="-2"/>
        </w:rPr>
        <w:t> </w:t>
      </w:r>
      <w:r>
        <w:rPr/>
        <w:t>capital</w:t>
      </w:r>
      <w:r>
        <w:rPr>
          <w:spacing w:val="-1"/>
        </w:rPr>
        <w:t> </w:t>
      </w:r>
      <w:r>
        <w:rPr/>
        <w:t>pools.</w:t>
      </w:r>
      <w:r>
        <w:rPr>
          <w:spacing w:val="-6"/>
        </w:rPr>
        <w:t> </w:t>
      </w:r>
      <w:r>
        <w:rPr/>
        <w:t>The</w:t>
      </w:r>
      <w:r>
        <w:rPr>
          <w:spacing w:val="-2"/>
        </w:rPr>
        <w:t> </w:t>
      </w:r>
      <w:r>
        <w:rPr/>
        <w:t>post-2012</w:t>
      </w:r>
      <w:r>
        <w:rPr>
          <w:spacing w:val="-1"/>
        </w:rPr>
        <w:t> </w:t>
      </w:r>
      <w:r>
        <w:rPr/>
        <w:t>dataset</w:t>
      </w:r>
      <w:r>
        <w:rPr>
          <w:spacing w:val="-1"/>
        </w:rPr>
        <w:t> </w:t>
      </w:r>
      <w:r>
        <w:rPr/>
        <w:t>demonstrates</w:t>
      </w:r>
      <w:r>
        <w:rPr>
          <w:spacing w:val="-2"/>
        </w:rPr>
        <w:t> </w:t>
      </w:r>
      <w:r>
        <w:rPr/>
        <w:t>increasing consistency</w:t>
      </w:r>
      <w:r>
        <w:rPr>
          <w:spacing w:val="-9"/>
        </w:rPr>
        <w:t> </w:t>
      </w:r>
      <w:r>
        <w:rPr/>
        <w:t>in</w:t>
      </w:r>
      <w:r>
        <w:rPr>
          <w:spacing w:val="-6"/>
        </w:rPr>
        <w:t> </w:t>
      </w:r>
      <w:r>
        <w:rPr/>
        <w:t>deal</w:t>
      </w:r>
      <w:r>
        <w:rPr>
          <w:spacing w:val="-6"/>
        </w:rPr>
        <w:t> </w:t>
      </w:r>
      <w:r>
        <w:rPr/>
        <w:t>numbers</w:t>
      </w:r>
      <w:r>
        <w:rPr>
          <w:spacing w:val="-7"/>
        </w:rPr>
        <w:t> </w:t>
      </w:r>
      <w:r>
        <w:rPr/>
        <w:t>suggesting</w:t>
      </w:r>
      <w:r>
        <w:rPr>
          <w:spacing w:val="-7"/>
        </w:rPr>
        <w:t> </w:t>
      </w:r>
      <w:r>
        <w:rPr/>
        <w:t>regulatory</w:t>
      </w:r>
      <w:r>
        <w:rPr>
          <w:spacing w:val="-4"/>
        </w:rPr>
        <w:t> </w:t>
      </w:r>
      <w:r>
        <w:rPr/>
        <w:t>credibility</w:t>
      </w:r>
      <w:r>
        <w:rPr>
          <w:spacing w:val="-6"/>
        </w:rPr>
        <w:t> </w:t>
      </w:r>
      <w:r>
        <w:rPr/>
        <w:t>as</w:t>
      </w:r>
      <w:r>
        <w:rPr>
          <w:spacing w:val="-7"/>
        </w:rPr>
        <w:t> </w:t>
      </w:r>
      <w:r>
        <w:rPr/>
        <w:t>a</w:t>
      </w:r>
      <w:r>
        <w:rPr>
          <w:spacing w:val="-7"/>
        </w:rPr>
        <w:t> </w:t>
      </w:r>
      <w:r>
        <w:rPr/>
        <w:t>catalyst</w:t>
      </w:r>
      <w:r>
        <w:rPr>
          <w:spacing w:val="-5"/>
        </w:rPr>
        <w:t> </w:t>
      </w:r>
      <w:r>
        <w:rPr/>
        <w:t>for</w:t>
      </w:r>
      <w:r>
        <w:rPr>
          <w:spacing w:val="-8"/>
        </w:rPr>
        <w:t> </w:t>
      </w:r>
      <w:r>
        <w:rPr/>
        <w:t>deal</w:t>
      </w:r>
      <w:r>
        <w:rPr>
          <w:spacing w:val="-6"/>
        </w:rPr>
        <w:t> </w:t>
      </w:r>
      <w:r>
        <w:rPr>
          <w:spacing w:val="-2"/>
        </w:rPr>
        <w:t>origination.</w:t>
      </w:r>
    </w:p>
    <w:p>
      <w:pPr>
        <w:pStyle w:val="BodyText"/>
        <w:spacing w:line="360" w:lineRule="auto" w:before="161"/>
        <w:ind w:left="23" w:right="19"/>
        <w:jc w:val="both"/>
      </w:pPr>
      <w:r>
        <w:rPr/>
        <w:t>The IBC (2016) is the greatest transformative inflection point. Before IBC, distressed assets </w:t>
      </w:r>
      <w:r>
        <w:rPr>
          <w:spacing w:val="-2"/>
        </w:rPr>
        <w:t>was</w:t>
      </w:r>
      <w:r>
        <w:rPr>
          <w:spacing w:val="-4"/>
        </w:rPr>
        <w:t> </w:t>
      </w:r>
      <w:r>
        <w:rPr>
          <w:spacing w:val="-2"/>
        </w:rPr>
        <w:t>a</w:t>
      </w:r>
      <w:r>
        <w:rPr>
          <w:spacing w:val="-5"/>
        </w:rPr>
        <w:t> </w:t>
      </w:r>
      <w:r>
        <w:rPr>
          <w:spacing w:val="-2"/>
        </w:rPr>
        <w:t>prolonged</w:t>
      </w:r>
      <w:r>
        <w:rPr>
          <w:spacing w:val="-4"/>
        </w:rPr>
        <w:t> </w:t>
      </w:r>
      <w:r>
        <w:rPr>
          <w:spacing w:val="-2"/>
        </w:rPr>
        <w:t>capital</w:t>
      </w:r>
      <w:r>
        <w:rPr>
          <w:spacing w:val="-3"/>
        </w:rPr>
        <w:t> </w:t>
      </w:r>
      <w:r>
        <w:rPr>
          <w:spacing w:val="-2"/>
        </w:rPr>
        <w:t>lock-in</w:t>
      </w:r>
      <w:r>
        <w:rPr>
          <w:spacing w:val="-3"/>
        </w:rPr>
        <w:t> </w:t>
      </w:r>
      <w:r>
        <w:rPr>
          <w:spacing w:val="-2"/>
        </w:rPr>
        <w:t>and</w:t>
      </w:r>
      <w:r>
        <w:rPr>
          <w:spacing w:val="-4"/>
        </w:rPr>
        <w:t> </w:t>
      </w:r>
      <w:r>
        <w:rPr>
          <w:spacing w:val="-2"/>
        </w:rPr>
        <w:t>exit</w:t>
      </w:r>
      <w:r>
        <w:rPr>
          <w:spacing w:val="-3"/>
        </w:rPr>
        <w:t> </w:t>
      </w:r>
      <w:r>
        <w:rPr>
          <w:spacing w:val="-2"/>
        </w:rPr>
        <w:t>visibility.</w:t>
      </w:r>
      <w:r>
        <w:rPr>
          <w:spacing w:val="-7"/>
        </w:rPr>
        <w:t> </w:t>
      </w:r>
      <w:r>
        <w:rPr>
          <w:spacing w:val="-2"/>
        </w:rPr>
        <w:t>Following</w:t>
      </w:r>
      <w:r>
        <w:rPr>
          <w:spacing w:val="-4"/>
        </w:rPr>
        <w:t> </w:t>
      </w:r>
      <w:r>
        <w:rPr>
          <w:spacing w:val="-2"/>
        </w:rPr>
        <w:t>its</w:t>
      </w:r>
      <w:r>
        <w:rPr>
          <w:spacing w:val="-4"/>
        </w:rPr>
        <w:t> </w:t>
      </w:r>
      <w:r>
        <w:rPr>
          <w:spacing w:val="-2"/>
        </w:rPr>
        <w:t>introduction,</w:t>
      </w:r>
      <w:r>
        <w:rPr>
          <w:spacing w:val="-4"/>
        </w:rPr>
        <w:t> </w:t>
      </w:r>
      <w:r>
        <w:rPr>
          <w:spacing w:val="-2"/>
        </w:rPr>
        <w:t>better</w:t>
      </w:r>
      <w:r>
        <w:rPr>
          <w:spacing w:val="-5"/>
        </w:rPr>
        <w:t> </w:t>
      </w:r>
      <w:r>
        <w:rPr>
          <w:spacing w:val="-2"/>
        </w:rPr>
        <w:t>time-bound </w:t>
      </w:r>
      <w:r>
        <w:rPr/>
        <w:t>insolvency</w:t>
      </w:r>
      <w:r>
        <w:rPr>
          <w:spacing w:val="-15"/>
        </w:rPr>
        <w:t> </w:t>
      </w:r>
      <w:r>
        <w:rPr/>
        <w:t>resolution</w:t>
      </w:r>
      <w:r>
        <w:rPr>
          <w:spacing w:val="-15"/>
        </w:rPr>
        <w:t> </w:t>
      </w:r>
      <w:r>
        <w:rPr/>
        <w:t>mechanisms</w:t>
      </w:r>
      <w:r>
        <w:rPr>
          <w:spacing w:val="-15"/>
        </w:rPr>
        <w:t> </w:t>
      </w:r>
      <w:r>
        <w:rPr/>
        <w:t>boosted</w:t>
      </w:r>
      <w:r>
        <w:rPr>
          <w:spacing w:val="-15"/>
        </w:rPr>
        <w:t> </w:t>
      </w:r>
      <w:r>
        <w:rPr/>
        <w:t>confidence</w:t>
      </w:r>
      <w:r>
        <w:rPr>
          <w:spacing w:val="-15"/>
        </w:rPr>
        <w:t> </w:t>
      </w:r>
      <w:r>
        <w:rPr/>
        <w:t>especially</w:t>
      </w:r>
      <w:r>
        <w:rPr>
          <w:spacing w:val="-15"/>
        </w:rPr>
        <w:t> </w:t>
      </w:r>
      <w:r>
        <w:rPr/>
        <w:t>among</w:t>
      </w:r>
      <w:r>
        <w:rPr>
          <w:spacing w:val="-15"/>
        </w:rPr>
        <w:t> </w:t>
      </w:r>
      <w:r>
        <w:rPr/>
        <w:t>buyout</w:t>
      </w:r>
      <w:r>
        <w:rPr>
          <w:spacing w:val="-15"/>
        </w:rPr>
        <w:t> </w:t>
      </w:r>
      <w:r>
        <w:rPr/>
        <w:t>investors.</w:t>
      </w:r>
      <w:r>
        <w:rPr>
          <w:spacing w:val="-15"/>
        </w:rPr>
        <w:t> </w:t>
      </w:r>
      <w:r>
        <w:rPr/>
        <w:t>This can be observed in the dataset by the increasing occurrence of control-oriented investment structures such as PIPE, LBO and recapitalisation structures, insofar as this is consistent with the maturity phase in literature. Capital deployment ramps up visibly after 2016, reaching its value spike in 2020.</w:t>
      </w:r>
    </w:p>
    <w:p>
      <w:pPr>
        <w:pStyle w:val="BodyText"/>
        <w:spacing w:line="360" w:lineRule="auto" w:before="160"/>
        <w:ind w:left="23" w:right="21"/>
        <w:jc w:val="both"/>
      </w:pPr>
      <w:r>
        <w:rPr/>
        <w:t>The period of the Covid-19 (2020-2021) is yet another example of market evolution. Unlike 2008, investment activity not only bounces back but roars to its historical high, fueled by counter-cyclical investments in areas like digital-first industries, telemedicine, edtech and enterprise SaaS. This implies that India's PE market has shifted from a reliance on cyclical economic growth to being structural opportunity perception.</w:t>
      </w:r>
    </w:p>
    <w:p>
      <w:pPr>
        <w:pStyle w:val="Heading2"/>
        <w:numPr>
          <w:ilvl w:val="1"/>
          <w:numId w:val="5"/>
        </w:numPr>
        <w:tabs>
          <w:tab w:pos="411" w:val="left" w:leader="none"/>
        </w:tabs>
        <w:spacing w:line="240" w:lineRule="auto" w:before="161" w:after="0"/>
        <w:ind w:left="411" w:right="0" w:hanging="388"/>
        <w:jc w:val="both"/>
      </w:pPr>
      <w:bookmarkStart w:name="_bookmark46" w:id="47"/>
      <w:bookmarkEnd w:id="47"/>
      <w:r>
        <w:rPr>
          <w:b w:val="0"/>
        </w:rPr>
      </w:r>
      <w:r>
        <w:rPr/>
        <w:t>Sectoral</w:t>
      </w:r>
      <w:r>
        <w:rPr>
          <w:spacing w:val="-17"/>
        </w:rPr>
        <w:t> </w:t>
      </w:r>
      <w:r>
        <w:rPr/>
        <w:t>Allocation</w:t>
      </w:r>
      <w:r>
        <w:rPr>
          <w:spacing w:val="-10"/>
        </w:rPr>
        <w:t> </w:t>
      </w:r>
      <w:r>
        <w:rPr/>
        <w:t>of</w:t>
      </w:r>
      <w:r>
        <w:rPr>
          <w:spacing w:val="-7"/>
        </w:rPr>
        <w:t> </w:t>
      </w:r>
      <w:r>
        <w:rPr>
          <w:spacing w:val="-2"/>
        </w:rPr>
        <w:t>Investments</w:t>
      </w:r>
    </w:p>
    <w:p>
      <w:pPr>
        <w:pStyle w:val="BodyText"/>
        <w:spacing w:line="360" w:lineRule="auto" w:before="228"/>
        <w:ind w:left="23" w:right="20"/>
        <w:jc w:val="both"/>
      </w:pPr>
      <w:r>
        <w:rPr/>
        <w:t>This section assesses the sectoral allocation of private equity investments in India from 2005 to 2024 with reference to the sectoral classification in LSEG data (TRBC</w:t>
      </w:r>
      <w:r>
        <w:rPr>
          <w:spacing w:val="-1"/>
        </w:rPr>
        <w:t> </w:t>
      </w:r>
      <w:r>
        <w:rPr/>
        <w:t>Economic Sectors). The</w:t>
      </w:r>
      <w:r>
        <w:rPr>
          <w:spacing w:val="-6"/>
        </w:rPr>
        <w:t> </w:t>
      </w:r>
      <w:r>
        <w:rPr/>
        <w:t>distribution</w:t>
      </w:r>
      <w:r>
        <w:rPr>
          <w:spacing w:val="-5"/>
        </w:rPr>
        <w:t> </w:t>
      </w:r>
      <w:r>
        <w:rPr/>
        <w:t>of</w:t>
      </w:r>
      <w:r>
        <w:rPr>
          <w:spacing w:val="-2"/>
        </w:rPr>
        <w:t> </w:t>
      </w:r>
      <w:r>
        <w:rPr/>
        <w:t>capital</w:t>
      </w:r>
      <w:r>
        <w:rPr>
          <w:spacing w:val="-4"/>
        </w:rPr>
        <w:t> </w:t>
      </w:r>
      <w:r>
        <w:rPr/>
        <w:t>between</w:t>
      </w:r>
      <w:r>
        <w:rPr>
          <w:spacing w:val="-3"/>
        </w:rPr>
        <w:t> </w:t>
      </w:r>
      <w:r>
        <w:rPr/>
        <w:t>sectors</w:t>
      </w:r>
      <w:r>
        <w:rPr>
          <w:spacing w:val="-5"/>
        </w:rPr>
        <w:t> </w:t>
      </w:r>
      <w:r>
        <w:rPr/>
        <w:t>depends</w:t>
      </w:r>
      <w:r>
        <w:rPr>
          <w:spacing w:val="-5"/>
        </w:rPr>
        <w:t> </w:t>
      </w:r>
      <w:r>
        <w:rPr/>
        <w:t>both</w:t>
      </w:r>
      <w:r>
        <w:rPr>
          <w:spacing w:val="-4"/>
        </w:rPr>
        <w:t> </w:t>
      </w:r>
      <w:r>
        <w:rPr/>
        <w:t>on</w:t>
      </w:r>
      <w:r>
        <w:rPr>
          <w:spacing w:val="-5"/>
        </w:rPr>
        <w:t> </w:t>
      </w:r>
      <w:r>
        <w:rPr/>
        <w:t>how</w:t>
      </w:r>
      <w:r>
        <w:rPr>
          <w:spacing w:val="-3"/>
        </w:rPr>
        <w:t> </w:t>
      </w:r>
      <w:r>
        <w:rPr/>
        <w:t>growth</w:t>
      </w:r>
      <w:r>
        <w:rPr>
          <w:spacing w:val="-5"/>
        </w:rPr>
        <w:t> </w:t>
      </w:r>
      <w:r>
        <w:rPr/>
        <w:t>potential</w:t>
      </w:r>
      <w:r>
        <w:rPr>
          <w:spacing w:val="-4"/>
        </w:rPr>
        <w:t> </w:t>
      </w:r>
      <w:r>
        <w:rPr/>
        <w:t>is</w:t>
      </w:r>
      <w:r>
        <w:rPr>
          <w:spacing w:val="-4"/>
        </w:rPr>
        <w:t> </w:t>
      </w:r>
      <w:r>
        <w:rPr/>
        <w:t>perceived by investors and on the structural capability of industries to absorb exogenous capital. The available dataset shows a high degree of concentration in a few sectors and this indicates a thematic</w:t>
      </w:r>
      <w:r>
        <w:rPr>
          <w:spacing w:val="-9"/>
        </w:rPr>
        <w:t> </w:t>
      </w:r>
      <w:r>
        <w:rPr/>
        <w:t>direction</w:t>
      </w:r>
      <w:r>
        <w:rPr>
          <w:spacing w:val="-8"/>
        </w:rPr>
        <w:t> </w:t>
      </w:r>
      <w:r>
        <w:rPr/>
        <w:t>of</w:t>
      </w:r>
      <w:r>
        <w:rPr>
          <w:spacing w:val="-9"/>
        </w:rPr>
        <w:t> </w:t>
      </w:r>
      <w:r>
        <w:rPr/>
        <w:t>the</w:t>
      </w:r>
      <w:r>
        <w:rPr>
          <w:spacing w:val="-7"/>
        </w:rPr>
        <w:t> </w:t>
      </w:r>
      <w:r>
        <w:rPr/>
        <w:t>investment</w:t>
      </w:r>
      <w:r>
        <w:rPr>
          <w:spacing w:val="-8"/>
        </w:rPr>
        <w:t> </w:t>
      </w:r>
      <w:r>
        <w:rPr/>
        <w:t>landscape</w:t>
      </w:r>
      <w:r>
        <w:rPr>
          <w:spacing w:val="-9"/>
        </w:rPr>
        <w:t> </w:t>
      </w:r>
      <w:r>
        <w:rPr/>
        <w:t>in</w:t>
      </w:r>
      <w:r>
        <w:rPr>
          <w:spacing w:val="-5"/>
        </w:rPr>
        <w:t> </w:t>
      </w:r>
      <w:r>
        <w:rPr/>
        <w:t>India</w:t>
      </w:r>
      <w:r>
        <w:rPr>
          <w:spacing w:val="-9"/>
        </w:rPr>
        <w:t> </w:t>
      </w:r>
      <w:r>
        <w:rPr/>
        <w:t>as</w:t>
      </w:r>
      <w:r>
        <w:rPr>
          <w:spacing w:val="-8"/>
        </w:rPr>
        <w:t> </w:t>
      </w:r>
      <w:r>
        <w:rPr/>
        <w:t>opposed</w:t>
      </w:r>
      <w:r>
        <w:rPr>
          <w:spacing w:val="-8"/>
        </w:rPr>
        <w:t> </w:t>
      </w:r>
      <w:r>
        <w:rPr/>
        <w:t>to</w:t>
      </w:r>
      <w:r>
        <w:rPr>
          <w:spacing w:val="-5"/>
        </w:rPr>
        <w:t> </w:t>
      </w:r>
      <w:r>
        <w:rPr/>
        <w:t>a</w:t>
      </w:r>
      <w:r>
        <w:rPr>
          <w:spacing w:val="-9"/>
        </w:rPr>
        <w:t> </w:t>
      </w:r>
      <w:r>
        <w:rPr/>
        <w:t>uniform</w:t>
      </w:r>
      <w:r>
        <w:rPr>
          <w:spacing w:val="-8"/>
        </w:rPr>
        <w:t> </w:t>
      </w:r>
      <w:r>
        <w:rPr/>
        <w:t>diversification of investment. These patterns also point to the ways in which macroeconomic transitions and the adoption of digital have redefined the sector-level investment priorities. The descriptive findings reported here is backed up visually (sectoral investment value distribution) and supplementary pivot analysis.</w:t>
      </w:r>
    </w:p>
    <w:p>
      <w:pPr>
        <w:pStyle w:val="BodyText"/>
        <w:spacing w:after="0" w:line="360" w:lineRule="auto"/>
        <w:jc w:val="both"/>
        <w:sectPr>
          <w:pgSz w:w="11910" w:h="16840"/>
          <w:pgMar w:header="0" w:footer="1009" w:top="1360" w:bottom="1200" w:left="1417" w:right="1417"/>
        </w:sectPr>
      </w:pPr>
    </w:p>
    <w:p>
      <w:pPr>
        <w:pStyle w:val="Heading3"/>
        <w:numPr>
          <w:ilvl w:val="2"/>
          <w:numId w:val="5"/>
        </w:numPr>
        <w:tabs>
          <w:tab w:pos="563" w:val="left" w:leader="none"/>
        </w:tabs>
        <w:spacing w:line="240" w:lineRule="auto" w:before="61" w:after="0"/>
        <w:ind w:left="563" w:right="0" w:hanging="540"/>
        <w:jc w:val="both"/>
      </w:pPr>
      <w:r>
        <w:rPr/>
        <mc:AlternateContent>
          <mc:Choice Requires="wps">
            <w:drawing>
              <wp:anchor distT="0" distB="0" distL="0" distR="0" allowOverlap="1" layoutInCell="1" locked="0" behindDoc="0" simplePos="0" relativeHeight="15735808">
                <wp:simplePos x="0" y="0"/>
                <wp:positionH relativeFrom="page">
                  <wp:posOffset>1136967</wp:posOffset>
                </wp:positionH>
                <wp:positionV relativeFrom="paragraph">
                  <wp:posOffset>348043</wp:posOffset>
                </wp:positionV>
                <wp:extent cx="5286375" cy="4600575"/>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5286375" cy="4600575"/>
                          <a:chExt cx="5286375" cy="4600575"/>
                        </a:xfrm>
                      </wpg:grpSpPr>
                      <pic:pic>
                        <pic:nvPicPr>
                          <pic:cNvPr id="166" name="Image 166"/>
                          <pic:cNvPicPr/>
                        </pic:nvPicPr>
                        <pic:blipFill>
                          <a:blip r:embed="rId27" cstate="print"/>
                          <a:stretch>
                            <a:fillRect/>
                          </a:stretch>
                        </pic:blipFill>
                        <pic:spPr>
                          <a:xfrm>
                            <a:off x="870112" y="538359"/>
                            <a:ext cx="2460580" cy="2099398"/>
                          </a:xfrm>
                          <a:prstGeom prst="rect">
                            <a:avLst/>
                          </a:prstGeom>
                        </pic:spPr>
                      </pic:pic>
                      <pic:pic>
                        <pic:nvPicPr>
                          <pic:cNvPr id="167" name="Image 167"/>
                          <pic:cNvPicPr/>
                        </pic:nvPicPr>
                        <pic:blipFill>
                          <a:blip r:embed="rId28" cstate="print"/>
                          <a:stretch>
                            <a:fillRect/>
                          </a:stretch>
                        </pic:blipFill>
                        <pic:spPr>
                          <a:xfrm>
                            <a:off x="3570719" y="2344407"/>
                            <a:ext cx="64719" cy="64719"/>
                          </a:xfrm>
                          <a:prstGeom prst="rect">
                            <a:avLst/>
                          </a:prstGeom>
                        </pic:spPr>
                      </pic:pic>
                      <pic:pic>
                        <pic:nvPicPr>
                          <pic:cNvPr id="168" name="Image 168"/>
                          <pic:cNvPicPr/>
                        </pic:nvPicPr>
                        <pic:blipFill>
                          <a:blip r:embed="rId29" cstate="print"/>
                          <a:stretch>
                            <a:fillRect/>
                          </a:stretch>
                        </pic:blipFill>
                        <pic:spPr>
                          <a:xfrm>
                            <a:off x="3570719" y="2557767"/>
                            <a:ext cx="64719" cy="64719"/>
                          </a:xfrm>
                          <a:prstGeom prst="rect">
                            <a:avLst/>
                          </a:prstGeom>
                        </pic:spPr>
                      </pic:pic>
                      <wps:wsp>
                        <wps:cNvPr id="169" name="Graphic 169"/>
                        <wps:cNvSpPr/>
                        <wps:spPr>
                          <a:xfrm>
                            <a:off x="4762" y="4762"/>
                            <a:ext cx="5276850" cy="4591050"/>
                          </a:xfrm>
                          <a:custGeom>
                            <a:avLst/>
                            <a:gdLst/>
                            <a:ahLst/>
                            <a:cxnLst/>
                            <a:rect l="l" t="t" r="r" b="b"/>
                            <a:pathLst>
                              <a:path w="5276850" h="4591050">
                                <a:moveTo>
                                  <a:pt x="0" y="4591050"/>
                                </a:moveTo>
                                <a:lnTo>
                                  <a:pt x="5276850" y="4591050"/>
                                </a:lnTo>
                                <a:lnTo>
                                  <a:pt x="5276850" y="0"/>
                                </a:lnTo>
                                <a:lnTo>
                                  <a:pt x="0" y="0"/>
                                </a:lnTo>
                                <a:lnTo>
                                  <a:pt x="0" y="4591050"/>
                                </a:lnTo>
                                <a:close/>
                              </a:path>
                            </a:pathLst>
                          </a:custGeom>
                          <a:ln w="9525">
                            <a:solidFill>
                              <a:srgbClr val="D9D9D9"/>
                            </a:solidFill>
                            <a:prstDash val="solid"/>
                          </a:ln>
                        </wps:spPr>
                        <wps:bodyPr wrap="square" lIns="0" tIns="0" rIns="0" bIns="0" rtlCol="0">
                          <a:prstTxWarp prst="textNoShape">
                            <a:avLst/>
                          </a:prstTxWarp>
                          <a:noAutofit/>
                        </wps:bodyPr>
                      </wps:wsp>
                      <wps:wsp>
                        <wps:cNvPr id="170" name="Textbox 170"/>
                        <wps:cNvSpPr txBox="1"/>
                        <wps:spPr>
                          <a:xfrm>
                            <a:off x="1851342" y="141439"/>
                            <a:ext cx="1596390" cy="203200"/>
                          </a:xfrm>
                          <a:prstGeom prst="rect">
                            <a:avLst/>
                          </a:prstGeom>
                        </wps:spPr>
                        <wps:txbx>
                          <w:txbxContent>
                            <w:p>
                              <w:pPr>
                                <w:spacing w:line="320" w:lineRule="exact" w:before="0"/>
                                <w:ind w:left="0" w:right="0" w:firstLine="0"/>
                                <w:jc w:val="left"/>
                                <w:rPr>
                                  <w:rFonts w:ascii="Calibri"/>
                                  <w:b/>
                                  <w:sz w:val="32"/>
                                </w:rPr>
                              </w:pPr>
                              <w:r>
                                <w:rPr>
                                  <w:rFonts w:ascii="Calibri"/>
                                  <w:b/>
                                  <w:color w:val="585858"/>
                                  <w:sz w:val="32"/>
                                </w:rPr>
                                <w:t>Sector</w:t>
                              </w:r>
                              <w:r>
                                <w:rPr>
                                  <w:rFonts w:ascii="Calibri"/>
                                  <w:b/>
                                  <w:color w:val="585858"/>
                                  <w:spacing w:val="-14"/>
                                  <w:sz w:val="32"/>
                                </w:rPr>
                                <w:t> </w:t>
                              </w:r>
                              <w:r>
                                <w:rPr>
                                  <w:rFonts w:ascii="Calibri"/>
                                  <w:b/>
                                  <w:color w:val="585858"/>
                                  <w:spacing w:val="-2"/>
                                  <w:sz w:val="32"/>
                                </w:rPr>
                                <w:t>Distribution</w:t>
                              </w:r>
                            </w:p>
                          </w:txbxContent>
                        </wps:txbx>
                        <wps:bodyPr wrap="square" lIns="0" tIns="0" rIns="0" bIns="0" rtlCol="0">
                          <a:noAutofit/>
                        </wps:bodyPr>
                      </wps:wsp>
                      <wps:wsp>
                        <wps:cNvPr id="171" name="Textbox 171"/>
                        <wps:cNvSpPr txBox="1"/>
                        <wps:spPr>
                          <a:xfrm>
                            <a:off x="366331" y="532193"/>
                            <a:ext cx="418465" cy="2168525"/>
                          </a:xfrm>
                          <a:prstGeom prst="rect">
                            <a:avLst/>
                          </a:prstGeom>
                        </wps:spPr>
                        <wps:txbx>
                          <w:txbxContent>
                            <w:p>
                              <w:pPr>
                                <w:spacing w:line="183" w:lineRule="exact" w:before="0"/>
                                <w:ind w:left="0" w:right="18" w:firstLine="0"/>
                                <w:jc w:val="right"/>
                                <w:rPr>
                                  <w:rFonts w:ascii="Calibri"/>
                                  <w:sz w:val="18"/>
                                </w:rPr>
                              </w:pPr>
                              <w:r>
                                <w:rPr>
                                  <w:rFonts w:ascii="Calibri"/>
                                  <w:color w:val="585858"/>
                                  <w:spacing w:val="-2"/>
                                  <w:sz w:val="18"/>
                                </w:rPr>
                                <w:t>3500000</w:t>
                              </w:r>
                            </w:p>
                            <w:p>
                              <w:pPr>
                                <w:spacing w:line="240" w:lineRule="auto" w:before="22"/>
                                <w:rPr>
                                  <w:rFonts w:ascii="Calibri"/>
                                  <w:sz w:val="18"/>
                                </w:rPr>
                              </w:pPr>
                            </w:p>
                            <w:p>
                              <w:pPr>
                                <w:spacing w:before="0"/>
                                <w:ind w:left="0" w:right="0" w:firstLine="0"/>
                                <w:jc w:val="left"/>
                                <w:rPr>
                                  <w:rFonts w:ascii="Calibri"/>
                                  <w:sz w:val="18"/>
                                </w:rPr>
                              </w:pPr>
                              <w:r>
                                <w:rPr>
                                  <w:rFonts w:ascii="Calibri"/>
                                  <w:color w:val="585858"/>
                                  <w:spacing w:val="-2"/>
                                  <w:sz w:val="18"/>
                                </w:rPr>
                                <w:t>3000000</w:t>
                              </w:r>
                            </w:p>
                            <w:p>
                              <w:pPr>
                                <w:spacing w:line="240" w:lineRule="auto" w:before="23"/>
                                <w:rPr>
                                  <w:rFonts w:ascii="Calibri"/>
                                  <w:sz w:val="18"/>
                                </w:rPr>
                              </w:pPr>
                            </w:p>
                            <w:p>
                              <w:pPr>
                                <w:spacing w:before="0"/>
                                <w:ind w:left="0" w:right="0" w:firstLine="0"/>
                                <w:jc w:val="left"/>
                                <w:rPr>
                                  <w:rFonts w:ascii="Calibri"/>
                                  <w:sz w:val="18"/>
                                </w:rPr>
                              </w:pPr>
                              <w:r>
                                <w:rPr>
                                  <w:rFonts w:ascii="Calibri"/>
                                  <w:color w:val="585858"/>
                                  <w:spacing w:val="-2"/>
                                  <w:sz w:val="18"/>
                                </w:rPr>
                                <w:t>2500000</w:t>
                              </w:r>
                            </w:p>
                            <w:p>
                              <w:pPr>
                                <w:spacing w:line="240" w:lineRule="auto" w:before="23"/>
                                <w:rPr>
                                  <w:rFonts w:ascii="Calibri"/>
                                  <w:sz w:val="18"/>
                                </w:rPr>
                              </w:pPr>
                            </w:p>
                            <w:p>
                              <w:pPr>
                                <w:spacing w:before="0"/>
                                <w:ind w:left="0" w:right="0" w:firstLine="0"/>
                                <w:jc w:val="left"/>
                                <w:rPr>
                                  <w:rFonts w:ascii="Calibri"/>
                                  <w:sz w:val="18"/>
                                </w:rPr>
                              </w:pPr>
                              <w:r>
                                <w:rPr>
                                  <w:rFonts w:ascii="Calibri"/>
                                  <w:color w:val="585858"/>
                                  <w:spacing w:val="-2"/>
                                  <w:sz w:val="18"/>
                                </w:rPr>
                                <w:t>2000000</w:t>
                              </w:r>
                            </w:p>
                            <w:p>
                              <w:pPr>
                                <w:spacing w:line="240" w:lineRule="auto" w:before="22"/>
                                <w:rPr>
                                  <w:rFonts w:ascii="Calibri"/>
                                  <w:sz w:val="18"/>
                                </w:rPr>
                              </w:pPr>
                            </w:p>
                            <w:p>
                              <w:pPr>
                                <w:spacing w:before="0"/>
                                <w:ind w:left="0" w:right="0" w:firstLine="0"/>
                                <w:jc w:val="left"/>
                                <w:rPr>
                                  <w:rFonts w:ascii="Calibri"/>
                                  <w:sz w:val="18"/>
                                </w:rPr>
                              </w:pPr>
                              <w:r>
                                <w:rPr>
                                  <w:rFonts w:ascii="Calibri"/>
                                  <w:color w:val="585858"/>
                                  <w:spacing w:val="-2"/>
                                  <w:sz w:val="18"/>
                                </w:rPr>
                                <w:t>1500000</w:t>
                              </w:r>
                            </w:p>
                            <w:p>
                              <w:pPr>
                                <w:spacing w:line="240" w:lineRule="auto" w:before="23"/>
                                <w:rPr>
                                  <w:rFonts w:ascii="Calibri"/>
                                  <w:sz w:val="18"/>
                                </w:rPr>
                              </w:pPr>
                            </w:p>
                            <w:p>
                              <w:pPr>
                                <w:spacing w:before="0"/>
                                <w:ind w:left="0" w:right="0" w:firstLine="0"/>
                                <w:jc w:val="left"/>
                                <w:rPr>
                                  <w:rFonts w:ascii="Calibri"/>
                                  <w:sz w:val="18"/>
                                </w:rPr>
                              </w:pPr>
                              <w:r>
                                <w:rPr>
                                  <w:rFonts w:ascii="Calibri"/>
                                  <w:color w:val="585858"/>
                                  <w:spacing w:val="-2"/>
                                  <w:sz w:val="18"/>
                                </w:rPr>
                                <w:t>1000000</w:t>
                              </w:r>
                            </w:p>
                            <w:p>
                              <w:pPr>
                                <w:spacing w:line="240" w:lineRule="auto" w:before="22"/>
                                <w:rPr>
                                  <w:rFonts w:ascii="Calibri"/>
                                  <w:sz w:val="18"/>
                                </w:rPr>
                              </w:pPr>
                            </w:p>
                            <w:p>
                              <w:pPr>
                                <w:spacing w:before="1"/>
                                <w:ind w:left="91" w:right="0" w:firstLine="0"/>
                                <w:jc w:val="left"/>
                                <w:rPr>
                                  <w:rFonts w:ascii="Calibri"/>
                                  <w:sz w:val="18"/>
                                </w:rPr>
                              </w:pPr>
                              <w:r>
                                <w:rPr>
                                  <w:rFonts w:ascii="Calibri"/>
                                  <w:color w:val="585858"/>
                                  <w:spacing w:val="-2"/>
                                  <w:sz w:val="18"/>
                                </w:rPr>
                                <w:t>500000</w:t>
                              </w:r>
                            </w:p>
                            <w:p>
                              <w:pPr>
                                <w:spacing w:line="240" w:lineRule="auto" w:before="22"/>
                                <w:rPr>
                                  <w:rFonts w:ascii="Calibri"/>
                                  <w:sz w:val="18"/>
                                </w:rPr>
                              </w:pPr>
                            </w:p>
                            <w:p>
                              <w:pPr>
                                <w:spacing w:line="216" w:lineRule="exact" w:before="0"/>
                                <w:ind w:left="0" w:right="18" w:firstLine="0"/>
                                <w:jc w:val="right"/>
                                <w:rPr>
                                  <w:rFonts w:ascii="Calibri"/>
                                  <w:sz w:val="18"/>
                                </w:rPr>
                              </w:pPr>
                              <w:r>
                                <w:rPr>
                                  <w:rFonts w:ascii="Calibri"/>
                                  <w:color w:val="585858"/>
                                  <w:spacing w:val="-10"/>
                                  <w:sz w:val="18"/>
                                </w:rPr>
                                <w:t>0</w:t>
                              </w:r>
                            </w:p>
                          </w:txbxContent>
                        </wps:txbx>
                        <wps:bodyPr wrap="square" lIns="0" tIns="0" rIns="0" bIns="0" rtlCol="0">
                          <a:noAutofit/>
                        </wps:bodyPr>
                      </wps:wsp>
                      <wps:wsp>
                        <wps:cNvPr id="172" name="Textbox 172"/>
                        <wps:cNvSpPr txBox="1"/>
                        <wps:spPr>
                          <a:xfrm>
                            <a:off x="3659695" y="2320886"/>
                            <a:ext cx="1507490" cy="329565"/>
                          </a:xfrm>
                          <a:prstGeom prst="rect">
                            <a:avLst/>
                          </a:prstGeom>
                        </wps:spPr>
                        <wps:txbx>
                          <w:txbxContent>
                            <w:p>
                              <w:pPr>
                                <w:spacing w:line="184" w:lineRule="exact" w:before="0"/>
                                <w:ind w:left="0" w:right="0" w:firstLine="0"/>
                                <w:jc w:val="left"/>
                                <w:rPr>
                                  <w:rFonts w:ascii="Calibri"/>
                                  <w:sz w:val="18"/>
                                </w:rPr>
                              </w:pPr>
                              <w:r>
                                <w:rPr>
                                  <w:rFonts w:ascii="Calibri"/>
                                  <w:color w:val="585858"/>
                                  <w:sz w:val="18"/>
                                </w:rPr>
                                <w:t>Sum</w:t>
                              </w:r>
                              <w:r>
                                <w:rPr>
                                  <w:rFonts w:ascii="Calibri"/>
                                  <w:color w:val="585858"/>
                                  <w:spacing w:val="-2"/>
                                  <w:sz w:val="18"/>
                                </w:rPr>
                                <w:t> </w:t>
                              </w:r>
                              <w:r>
                                <w:rPr>
                                  <w:rFonts w:ascii="Calibri"/>
                                  <w:color w:val="585858"/>
                                  <w:sz w:val="18"/>
                                </w:rPr>
                                <w:t>of</w:t>
                              </w:r>
                              <w:r>
                                <w:rPr>
                                  <w:rFonts w:ascii="Calibri"/>
                                  <w:color w:val="585858"/>
                                  <w:spacing w:val="-2"/>
                                  <w:sz w:val="18"/>
                                </w:rPr>
                                <w:t> </w:t>
                              </w:r>
                              <w:r>
                                <w:rPr>
                                  <w:rFonts w:ascii="Calibri"/>
                                  <w:color w:val="585858"/>
                                  <w:sz w:val="18"/>
                                </w:rPr>
                                <w:t>Total</w:t>
                              </w:r>
                              <w:r>
                                <w:rPr>
                                  <w:rFonts w:ascii="Calibri"/>
                                  <w:color w:val="585858"/>
                                  <w:spacing w:val="-4"/>
                                  <w:sz w:val="18"/>
                                </w:rPr>
                                <w:t> </w:t>
                              </w:r>
                              <w:r>
                                <w:rPr>
                                  <w:rFonts w:ascii="Calibri"/>
                                  <w:color w:val="585858"/>
                                  <w:sz w:val="18"/>
                                </w:rPr>
                                <w:t>Round</w:t>
                              </w:r>
                              <w:r>
                                <w:rPr>
                                  <w:rFonts w:ascii="Calibri"/>
                                  <w:color w:val="585858"/>
                                  <w:spacing w:val="-4"/>
                                  <w:sz w:val="18"/>
                                </w:rPr>
                                <w:t> </w:t>
                              </w:r>
                              <w:r>
                                <w:rPr>
                                  <w:rFonts w:ascii="Calibri"/>
                                  <w:color w:val="585858"/>
                                  <w:sz w:val="18"/>
                                </w:rPr>
                                <w:t>Value</w:t>
                              </w:r>
                              <w:r>
                                <w:rPr>
                                  <w:rFonts w:ascii="Calibri"/>
                                  <w:color w:val="585858"/>
                                  <w:spacing w:val="-2"/>
                                  <w:sz w:val="18"/>
                                </w:rPr>
                                <w:t> </w:t>
                              </w:r>
                              <w:r>
                                <w:rPr>
                                  <w:rFonts w:ascii="Calibri"/>
                                  <w:color w:val="585858"/>
                                  <w:spacing w:val="-4"/>
                                  <w:sz w:val="18"/>
                                </w:rPr>
                                <w:t>(USD)</w:t>
                              </w:r>
                            </w:p>
                            <w:p>
                              <w:pPr>
                                <w:spacing w:line="216" w:lineRule="exact" w:before="118"/>
                                <w:ind w:left="0" w:right="0" w:firstLine="0"/>
                                <w:jc w:val="left"/>
                                <w:rPr>
                                  <w:rFonts w:ascii="Calibri"/>
                                  <w:sz w:val="18"/>
                                </w:rPr>
                              </w:pPr>
                              <w:r>
                                <w:rPr>
                                  <w:rFonts w:ascii="Calibri"/>
                                  <w:color w:val="585858"/>
                                  <w:sz w:val="18"/>
                                </w:rPr>
                                <w:t>Sum</w:t>
                              </w:r>
                              <w:r>
                                <w:rPr>
                                  <w:rFonts w:ascii="Calibri"/>
                                  <w:color w:val="585858"/>
                                  <w:spacing w:val="-4"/>
                                  <w:sz w:val="18"/>
                                </w:rPr>
                                <w:t> </w:t>
                              </w:r>
                              <w:r>
                                <w:rPr>
                                  <w:rFonts w:ascii="Calibri"/>
                                  <w:color w:val="585858"/>
                                  <w:sz w:val="18"/>
                                </w:rPr>
                                <w:t>of</w:t>
                              </w:r>
                              <w:r>
                                <w:rPr>
                                  <w:rFonts w:ascii="Calibri"/>
                                  <w:color w:val="585858"/>
                                  <w:spacing w:val="-2"/>
                                  <w:sz w:val="18"/>
                                </w:rPr>
                                <w:t> </w:t>
                              </w:r>
                              <w:r>
                                <w:rPr>
                                  <w:rFonts w:ascii="Calibri"/>
                                  <w:color w:val="585858"/>
                                  <w:sz w:val="18"/>
                                </w:rPr>
                                <w:t>Invested </w:t>
                              </w:r>
                              <w:r>
                                <w:rPr>
                                  <w:rFonts w:ascii="Calibri"/>
                                  <w:color w:val="585858"/>
                                  <w:spacing w:val="-4"/>
                                  <w:sz w:val="18"/>
                                </w:rPr>
                                <w:t>Year</w:t>
                              </w:r>
                            </w:p>
                          </w:txbxContent>
                        </wps:txbx>
                        <wps:bodyPr wrap="square" lIns="0" tIns="0" rIns="0" bIns="0" rtlCol="0">
                          <a:noAutofit/>
                        </wps:bodyPr>
                      </wps:wsp>
                      <wps:wsp>
                        <wps:cNvPr id="173" name="Textbox 173"/>
                        <wps:cNvSpPr txBox="1"/>
                        <wps:spPr>
                          <a:xfrm>
                            <a:off x="1933892" y="4301680"/>
                            <a:ext cx="30861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2"/>
                                  <w:sz w:val="18"/>
                                </w:rPr>
                                <w:t>Sector</w:t>
                              </w:r>
                            </w:p>
                          </w:txbxContent>
                        </wps:txbx>
                        <wps:bodyPr wrap="square" lIns="0" tIns="0" rIns="0" bIns="0" rtlCol="0">
                          <a:noAutofit/>
                        </wps:bodyPr>
                      </wps:wsp>
                    </wpg:wgp>
                  </a:graphicData>
                </a:graphic>
              </wp:anchor>
            </w:drawing>
          </mc:Choice>
          <mc:Fallback>
            <w:pict>
              <v:group style="position:absolute;margin-left:89.525002pt;margin-top:27.405001pt;width:416.25pt;height:362.25pt;mso-position-horizontal-relative:page;mso-position-vertical-relative:paragraph;z-index:15735808" id="docshapegroup157" coordorigin="1791,548" coordsize="8325,7245">
                <v:shape style="position:absolute;left:3160;top:1395;width:3875;height:3307" type="#_x0000_t75" id="docshape158" stroked="false">
                  <v:imagedata r:id="rId27" o:title=""/>
                </v:shape>
                <v:shape style="position:absolute;left:7413;top:4240;width:102;height:102" type="#_x0000_t75" id="docshape159" stroked="false">
                  <v:imagedata r:id="rId28" o:title=""/>
                </v:shape>
                <v:shape style="position:absolute;left:7413;top:4576;width:102;height:102" type="#_x0000_t75" id="docshape160" stroked="false">
                  <v:imagedata r:id="rId29" o:title=""/>
                </v:shape>
                <v:rect style="position:absolute;left:1798;top:555;width:8310;height:7230" id="docshape161" filled="false" stroked="true" strokeweight=".75pt" strokecolor="#d9d9d9">
                  <v:stroke dashstyle="solid"/>
                </v:rect>
                <v:shape style="position:absolute;left:4706;top:770;width:2514;height:320" type="#_x0000_t202" id="docshape162" filled="false" stroked="false">
                  <v:textbox inset="0,0,0,0">
                    <w:txbxContent>
                      <w:p>
                        <w:pPr>
                          <w:spacing w:line="320" w:lineRule="exact" w:before="0"/>
                          <w:ind w:left="0" w:right="0" w:firstLine="0"/>
                          <w:jc w:val="left"/>
                          <w:rPr>
                            <w:rFonts w:ascii="Calibri"/>
                            <w:b/>
                            <w:sz w:val="32"/>
                          </w:rPr>
                        </w:pPr>
                        <w:r>
                          <w:rPr>
                            <w:rFonts w:ascii="Calibri"/>
                            <w:b/>
                            <w:color w:val="585858"/>
                            <w:sz w:val="32"/>
                          </w:rPr>
                          <w:t>Sector</w:t>
                        </w:r>
                        <w:r>
                          <w:rPr>
                            <w:rFonts w:ascii="Calibri"/>
                            <w:b/>
                            <w:color w:val="585858"/>
                            <w:spacing w:val="-14"/>
                            <w:sz w:val="32"/>
                          </w:rPr>
                          <w:t> </w:t>
                        </w:r>
                        <w:r>
                          <w:rPr>
                            <w:rFonts w:ascii="Calibri"/>
                            <w:b/>
                            <w:color w:val="585858"/>
                            <w:spacing w:val="-2"/>
                            <w:sz w:val="32"/>
                          </w:rPr>
                          <w:t>Distribution</w:t>
                        </w:r>
                      </w:p>
                    </w:txbxContent>
                  </v:textbox>
                  <w10:wrap type="none"/>
                </v:shape>
                <v:shape style="position:absolute;left:2367;top:1386;width:659;height:3415" type="#_x0000_t202" id="docshape163" filled="false" stroked="false">
                  <v:textbox inset="0,0,0,0">
                    <w:txbxContent>
                      <w:p>
                        <w:pPr>
                          <w:spacing w:line="183" w:lineRule="exact" w:before="0"/>
                          <w:ind w:left="0" w:right="18" w:firstLine="0"/>
                          <w:jc w:val="right"/>
                          <w:rPr>
                            <w:rFonts w:ascii="Calibri"/>
                            <w:sz w:val="18"/>
                          </w:rPr>
                        </w:pPr>
                        <w:r>
                          <w:rPr>
                            <w:rFonts w:ascii="Calibri"/>
                            <w:color w:val="585858"/>
                            <w:spacing w:val="-2"/>
                            <w:sz w:val="18"/>
                          </w:rPr>
                          <w:t>3500000</w:t>
                        </w:r>
                      </w:p>
                      <w:p>
                        <w:pPr>
                          <w:spacing w:line="240" w:lineRule="auto" w:before="22"/>
                          <w:rPr>
                            <w:rFonts w:ascii="Calibri"/>
                            <w:sz w:val="18"/>
                          </w:rPr>
                        </w:pPr>
                      </w:p>
                      <w:p>
                        <w:pPr>
                          <w:spacing w:before="0"/>
                          <w:ind w:left="0" w:right="0" w:firstLine="0"/>
                          <w:jc w:val="left"/>
                          <w:rPr>
                            <w:rFonts w:ascii="Calibri"/>
                            <w:sz w:val="18"/>
                          </w:rPr>
                        </w:pPr>
                        <w:r>
                          <w:rPr>
                            <w:rFonts w:ascii="Calibri"/>
                            <w:color w:val="585858"/>
                            <w:spacing w:val="-2"/>
                            <w:sz w:val="18"/>
                          </w:rPr>
                          <w:t>3000000</w:t>
                        </w:r>
                      </w:p>
                      <w:p>
                        <w:pPr>
                          <w:spacing w:line="240" w:lineRule="auto" w:before="23"/>
                          <w:rPr>
                            <w:rFonts w:ascii="Calibri"/>
                            <w:sz w:val="18"/>
                          </w:rPr>
                        </w:pPr>
                      </w:p>
                      <w:p>
                        <w:pPr>
                          <w:spacing w:before="0"/>
                          <w:ind w:left="0" w:right="0" w:firstLine="0"/>
                          <w:jc w:val="left"/>
                          <w:rPr>
                            <w:rFonts w:ascii="Calibri"/>
                            <w:sz w:val="18"/>
                          </w:rPr>
                        </w:pPr>
                        <w:r>
                          <w:rPr>
                            <w:rFonts w:ascii="Calibri"/>
                            <w:color w:val="585858"/>
                            <w:spacing w:val="-2"/>
                            <w:sz w:val="18"/>
                          </w:rPr>
                          <w:t>2500000</w:t>
                        </w:r>
                      </w:p>
                      <w:p>
                        <w:pPr>
                          <w:spacing w:line="240" w:lineRule="auto" w:before="23"/>
                          <w:rPr>
                            <w:rFonts w:ascii="Calibri"/>
                            <w:sz w:val="18"/>
                          </w:rPr>
                        </w:pPr>
                      </w:p>
                      <w:p>
                        <w:pPr>
                          <w:spacing w:before="0"/>
                          <w:ind w:left="0" w:right="0" w:firstLine="0"/>
                          <w:jc w:val="left"/>
                          <w:rPr>
                            <w:rFonts w:ascii="Calibri"/>
                            <w:sz w:val="18"/>
                          </w:rPr>
                        </w:pPr>
                        <w:r>
                          <w:rPr>
                            <w:rFonts w:ascii="Calibri"/>
                            <w:color w:val="585858"/>
                            <w:spacing w:val="-2"/>
                            <w:sz w:val="18"/>
                          </w:rPr>
                          <w:t>2000000</w:t>
                        </w:r>
                      </w:p>
                      <w:p>
                        <w:pPr>
                          <w:spacing w:line="240" w:lineRule="auto" w:before="22"/>
                          <w:rPr>
                            <w:rFonts w:ascii="Calibri"/>
                            <w:sz w:val="18"/>
                          </w:rPr>
                        </w:pPr>
                      </w:p>
                      <w:p>
                        <w:pPr>
                          <w:spacing w:before="0"/>
                          <w:ind w:left="0" w:right="0" w:firstLine="0"/>
                          <w:jc w:val="left"/>
                          <w:rPr>
                            <w:rFonts w:ascii="Calibri"/>
                            <w:sz w:val="18"/>
                          </w:rPr>
                        </w:pPr>
                        <w:r>
                          <w:rPr>
                            <w:rFonts w:ascii="Calibri"/>
                            <w:color w:val="585858"/>
                            <w:spacing w:val="-2"/>
                            <w:sz w:val="18"/>
                          </w:rPr>
                          <w:t>1500000</w:t>
                        </w:r>
                      </w:p>
                      <w:p>
                        <w:pPr>
                          <w:spacing w:line="240" w:lineRule="auto" w:before="23"/>
                          <w:rPr>
                            <w:rFonts w:ascii="Calibri"/>
                            <w:sz w:val="18"/>
                          </w:rPr>
                        </w:pPr>
                      </w:p>
                      <w:p>
                        <w:pPr>
                          <w:spacing w:before="0"/>
                          <w:ind w:left="0" w:right="0" w:firstLine="0"/>
                          <w:jc w:val="left"/>
                          <w:rPr>
                            <w:rFonts w:ascii="Calibri"/>
                            <w:sz w:val="18"/>
                          </w:rPr>
                        </w:pPr>
                        <w:r>
                          <w:rPr>
                            <w:rFonts w:ascii="Calibri"/>
                            <w:color w:val="585858"/>
                            <w:spacing w:val="-2"/>
                            <w:sz w:val="18"/>
                          </w:rPr>
                          <w:t>1000000</w:t>
                        </w:r>
                      </w:p>
                      <w:p>
                        <w:pPr>
                          <w:spacing w:line="240" w:lineRule="auto" w:before="22"/>
                          <w:rPr>
                            <w:rFonts w:ascii="Calibri"/>
                            <w:sz w:val="18"/>
                          </w:rPr>
                        </w:pPr>
                      </w:p>
                      <w:p>
                        <w:pPr>
                          <w:spacing w:before="1"/>
                          <w:ind w:left="91" w:right="0" w:firstLine="0"/>
                          <w:jc w:val="left"/>
                          <w:rPr>
                            <w:rFonts w:ascii="Calibri"/>
                            <w:sz w:val="18"/>
                          </w:rPr>
                        </w:pPr>
                        <w:r>
                          <w:rPr>
                            <w:rFonts w:ascii="Calibri"/>
                            <w:color w:val="585858"/>
                            <w:spacing w:val="-2"/>
                            <w:sz w:val="18"/>
                          </w:rPr>
                          <w:t>500000</w:t>
                        </w:r>
                      </w:p>
                      <w:p>
                        <w:pPr>
                          <w:spacing w:line="240" w:lineRule="auto" w:before="22"/>
                          <w:rPr>
                            <w:rFonts w:ascii="Calibri"/>
                            <w:sz w:val="18"/>
                          </w:rPr>
                        </w:pPr>
                      </w:p>
                      <w:p>
                        <w:pPr>
                          <w:spacing w:line="216" w:lineRule="exact" w:before="0"/>
                          <w:ind w:left="0" w:right="18" w:firstLine="0"/>
                          <w:jc w:val="right"/>
                          <w:rPr>
                            <w:rFonts w:ascii="Calibri"/>
                            <w:sz w:val="18"/>
                          </w:rPr>
                        </w:pPr>
                        <w:r>
                          <w:rPr>
                            <w:rFonts w:ascii="Calibri"/>
                            <w:color w:val="585858"/>
                            <w:spacing w:val="-10"/>
                            <w:sz w:val="18"/>
                          </w:rPr>
                          <w:t>0</w:t>
                        </w:r>
                      </w:p>
                    </w:txbxContent>
                  </v:textbox>
                  <w10:wrap type="none"/>
                </v:shape>
                <v:shape style="position:absolute;left:7553;top:4203;width:2374;height:519" type="#_x0000_t202" id="docshape164" filled="false" stroked="false">
                  <v:textbox inset="0,0,0,0">
                    <w:txbxContent>
                      <w:p>
                        <w:pPr>
                          <w:spacing w:line="184" w:lineRule="exact" w:before="0"/>
                          <w:ind w:left="0" w:right="0" w:firstLine="0"/>
                          <w:jc w:val="left"/>
                          <w:rPr>
                            <w:rFonts w:ascii="Calibri"/>
                            <w:sz w:val="18"/>
                          </w:rPr>
                        </w:pPr>
                        <w:r>
                          <w:rPr>
                            <w:rFonts w:ascii="Calibri"/>
                            <w:color w:val="585858"/>
                            <w:sz w:val="18"/>
                          </w:rPr>
                          <w:t>Sum</w:t>
                        </w:r>
                        <w:r>
                          <w:rPr>
                            <w:rFonts w:ascii="Calibri"/>
                            <w:color w:val="585858"/>
                            <w:spacing w:val="-2"/>
                            <w:sz w:val="18"/>
                          </w:rPr>
                          <w:t> </w:t>
                        </w:r>
                        <w:r>
                          <w:rPr>
                            <w:rFonts w:ascii="Calibri"/>
                            <w:color w:val="585858"/>
                            <w:sz w:val="18"/>
                          </w:rPr>
                          <w:t>of</w:t>
                        </w:r>
                        <w:r>
                          <w:rPr>
                            <w:rFonts w:ascii="Calibri"/>
                            <w:color w:val="585858"/>
                            <w:spacing w:val="-2"/>
                            <w:sz w:val="18"/>
                          </w:rPr>
                          <w:t> </w:t>
                        </w:r>
                        <w:r>
                          <w:rPr>
                            <w:rFonts w:ascii="Calibri"/>
                            <w:color w:val="585858"/>
                            <w:sz w:val="18"/>
                          </w:rPr>
                          <w:t>Total</w:t>
                        </w:r>
                        <w:r>
                          <w:rPr>
                            <w:rFonts w:ascii="Calibri"/>
                            <w:color w:val="585858"/>
                            <w:spacing w:val="-4"/>
                            <w:sz w:val="18"/>
                          </w:rPr>
                          <w:t> </w:t>
                        </w:r>
                        <w:r>
                          <w:rPr>
                            <w:rFonts w:ascii="Calibri"/>
                            <w:color w:val="585858"/>
                            <w:sz w:val="18"/>
                          </w:rPr>
                          <w:t>Round</w:t>
                        </w:r>
                        <w:r>
                          <w:rPr>
                            <w:rFonts w:ascii="Calibri"/>
                            <w:color w:val="585858"/>
                            <w:spacing w:val="-4"/>
                            <w:sz w:val="18"/>
                          </w:rPr>
                          <w:t> </w:t>
                        </w:r>
                        <w:r>
                          <w:rPr>
                            <w:rFonts w:ascii="Calibri"/>
                            <w:color w:val="585858"/>
                            <w:sz w:val="18"/>
                          </w:rPr>
                          <w:t>Value</w:t>
                        </w:r>
                        <w:r>
                          <w:rPr>
                            <w:rFonts w:ascii="Calibri"/>
                            <w:color w:val="585858"/>
                            <w:spacing w:val="-2"/>
                            <w:sz w:val="18"/>
                          </w:rPr>
                          <w:t> </w:t>
                        </w:r>
                        <w:r>
                          <w:rPr>
                            <w:rFonts w:ascii="Calibri"/>
                            <w:color w:val="585858"/>
                            <w:spacing w:val="-4"/>
                            <w:sz w:val="18"/>
                          </w:rPr>
                          <w:t>(USD)</w:t>
                        </w:r>
                      </w:p>
                      <w:p>
                        <w:pPr>
                          <w:spacing w:line="216" w:lineRule="exact" w:before="118"/>
                          <w:ind w:left="0" w:right="0" w:firstLine="0"/>
                          <w:jc w:val="left"/>
                          <w:rPr>
                            <w:rFonts w:ascii="Calibri"/>
                            <w:sz w:val="18"/>
                          </w:rPr>
                        </w:pPr>
                        <w:r>
                          <w:rPr>
                            <w:rFonts w:ascii="Calibri"/>
                            <w:color w:val="585858"/>
                            <w:sz w:val="18"/>
                          </w:rPr>
                          <w:t>Sum</w:t>
                        </w:r>
                        <w:r>
                          <w:rPr>
                            <w:rFonts w:ascii="Calibri"/>
                            <w:color w:val="585858"/>
                            <w:spacing w:val="-4"/>
                            <w:sz w:val="18"/>
                          </w:rPr>
                          <w:t> </w:t>
                        </w:r>
                        <w:r>
                          <w:rPr>
                            <w:rFonts w:ascii="Calibri"/>
                            <w:color w:val="585858"/>
                            <w:sz w:val="18"/>
                          </w:rPr>
                          <w:t>of</w:t>
                        </w:r>
                        <w:r>
                          <w:rPr>
                            <w:rFonts w:ascii="Calibri"/>
                            <w:color w:val="585858"/>
                            <w:spacing w:val="-2"/>
                            <w:sz w:val="18"/>
                          </w:rPr>
                          <w:t> </w:t>
                        </w:r>
                        <w:r>
                          <w:rPr>
                            <w:rFonts w:ascii="Calibri"/>
                            <w:color w:val="585858"/>
                            <w:sz w:val="18"/>
                          </w:rPr>
                          <w:t>Invested </w:t>
                        </w:r>
                        <w:r>
                          <w:rPr>
                            <w:rFonts w:ascii="Calibri"/>
                            <w:color w:val="585858"/>
                            <w:spacing w:val="-4"/>
                            <w:sz w:val="18"/>
                          </w:rPr>
                          <w:t>Year</w:t>
                        </w:r>
                      </w:p>
                    </w:txbxContent>
                  </v:textbox>
                  <w10:wrap type="none"/>
                </v:shape>
                <v:shape style="position:absolute;left:4836;top:7322;width:486;height:180" type="#_x0000_t202" id="docshape165" filled="false" stroked="false">
                  <v:textbox inset="0,0,0,0">
                    <w:txbxContent>
                      <w:p>
                        <w:pPr>
                          <w:spacing w:line="180" w:lineRule="exact" w:before="0"/>
                          <w:ind w:left="0" w:right="0" w:firstLine="0"/>
                          <w:jc w:val="left"/>
                          <w:rPr>
                            <w:rFonts w:ascii="Calibri"/>
                            <w:sz w:val="18"/>
                          </w:rPr>
                        </w:pPr>
                        <w:r>
                          <w:rPr>
                            <w:rFonts w:ascii="Calibri"/>
                            <w:color w:val="585858"/>
                            <w:spacing w:val="-2"/>
                            <w:sz w:val="18"/>
                          </w:rPr>
                          <w:t>Sector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6320">
                <wp:simplePos x="0" y="0"/>
                <wp:positionH relativeFrom="page">
                  <wp:posOffset>1329562</wp:posOffset>
                </wp:positionH>
                <wp:positionV relativeFrom="paragraph">
                  <wp:posOffset>1668944</wp:posOffset>
                </wp:positionV>
                <wp:extent cx="139700" cy="57023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39700" cy="570230"/>
                        </a:xfrm>
                        <a:prstGeom prst="rect">
                          <a:avLst/>
                        </a:prstGeom>
                      </wps:spPr>
                      <wps:txbx>
                        <w:txbxContent>
                          <w:p>
                            <w:pPr>
                              <w:spacing w:line="203" w:lineRule="exact" w:before="0"/>
                              <w:ind w:left="20" w:right="0" w:firstLine="0"/>
                              <w:jc w:val="left"/>
                              <w:rPr>
                                <w:rFonts w:ascii="Calibri"/>
                                <w:sz w:val="18"/>
                              </w:rPr>
                            </w:pPr>
                            <w:r>
                              <w:rPr>
                                <w:rFonts w:ascii="Calibri"/>
                                <w:color w:val="585858"/>
                                <w:sz w:val="18"/>
                              </w:rPr>
                              <w:t>USD</w:t>
                            </w:r>
                            <w:r>
                              <w:rPr>
                                <w:rFonts w:ascii="Calibri"/>
                                <w:color w:val="585858"/>
                                <w:spacing w:val="-2"/>
                                <w:sz w:val="18"/>
                              </w:rPr>
                              <w:t> Million</w:t>
                            </w:r>
                          </w:p>
                        </w:txbxContent>
                      </wps:txbx>
                      <wps:bodyPr wrap="square" lIns="0" tIns="0" rIns="0" bIns="0" rtlCol="0" vert="vert270">
                        <a:noAutofit/>
                      </wps:bodyPr>
                    </wps:wsp>
                  </a:graphicData>
                </a:graphic>
              </wp:anchor>
            </w:drawing>
          </mc:Choice>
          <mc:Fallback>
            <w:pict>
              <v:shape style="position:absolute;margin-left:104.689995pt;margin-top:131.412933pt;width:11pt;height:44.9pt;mso-position-horizontal-relative:page;mso-position-vertical-relative:paragraph;z-index:15736320" type="#_x0000_t202" id="docshape166"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color w:val="585858"/>
                          <w:sz w:val="18"/>
                        </w:rPr>
                        <w:t>USD</w:t>
                      </w:r>
                      <w:r>
                        <w:rPr>
                          <w:rFonts w:ascii="Calibri"/>
                          <w:color w:val="585858"/>
                          <w:spacing w:val="-2"/>
                          <w:sz w:val="18"/>
                        </w:rPr>
                        <w:t> Million</w:t>
                      </w:r>
                    </w:p>
                  </w:txbxContent>
                </v:textbox>
                <w10:wrap type="none"/>
              </v:shape>
            </w:pict>
          </mc:Fallback>
        </mc:AlternateContent>
      </w:r>
      <w:bookmarkStart w:name="_bookmark47" w:id="48"/>
      <w:bookmarkEnd w:id="48"/>
      <w:r>
        <w:rPr>
          <w:b w:val="0"/>
        </w:rPr>
      </w:r>
      <w:r>
        <w:rPr/>
        <w:t>Sector</w:t>
      </w:r>
      <w:r>
        <w:rPr>
          <w:spacing w:val="-8"/>
        </w:rPr>
        <w:t> </w:t>
      </w:r>
      <w:r>
        <w:rPr/>
        <w:t>Share</w:t>
      </w:r>
      <w:r>
        <w:rPr>
          <w:spacing w:val="-3"/>
        </w:rPr>
        <w:t> </w:t>
      </w:r>
      <w:r>
        <w:rPr/>
        <w:t>Over</w:t>
      </w:r>
      <w:r>
        <w:rPr>
          <w:spacing w:val="-12"/>
        </w:rPr>
        <w:t> </w:t>
      </w:r>
      <w:r>
        <w:rPr>
          <w:spacing w:val="-4"/>
        </w:rPr>
        <w:t>Time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1"/>
        <w:rPr>
          <w:b/>
        </w:rPr>
      </w:pPr>
    </w:p>
    <w:p>
      <w:pPr>
        <w:spacing w:before="1"/>
        <w:ind w:left="4" w:right="4" w:firstLine="0"/>
        <w:jc w:val="center"/>
        <w:rPr>
          <w:i/>
          <w:sz w:val="18"/>
        </w:rPr>
      </w:pPr>
      <w:r>
        <w:rPr>
          <w:i/>
          <w:sz w:val="18"/>
        </w:rPr>
        <mc:AlternateContent>
          <mc:Choice Requires="wps">
            <w:drawing>
              <wp:anchor distT="0" distB="0" distL="0" distR="0" allowOverlap="1" layoutInCell="1" locked="0" behindDoc="0" simplePos="0" relativeHeight="15736832">
                <wp:simplePos x="0" y="0"/>
                <wp:positionH relativeFrom="page">
                  <wp:posOffset>2047620</wp:posOffset>
                </wp:positionH>
                <wp:positionV relativeFrom="paragraph">
                  <wp:posOffset>-2171126</wp:posOffset>
                </wp:positionV>
                <wp:extent cx="2359025" cy="163385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2359025" cy="1633855"/>
                        </a:xfrm>
                        <a:prstGeom prst="rect">
                          <a:avLst/>
                        </a:prstGeom>
                      </wps:spPr>
                      <wps:txbx>
                        <w:txbxContent>
                          <w:p>
                            <w:pPr>
                              <w:spacing w:line="203" w:lineRule="exact" w:before="0"/>
                              <w:ind w:left="0" w:right="143" w:firstLine="0"/>
                              <w:jc w:val="right"/>
                              <w:rPr>
                                <w:rFonts w:ascii="Calibri"/>
                                <w:sz w:val="18"/>
                              </w:rPr>
                            </w:pPr>
                            <w:r>
                              <w:rPr>
                                <w:rFonts w:ascii="Calibri"/>
                                <w:color w:val="585858"/>
                                <w:sz w:val="18"/>
                              </w:rPr>
                              <w:t>Academic</w:t>
                            </w:r>
                            <w:r>
                              <w:rPr>
                                <w:rFonts w:ascii="Calibri"/>
                                <w:color w:val="585858"/>
                                <w:spacing w:val="-3"/>
                                <w:sz w:val="18"/>
                              </w:rPr>
                              <w:t> </w:t>
                            </w:r>
                            <w:r>
                              <w:rPr>
                                <w:rFonts w:ascii="Calibri"/>
                                <w:color w:val="585858"/>
                                <w:sz w:val="18"/>
                              </w:rPr>
                              <w:t>&amp;</w:t>
                            </w:r>
                            <w:r>
                              <w:rPr>
                                <w:rFonts w:ascii="Calibri"/>
                                <w:color w:val="585858"/>
                                <w:spacing w:val="-3"/>
                                <w:sz w:val="18"/>
                              </w:rPr>
                              <w:t> </w:t>
                            </w:r>
                            <w:r>
                              <w:rPr>
                                <w:rFonts w:ascii="Calibri"/>
                                <w:color w:val="585858"/>
                                <w:sz w:val="18"/>
                              </w:rPr>
                              <w:t>Educational</w:t>
                            </w:r>
                            <w:r>
                              <w:rPr>
                                <w:rFonts w:ascii="Calibri"/>
                                <w:color w:val="585858"/>
                                <w:spacing w:val="-2"/>
                                <w:sz w:val="18"/>
                              </w:rPr>
                              <w:t> Services</w:t>
                            </w:r>
                          </w:p>
                          <w:p>
                            <w:pPr>
                              <w:spacing w:line="319" w:lineRule="auto" w:before="71"/>
                              <w:ind w:left="670" w:right="141" w:firstLine="653"/>
                              <w:jc w:val="right"/>
                              <w:rPr>
                                <w:rFonts w:ascii="Calibri"/>
                                <w:sz w:val="18"/>
                              </w:rPr>
                            </w:pPr>
                            <w:r>
                              <w:rPr>
                                <w:rFonts w:ascii="Calibri"/>
                                <w:color w:val="585858"/>
                                <w:sz w:val="18"/>
                              </w:rPr>
                              <w:t>Basic</w:t>
                            </w:r>
                            <w:r>
                              <w:rPr>
                                <w:rFonts w:ascii="Calibri"/>
                                <w:color w:val="585858"/>
                                <w:spacing w:val="-11"/>
                                <w:sz w:val="18"/>
                              </w:rPr>
                              <w:t> </w:t>
                            </w:r>
                            <w:r>
                              <w:rPr>
                                <w:rFonts w:ascii="Calibri"/>
                                <w:color w:val="585858"/>
                                <w:sz w:val="18"/>
                              </w:rPr>
                              <w:t>Materials Consumer Cyclicals Consumer</w:t>
                            </w:r>
                            <w:r>
                              <w:rPr>
                                <w:rFonts w:ascii="Calibri"/>
                                <w:color w:val="585858"/>
                                <w:spacing w:val="-5"/>
                                <w:sz w:val="18"/>
                              </w:rPr>
                              <w:t> </w:t>
                            </w:r>
                            <w:r>
                              <w:rPr>
                                <w:rFonts w:ascii="Calibri"/>
                                <w:color w:val="585858"/>
                                <w:sz w:val="18"/>
                              </w:rPr>
                              <w:t>Non-</w:t>
                            </w:r>
                            <w:r>
                              <w:rPr>
                                <w:rFonts w:ascii="Calibri"/>
                                <w:color w:val="585858"/>
                                <w:spacing w:val="-2"/>
                                <w:sz w:val="18"/>
                              </w:rPr>
                              <w:t>Cyclicals</w:t>
                            </w:r>
                          </w:p>
                          <w:p>
                            <w:pPr>
                              <w:spacing w:line="316" w:lineRule="auto" w:before="0"/>
                              <w:ind w:left="916" w:right="142" w:firstLine="1010"/>
                              <w:jc w:val="right"/>
                              <w:rPr>
                                <w:rFonts w:ascii="Calibri"/>
                                <w:sz w:val="18"/>
                              </w:rPr>
                            </w:pPr>
                            <w:r>
                              <w:rPr>
                                <w:rFonts w:ascii="Calibri"/>
                                <w:color w:val="585858"/>
                                <w:spacing w:val="-2"/>
                                <w:sz w:val="18"/>
                              </w:rPr>
                              <w:t>Energy</w:t>
                            </w:r>
                            <w:r>
                              <w:rPr>
                                <w:rFonts w:ascii="Calibri"/>
                                <w:color w:val="585858"/>
                                <w:sz w:val="18"/>
                              </w:rPr>
                              <w:t> </w:t>
                            </w:r>
                            <w:r>
                              <w:rPr>
                                <w:rFonts w:ascii="Calibri"/>
                                <w:color w:val="585858"/>
                                <w:spacing w:val="-2"/>
                                <w:sz w:val="18"/>
                              </w:rPr>
                              <w:t>Financials</w:t>
                            </w:r>
                            <w:r>
                              <w:rPr>
                                <w:rFonts w:ascii="Calibri"/>
                                <w:color w:val="585858"/>
                                <w:sz w:val="18"/>
                              </w:rPr>
                              <w:t> Government</w:t>
                            </w:r>
                            <w:r>
                              <w:rPr>
                                <w:rFonts w:ascii="Calibri"/>
                                <w:color w:val="585858"/>
                                <w:spacing w:val="-5"/>
                                <w:sz w:val="18"/>
                              </w:rPr>
                              <w:t> </w:t>
                            </w:r>
                            <w:r>
                              <w:rPr>
                                <w:rFonts w:ascii="Calibri"/>
                                <w:color w:val="585858"/>
                                <w:spacing w:val="-2"/>
                                <w:sz w:val="18"/>
                              </w:rPr>
                              <w:t>Activity</w:t>
                            </w:r>
                          </w:p>
                          <w:p>
                            <w:pPr>
                              <w:spacing w:line="319" w:lineRule="auto" w:before="1"/>
                              <w:ind w:left="1666" w:right="141" w:hanging="37"/>
                              <w:jc w:val="right"/>
                              <w:rPr>
                                <w:rFonts w:ascii="Calibri"/>
                                <w:sz w:val="18"/>
                              </w:rPr>
                            </w:pPr>
                            <w:r>
                              <w:rPr>
                                <w:rFonts w:ascii="Calibri"/>
                                <w:color w:val="585858"/>
                                <w:spacing w:val="-2"/>
                                <w:sz w:val="18"/>
                              </w:rPr>
                              <w:t>Healthcare</w:t>
                            </w:r>
                            <w:r>
                              <w:rPr>
                                <w:rFonts w:ascii="Calibri"/>
                                <w:color w:val="585858"/>
                                <w:sz w:val="18"/>
                              </w:rPr>
                              <w:t> </w:t>
                            </w:r>
                            <w:r>
                              <w:rPr>
                                <w:rFonts w:ascii="Calibri"/>
                                <w:color w:val="585858"/>
                                <w:spacing w:val="-2"/>
                                <w:sz w:val="18"/>
                              </w:rPr>
                              <w:t>Industrials</w:t>
                            </w:r>
                          </w:p>
                          <w:p>
                            <w:pPr>
                              <w:spacing w:line="217" w:lineRule="exact" w:before="0"/>
                              <w:ind w:left="446" w:right="0" w:firstLine="0"/>
                              <w:jc w:val="left"/>
                              <w:rPr>
                                <w:rFonts w:ascii="Calibri" w:hAnsi="Calibri"/>
                                <w:sz w:val="18"/>
                              </w:rPr>
                            </w:pPr>
                            <w:r>
                              <w:rPr>
                                <w:rFonts w:ascii="Calibri" w:hAnsi="Calibri"/>
                                <w:color w:val="585858"/>
                                <w:sz w:val="18"/>
                              </w:rPr>
                              <w:t>Institutions,</w:t>
                            </w:r>
                            <w:r>
                              <w:rPr>
                                <w:rFonts w:ascii="Calibri" w:hAnsi="Calibri"/>
                                <w:color w:val="585858"/>
                                <w:spacing w:val="-6"/>
                                <w:sz w:val="18"/>
                              </w:rPr>
                              <w:t> </w:t>
                            </w:r>
                            <w:r>
                              <w:rPr>
                                <w:rFonts w:ascii="Calibri" w:hAnsi="Calibri"/>
                                <w:color w:val="585858"/>
                                <w:sz w:val="18"/>
                              </w:rPr>
                              <w:t>Associations</w:t>
                            </w:r>
                            <w:r>
                              <w:rPr>
                                <w:rFonts w:ascii="Calibri" w:hAnsi="Calibri"/>
                                <w:color w:val="585858"/>
                                <w:spacing w:val="-6"/>
                                <w:sz w:val="18"/>
                              </w:rPr>
                              <w:t> </w:t>
                            </w:r>
                            <w:r>
                              <w:rPr>
                                <w:rFonts w:ascii="Calibri" w:hAnsi="Calibri"/>
                                <w:color w:val="585858"/>
                                <w:spacing w:val="-5"/>
                                <w:sz w:val="18"/>
                              </w:rPr>
                              <w:t>&amp;…</w:t>
                            </w:r>
                          </w:p>
                          <w:p>
                            <w:pPr>
                              <w:spacing w:line="319" w:lineRule="auto" w:before="71"/>
                              <w:ind w:left="1588" w:right="142" w:firstLine="29"/>
                              <w:jc w:val="right"/>
                              <w:rPr>
                                <w:rFonts w:ascii="Calibri"/>
                                <w:sz w:val="18"/>
                              </w:rPr>
                            </w:pPr>
                            <w:r>
                              <w:rPr>
                                <w:rFonts w:ascii="Calibri"/>
                                <w:color w:val="585858"/>
                                <w:sz w:val="18"/>
                              </w:rPr>
                              <w:t>Real</w:t>
                            </w:r>
                            <w:r>
                              <w:rPr>
                                <w:rFonts w:ascii="Calibri"/>
                                <w:color w:val="585858"/>
                                <w:spacing w:val="-11"/>
                                <w:sz w:val="18"/>
                              </w:rPr>
                              <w:t> </w:t>
                            </w:r>
                            <w:r>
                              <w:rPr>
                                <w:rFonts w:ascii="Calibri"/>
                                <w:color w:val="585858"/>
                                <w:sz w:val="18"/>
                              </w:rPr>
                              <w:t>Estate </w:t>
                            </w:r>
                            <w:r>
                              <w:rPr>
                                <w:rFonts w:ascii="Calibri"/>
                                <w:color w:val="585858"/>
                                <w:spacing w:val="-2"/>
                                <w:sz w:val="18"/>
                              </w:rPr>
                              <w:t>Technology</w:t>
                            </w:r>
                          </w:p>
                          <w:p>
                            <w:pPr>
                              <w:spacing w:line="218" w:lineRule="exact" w:before="0"/>
                              <w:ind w:left="0" w:right="142" w:firstLine="0"/>
                              <w:jc w:val="right"/>
                              <w:rPr>
                                <w:rFonts w:ascii="Calibri"/>
                                <w:sz w:val="18"/>
                              </w:rPr>
                            </w:pPr>
                            <w:r>
                              <w:rPr>
                                <w:rFonts w:ascii="Calibri"/>
                                <w:color w:val="585858"/>
                                <w:spacing w:val="-2"/>
                                <w:sz w:val="18"/>
                              </w:rPr>
                              <w:t>Utilities</w:t>
                            </w:r>
                          </w:p>
                        </w:txbxContent>
                      </wps:txbx>
                      <wps:bodyPr wrap="square" lIns="0" tIns="0" rIns="0" bIns="0" rtlCol="0" vert="vert270">
                        <a:noAutofit/>
                      </wps:bodyPr>
                    </wps:wsp>
                  </a:graphicData>
                </a:graphic>
              </wp:anchor>
            </w:drawing>
          </mc:Choice>
          <mc:Fallback>
            <w:pict>
              <v:shape style="position:absolute;margin-left:161.229996pt;margin-top:-170.954803pt;width:185.75pt;height:128.65pt;mso-position-horizontal-relative:page;mso-position-vertical-relative:paragraph;z-index:15736832" type="#_x0000_t202" id="docshape167" filled="false" stroked="false">
                <v:textbox inset="0,0,0,0" style="layout-flow:vertical;mso-layout-flow-alt:bottom-to-top">
                  <w:txbxContent>
                    <w:p>
                      <w:pPr>
                        <w:spacing w:line="203" w:lineRule="exact" w:before="0"/>
                        <w:ind w:left="0" w:right="143" w:firstLine="0"/>
                        <w:jc w:val="right"/>
                        <w:rPr>
                          <w:rFonts w:ascii="Calibri"/>
                          <w:sz w:val="18"/>
                        </w:rPr>
                      </w:pPr>
                      <w:r>
                        <w:rPr>
                          <w:rFonts w:ascii="Calibri"/>
                          <w:color w:val="585858"/>
                          <w:sz w:val="18"/>
                        </w:rPr>
                        <w:t>Academic</w:t>
                      </w:r>
                      <w:r>
                        <w:rPr>
                          <w:rFonts w:ascii="Calibri"/>
                          <w:color w:val="585858"/>
                          <w:spacing w:val="-3"/>
                          <w:sz w:val="18"/>
                        </w:rPr>
                        <w:t> </w:t>
                      </w:r>
                      <w:r>
                        <w:rPr>
                          <w:rFonts w:ascii="Calibri"/>
                          <w:color w:val="585858"/>
                          <w:sz w:val="18"/>
                        </w:rPr>
                        <w:t>&amp;</w:t>
                      </w:r>
                      <w:r>
                        <w:rPr>
                          <w:rFonts w:ascii="Calibri"/>
                          <w:color w:val="585858"/>
                          <w:spacing w:val="-3"/>
                          <w:sz w:val="18"/>
                        </w:rPr>
                        <w:t> </w:t>
                      </w:r>
                      <w:r>
                        <w:rPr>
                          <w:rFonts w:ascii="Calibri"/>
                          <w:color w:val="585858"/>
                          <w:sz w:val="18"/>
                        </w:rPr>
                        <w:t>Educational</w:t>
                      </w:r>
                      <w:r>
                        <w:rPr>
                          <w:rFonts w:ascii="Calibri"/>
                          <w:color w:val="585858"/>
                          <w:spacing w:val="-2"/>
                          <w:sz w:val="18"/>
                        </w:rPr>
                        <w:t> Services</w:t>
                      </w:r>
                    </w:p>
                    <w:p>
                      <w:pPr>
                        <w:spacing w:line="319" w:lineRule="auto" w:before="71"/>
                        <w:ind w:left="670" w:right="141" w:firstLine="653"/>
                        <w:jc w:val="right"/>
                        <w:rPr>
                          <w:rFonts w:ascii="Calibri"/>
                          <w:sz w:val="18"/>
                        </w:rPr>
                      </w:pPr>
                      <w:r>
                        <w:rPr>
                          <w:rFonts w:ascii="Calibri"/>
                          <w:color w:val="585858"/>
                          <w:sz w:val="18"/>
                        </w:rPr>
                        <w:t>Basic</w:t>
                      </w:r>
                      <w:r>
                        <w:rPr>
                          <w:rFonts w:ascii="Calibri"/>
                          <w:color w:val="585858"/>
                          <w:spacing w:val="-11"/>
                          <w:sz w:val="18"/>
                        </w:rPr>
                        <w:t> </w:t>
                      </w:r>
                      <w:r>
                        <w:rPr>
                          <w:rFonts w:ascii="Calibri"/>
                          <w:color w:val="585858"/>
                          <w:sz w:val="18"/>
                        </w:rPr>
                        <w:t>Materials Consumer Cyclicals Consumer</w:t>
                      </w:r>
                      <w:r>
                        <w:rPr>
                          <w:rFonts w:ascii="Calibri"/>
                          <w:color w:val="585858"/>
                          <w:spacing w:val="-5"/>
                          <w:sz w:val="18"/>
                        </w:rPr>
                        <w:t> </w:t>
                      </w:r>
                      <w:r>
                        <w:rPr>
                          <w:rFonts w:ascii="Calibri"/>
                          <w:color w:val="585858"/>
                          <w:sz w:val="18"/>
                        </w:rPr>
                        <w:t>Non-</w:t>
                      </w:r>
                      <w:r>
                        <w:rPr>
                          <w:rFonts w:ascii="Calibri"/>
                          <w:color w:val="585858"/>
                          <w:spacing w:val="-2"/>
                          <w:sz w:val="18"/>
                        </w:rPr>
                        <w:t>Cyclicals</w:t>
                      </w:r>
                    </w:p>
                    <w:p>
                      <w:pPr>
                        <w:spacing w:line="316" w:lineRule="auto" w:before="0"/>
                        <w:ind w:left="916" w:right="142" w:firstLine="1010"/>
                        <w:jc w:val="right"/>
                        <w:rPr>
                          <w:rFonts w:ascii="Calibri"/>
                          <w:sz w:val="18"/>
                        </w:rPr>
                      </w:pPr>
                      <w:r>
                        <w:rPr>
                          <w:rFonts w:ascii="Calibri"/>
                          <w:color w:val="585858"/>
                          <w:spacing w:val="-2"/>
                          <w:sz w:val="18"/>
                        </w:rPr>
                        <w:t>Energy</w:t>
                      </w:r>
                      <w:r>
                        <w:rPr>
                          <w:rFonts w:ascii="Calibri"/>
                          <w:color w:val="585858"/>
                          <w:sz w:val="18"/>
                        </w:rPr>
                        <w:t> </w:t>
                      </w:r>
                      <w:r>
                        <w:rPr>
                          <w:rFonts w:ascii="Calibri"/>
                          <w:color w:val="585858"/>
                          <w:spacing w:val="-2"/>
                          <w:sz w:val="18"/>
                        </w:rPr>
                        <w:t>Financials</w:t>
                      </w:r>
                      <w:r>
                        <w:rPr>
                          <w:rFonts w:ascii="Calibri"/>
                          <w:color w:val="585858"/>
                          <w:sz w:val="18"/>
                        </w:rPr>
                        <w:t> Government</w:t>
                      </w:r>
                      <w:r>
                        <w:rPr>
                          <w:rFonts w:ascii="Calibri"/>
                          <w:color w:val="585858"/>
                          <w:spacing w:val="-5"/>
                          <w:sz w:val="18"/>
                        </w:rPr>
                        <w:t> </w:t>
                      </w:r>
                      <w:r>
                        <w:rPr>
                          <w:rFonts w:ascii="Calibri"/>
                          <w:color w:val="585858"/>
                          <w:spacing w:val="-2"/>
                          <w:sz w:val="18"/>
                        </w:rPr>
                        <w:t>Activity</w:t>
                      </w:r>
                    </w:p>
                    <w:p>
                      <w:pPr>
                        <w:spacing w:line="319" w:lineRule="auto" w:before="1"/>
                        <w:ind w:left="1666" w:right="141" w:hanging="37"/>
                        <w:jc w:val="right"/>
                        <w:rPr>
                          <w:rFonts w:ascii="Calibri"/>
                          <w:sz w:val="18"/>
                        </w:rPr>
                      </w:pPr>
                      <w:r>
                        <w:rPr>
                          <w:rFonts w:ascii="Calibri"/>
                          <w:color w:val="585858"/>
                          <w:spacing w:val="-2"/>
                          <w:sz w:val="18"/>
                        </w:rPr>
                        <w:t>Healthcare</w:t>
                      </w:r>
                      <w:r>
                        <w:rPr>
                          <w:rFonts w:ascii="Calibri"/>
                          <w:color w:val="585858"/>
                          <w:sz w:val="18"/>
                        </w:rPr>
                        <w:t> </w:t>
                      </w:r>
                      <w:r>
                        <w:rPr>
                          <w:rFonts w:ascii="Calibri"/>
                          <w:color w:val="585858"/>
                          <w:spacing w:val="-2"/>
                          <w:sz w:val="18"/>
                        </w:rPr>
                        <w:t>Industrials</w:t>
                      </w:r>
                    </w:p>
                    <w:p>
                      <w:pPr>
                        <w:spacing w:line="217" w:lineRule="exact" w:before="0"/>
                        <w:ind w:left="446" w:right="0" w:firstLine="0"/>
                        <w:jc w:val="left"/>
                        <w:rPr>
                          <w:rFonts w:ascii="Calibri" w:hAnsi="Calibri"/>
                          <w:sz w:val="18"/>
                        </w:rPr>
                      </w:pPr>
                      <w:r>
                        <w:rPr>
                          <w:rFonts w:ascii="Calibri" w:hAnsi="Calibri"/>
                          <w:color w:val="585858"/>
                          <w:sz w:val="18"/>
                        </w:rPr>
                        <w:t>Institutions,</w:t>
                      </w:r>
                      <w:r>
                        <w:rPr>
                          <w:rFonts w:ascii="Calibri" w:hAnsi="Calibri"/>
                          <w:color w:val="585858"/>
                          <w:spacing w:val="-6"/>
                          <w:sz w:val="18"/>
                        </w:rPr>
                        <w:t> </w:t>
                      </w:r>
                      <w:r>
                        <w:rPr>
                          <w:rFonts w:ascii="Calibri" w:hAnsi="Calibri"/>
                          <w:color w:val="585858"/>
                          <w:sz w:val="18"/>
                        </w:rPr>
                        <w:t>Associations</w:t>
                      </w:r>
                      <w:r>
                        <w:rPr>
                          <w:rFonts w:ascii="Calibri" w:hAnsi="Calibri"/>
                          <w:color w:val="585858"/>
                          <w:spacing w:val="-6"/>
                          <w:sz w:val="18"/>
                        </w:rPr>
                        <w:t> </w:t>
                      </w:r>
                      <w:r>
                        <w:rPr>
                          <w:rFonts w:ascii="Calibri" w:hAnsi="Calibri"/>
                          <w:color w:val="585858"/>
                          <w:spacing w:val="-5"/>
                          <w:sz w:val="18"/>
                        </w:rPr>
                        <w:t>&amp;…</w:t>
                      </w:r>
                    </w:p>
                    <w:p>
                      <w:pPr>
                        <w:spacing w:line="319" w:lineRule="auto" w:before="71"/>
                        <w:ind w:left="1588" w:right="142" w:firstLine="29"/>
                        <w:jc w:val="right"/>
                        <w:rPr>
                          <w:rFonts w:ascii="Calibri"/>
                          <w:sz w:val="18"/>
                        </w:rPr>
                      </w:pPr>
                      <w:r>
                        <w:rPr>
                          <w:rFonts w:ascii="Calibri"/>
                          <w:color w:val="585858"/>
                          <w:sz w:val="18"/>
                        </w:rPr>
                        <w:t>Real</w:t>
                      </w:r>
                      <w:r>
                        <w:rPr>
                          <w:rFonts w:ascii="Calibri"/>
                          <w:color w:val="585858"/>
                          <w:spacing w:val="-11"/>
                          <w:sz w:val="18"/>
                        </w:rPr>
                        <w:t> </w:t>
                      </w:r>
                      <w:r>
                        <w:rPr>
                          <w:rFonts w:ascii="Calibri"/>
                          <w:color w:val="585858"/>
                          <w:sz w:val="18"/>
                        </w:rPr>
                        <w:t>Estate </w:t>
                      </w:r>
                      <w:r>
                        <w:rPr>
                          <w:rFonts w:ascii="Calibri"/>
                          <w:color w:val="585858"/>
                          <w:spacing w:val="-2"/>
                          <w:sz w:val="18"/>
                        </w:rPr>
                        <w:t>Technology</w:t>
                      </w:r>
                    </w:p>
                    <w:p>
                      <w:pPr>
                        <w:spacing w:line="218" w:lineRule="exact" w:before="0"/>
                        <w:ind w:left="0" w:right="142" w:firstLine="0"/>
                        <w:jc w:val="right"/>
                        <w:rPr>
                          <w:rFonts w:ascii="Calibri"/>
                          <w:sz w:val="18"/>
                        </w:rPr>
                      </w:pPr>
                      <w:r>
                        <w:rPr>
                          <w:rFonts w:ascii="Calibri"/>
                          <w:color w:val="585858"/>
                          <w:spacing w:val="-2"/>
                          <w:sz w:val="18"/>
                        </w:rPr>
                        <w:t>Utilities</w:t>
                      </w:r>
                    </w:p>
                  </w:txbxContent>
                </v:textbox>
                <w10:wrap type="none"/>
              </v:shape>
            </w:pict>
          </mc:Fallback>
        </mc:AlternateContent>
      </w:r>
      <w:r>
        <w:rPr>
          <w:i/>
          <w:color w:val="44536A"/>
          <w:sz w:val="18"/>
        </w:rPr>
        <w:t>Figure</w:t>
      </w:r>
      <w:r>
        <w:rPr>
          <w:i/>
          <w:color w:val="44536A"/>
          <w:spacing w:val="-4"/>
          <w:sz w:val="18"/>
        </w:rPr>
        <w:t> </w:t>
      </w:r>
      <w:r>
        <w:rPr>
          <w:i/>
          <w:color w:val="44536A"/>
          <w:sz w:val="18"/>
        </w:rPr>
        <w:t>7:</w:t>
      </w:r>
      <w:r>
        <w:rPr>
          <w:i/>
          <w:color w:val="44536A"/>
          <w:spacing w:val="-4"/>
          <w:sz w:val="18"/>
        </w:rPr>
        <w:t> </w:t>
      </w:r>
      <w:r>
        <w:rPr>
          <w:i/>
          <w:color w:val="44536A"/>
          <w:sz w:val="18"/>
        </w:rPr>
        <w:t>Sector</w:t>
      </w:r>
      <w:r>
        <w:rPr>
          <w:i/>
          <w:color w:val="44536A"/>
          <w:spacing w:val="-4"/>
          <w:sz w:val="18"/>
        </w:rPr>
        <w:t> Share</w:t>
      </w:r>
    </w:p>
    <w:p>
      <w:pPr>
        <w:pStyle w:val="BodyText"/>
        <w:spacing w:line="360" w:lineRule="auto" w:before="197"/>
        <w:ind w:left="23" w:right="18"/>
        <w:jc w:val="both"/>
      </w:pPr>
      <w:r>
        <w:rPr/>
        <w:t>The sectoral breakdown of total capital invested during the 2005-2024 period reveals a clear </w:t>
      </w:r>
      <w:r>
        <w:rPr>
          <w:spacing w:val="-2"/>
        </w:rPr>
        <w:t>concentration of resources in high-growth sectors that are</w:t>
      </w:r>
      <w:r>
        <w:rPr>
          <w:spacing w:val="-3"/>
        </w:rPr>
        <w:t> </w:t>
      </w:r>
      <w:r>
        <w:rPr>
          <w:spacing w:val="-2"/>
        </w:rPr>
        <w:t>innovation-driven.</w:t>
      </w:r>
      <w:r>
        <w:rPr>
          <w:spacing w:val="-7"/>
        </w:rPr>
        <w:t> </w:t>
      </w:r>
      <w:r>
        <w:rPr>
          <w:spacing w:val="-2"/>
        </w:rPr>
        <w:t>Technology heads </w:t>
      </w:r>
      <w:r>
        <w:rPr/>
        <w:t>with</w:t>
      </w:r>
      <w:r>
        <w:rPr>
          <w:spacing w:val="-7"/>
        </w:rPr>
        <w:t> </w:t>
      </w:r>
      <w:r>
        <w:rPr/>
        <w:t>USD</w:t>
      </w:r>
      <w:r>
        <w:rPr>
          <w:spacing w:val="-7"/>
        </w:rPr>
        <w:t> </w:t>
      </w:r>
      <w:r>
        <w:rPr/>
        <w:t>66.9</w:t>
      </w:r>
      <w:r>
        <w:rPr>
          <w:spacing w:val="-7"/>
        </w:rPr>
        <w:t> </w:t>
      </w:r>
      <w:r>
        <w:rPr/>
        <w:t>billion,</w:t>
      </w:r>
      <w:r>
        <w:rPr>
          <w:spacing w:val="-7"/>
        </w:rPr>
        <w:t> </w:t>
      </w:r>
      <w:r>
        <w:rPr/>
        <w:t>which</w:t>
      </w:r>
      <w:r>
        <w:rPr>
          <w:spacing w:val="-8"/>
        </w:rPr>
        <w:t> </w:t>
      </w:r>
      <w:r>
        <w:rPr/>
        <w:t>is</w:t>
      </w:r>
      <w:r>
        <w:rPr>
          <w:spacing w:val="-7"/>
        </w:rPr>
        <w:t> </w:t>
      </w:r>
      <w:r>
        <w:rPr/>
        <w:t>about</w:t>
      </w:r>
      <w:r>
        <w:rPr>
          <w:spacing w:val="-7"/>
        </w:rPr>
        <w:t> </w:t>
      </w:r>
      <w:r>
        <w:rPr/>
        <w:t>40%</w:t>
      </w:r>
      <w:r>
        <w:rPr>
          <w:spacing w:val="-8"/>
        </w:rPr>
        <w:t> </w:t>
      </w:r>
      <w:r>
        <w:rPr/>
        <w:t>of</w:t>
      </w:r>
      <w:r>
        <w:rPr>
          <w:spacing w:val="-6"/>
        </w:rPr>
        <w:t> </w:t>
      </w:r>
      <w:r>
        <w:rPr/>
        <w:t>all</w:t>
      </w:r>
      <w:r>
        <w:rPr>
          <w:spacing w:val="-4"/>
        </w:rPr>
        <w:t> </w:t>
      </w:r>
      <w:r>
        <w:rPr/>
        <w:t>recorded</w:t>
      </w:r>
      <w:r>
        <w:rPr>
          <w:spacing w:val="-5"/>
        </w:rPr>
        <w:t> </w:t>
      </w:r>
      <w:r>
        <w:rPr/>
        <w:t>investments</w:t>
      </w:r>
      <w:r>
        <w:rPr>
          <w:spacing w:val="-7"/>
        </w:rPr>
        <w:t> </w:t>
      </w:r>
      <w:r>
        <w:rPr/>
        <w:t>followed</w:t>
      </w:r>
      <w:r>
        <w:rPr>
          <w:spacing w:val="-7"/>
        </w:rPr>
        <w:t> </w:t>
      </w:r>
      <w:r>
        <w:rPr/>
        <w:t>by</w:t>
      </w:r>
      <w:r>
        <w:rPr>
          <w:spacing w:val="-7"/>
        </w:rPr>
        <w:t> </w:t>
      </w:r>
      <w:r>
        <w:rPr/>
        <w:t>Consumer Cyclicals</w:t>
      </w:r>
      <w:r>
        <w:rPr>
          <w:spacing w:val="-4"/>
        </w:rPr>
        <w:t> </w:t>
      </w:r>
      <w:r>
        <w:rPr/>
        <w:t>(USD</w:t>
      </w:r>
      <w:r>
        <w:rPr>
          <w:spacing w:val="-3"/>
        </w:rPr>
        <w:t> </w:t>
      </w:r>
      <w:r>
        <w:rPr/>
        <w:t>27.0</w:t>
      </w:r>
      <w:r>
        <w:rPr>
          <w:spacing w:val="-5"/>
        </w:rPr>
        <w:t> </w:t>
      </w:r>
      <w:r>
        <w:rPr/>
        <w:t>billion)</w:t>
      </w:r>
      <w:r>
        <w:rPr>
          <w:spacing w:val="-6"/>
        </w:rPr>
        <w:t> </w:t>
      </w:r>
      <w:r>
        <w:rPr/>
        <w:t>and</w:t>
      </w:r>
      <w:r>
        <w:rPr>
          <w:spacing w:val="-3"/>
        </w:rPr>
        <w:t> </w:t>
      </w:r>
      <w:r>
        <w:rPr/>
        <w:t>Financials</w:t>
      </w:r>
      <w:r>
        <w:rPr>
          <w:spacing w:val="-3"/>
        </w:rPr>
        <w:t> </w:t>
      </w:r>
      <w:r>
        <w:rPr/>
        <w:t>(USD</w:t>
      </w:r>
      <w:r>
        <w:rPr>
          <w:spacing w:val="-3"/>
        </w:rPr>
        <w:t> </w:t>
      </w:r>
      <w:r>
        <w:rPr/>
        <w:t>20.0</w:t>
      </w:r>
      <w:r>
        <w:rPr>
          <w:spacing w:val="-5"/>
        </w:rPr>
        <w:t> </w:t>
      </w:r>
      <w:r>
        <w:rPr/>
        <w:t>billion).</w:t>
      </w:r>
      <w:r>
        <w:rPr>
          <w:spacing w:val="-8"/>
        </w:rPr>
        <w:t> </w:t>
      </w:r>
      <w:r>
        <w:rPr/>
        <w:t>These</w:t>
      </w:r>
      <w:r>
        <w:rPr>
          <w:spacing w:val="-6"/>
        </w:rPr>
        <w:t> </w:t>
      </w:r>
      <w:r>
        <w:rPr/>
        <w:t>three</w:t>
      </w:r>
      <w:r>
        <w:rPr>
          <w:spacing w:val="-4"/>
        </w:rPr>
        <w:t> </w:t>
      </w:r>
      <w:r>
        <w:rPr/>
        <w:t>sectors</w:t>
      </w:r>
      <w:r>
        <w:rPr>
          <w:spacing w:val="-3"/>
        </w:rPr>
        <w:t> </w:t>
      </w:r>
      <w:r>
        <w:rPr/>
        <w:t>combined represent more than two-thirds of all investment value, signifying a rather focused rather than broadly-based investment landscape. Traditional sectors including Industrials (USD 16.2 billion) and Healthcare (USD 9.0 billion) illustrate moderate involvement and Real Estate (USD 5.3 billion), Basic Materials (USD 2.9 billion) and Energy (USD 0.6 billion) attract significantly</w:t>
      </w:r>
      <w:r>
        <w:rPr>
          <w:spacing w:val="-4"/>
        </w:rPr>
        <w:t> </w:t>
      </w:r>
      <w:r>
        <w:rPr/>
        <w:t>lower</w:t>
      </w:r>
      <w:r>
        <w:rPr>
          <w:spacing w:val="-4"/>
        </w:rPr>
        <w:t> </w:t>
      </w:r>
      <w:r>
        <w:rPr/>
        <w:t>volumes,</w:t>
      </w:r>
      <w:r>
        <w:rPr>
          <w:spacing w:val="-4"/>
        </w:rPr>
        <w:t> </w:t>
      </w:r>
      <w:r>
        <w:rPr/>
        <w:t>which</w:t>
      </w:r>
      <w:r>
        <w:rPr>
          <w:spacing w:val="-4"/>
        </w:rPr>
        <w:t> </w:t>
      </w:r>
      <w:r>
        <w:rPr/>
        <w:t>reflects</w:t>
      </w:r>
      <w:r>
        <w:rPr>
          <w:spacing w:val="-5"/>
        </w:rPr>
        <w:t> </w:t>
      </w:r>
      <w:r>
        <w:rPr/>
        <w:t>lower</w:t>
      </w:r>
      <w:r>
        <w:rPr>
          <w:spacing w:val="-4"/>
        </w:rPr>
        <w:t> </w:t>
      </w:r>
      <w:r>
        <w:rPr/>
        <w:t>scalability</w:t>
      </w:r>
      <w:r>
        <w:rPr>
          <w:spacing w:val="-4"/>
        </w:rPr>
        <w:t> </w:t>
      </w:r>
      <w:r>
        <w:rPr/>
        <w:t>potential</w:t>
      </w:r>
      <w:r>
        <w:rPr>
          <w:spacing w:val="-4"/>
        </w:rPr>
        <w:t> </w:t>
      </w:r>
      <w:r>
        <w:rPr/>
        <w:t>and</w:t>
      </w:r>
      <w:r>
        <w:rPr>
          <w:spacing w:val="-7"/>
        </w:rPr>
        <w:t> </w:t>
      </w:r>
      <w:r>
        <w:rPr/>
        <w:t>longer</w:t>
      </w:r>
      <w:r>
        <w:rPr>
          <w:spacing w:val="-6"/>
        </w:rPr>
        <w:t> </w:t>
      </w:r>
      <w:r>
        <w:rPr/>
        <w:t>capital</w:t>
      </w:r>
      <w:r>
        <w:rPr>
          <w:spacing w:val="-4"/>
        </w:rPr>
        <w:t> </w:t>
      </w:r>
      <w:r>
        <w:rPr/>
        <w:t>lock- in cycles.</w:t>
      </w:r>
    </w:p>
    <w:p>
      <w:pPr>
        <w:pStyle w:val="Heading3"/>
        <w:numPr>
          <w:ilvl w:val="2"/>
          <w:numId w:val="5"/>
        </w:numPr>
        <w:tabs>
          <w:tab w:pos="563" w:val="left" w:leader="none"/>
        </w:tabs>
        <w:spacing w:line="240" w:lineRule="auto" w:before="162" w:after="0"/>
        <w:ind w:left="563" w:right="0" w:hanging="540"/>
        <w:jc w:val="both"/>
      </w:pPr>
      <w:bookmarkStart w:name="_bookmark48" w:id="49"/>
      <w:bookmarkEnd w:id="49"/>
      <w:r>
        <w:rPr>
          <w:b w:val="0"/>
        </w:rPr>
      </w:r>
      <w:r>
        <w:rPr>
          <w:spacing w:val="-2"/>
        </w:rPr>
        <w:t>Sector</w:t>
      </w:r>
      <w:r>
        <w:rPr>
          <w:spacing w:val="-9"/>
        </w:rPr>
        <w:t> </w:t>
      </w:r>
      <w:r>
        <w:rPr>
          <w:spacing w:val="-2"/>
        </w:rPr>
        <w:t>Attractiveness</w:t>
      </w:r>
    </w:p>
    <w:p>
      <w:pPr>
        <w:pStyle w:val="BodyText"/>
        <w:spacing w:line="360" w:lineRule="auto" w:before="217"/>
        <w:ind w:left="23" w:right="28"/>
        <w:jc w:val="both"/>
      </w:pPr>
      <w:r>
        <w:rPr/>
        <w:t>Sector attractiveness is measured by comparing the frequency of deals and the concentration of</w:t>
      </w:r>
      <w:r>
        <w:rPr>
          <w:spacing w:val="10"/>
        </w:rPr>
        <w:t> </w:t>
      </w:r>
      <w:r>
        <w:rPr/>
        <w:t>capital</w:t>
      </w:r>
      <w:r>
        <w:rPr>
          <w:spacing w:val="13"/>
        </w:rPr>
        <w:t> </w:t>
      </w:r>
      <w:r>
        <w:rPr/>
        <w:t>in</w:t>
      </w:r>
      <w:r>
        <w:rPr>
          <w:spacing w:val="14"/>
        </w:rPr>
        <w:t> </w:t>
      </w:r>
      <w:r>
        <w:rPr/>
        <w:t>order</w:t>
      </w:r>
      <w:r>
        <w:rPr>
          <w:spacing w:val="12"/>
        </w:rPr>
        <w:t> </w:t>
      </w:r>
      <w:r>
        <w:rPr/>
        <w:t>to</w:t>
      </w:r>
      <w:r>
        <w:rPr>
          <w:spacing w:val="15"/>
        </w:rPr>
        <w:t> </w:t>
      </w:r>
      <w:r>
        <w:rPr/>
        <w:t>identify</w:t>
      </w:r>
      <w:r>
        <w:rPr>
          <w:spacing w:val="13"/>
        </w:rPr>
        <w:t> </w:t>
      </w:r>
      <w:r>
        <w:rPr/>
        <w:t>industries</w:t>
      </w:r>
      <w:r>
        <w:rPr>
          <w:spacing w:val="13"/>
        </w:rPr>
        <w:t> </w:t>
      </w:r>
      <w:r>
        <w:rPr/>
        <w:t>considered</w:t>
      </w:r>
      <w:r>
        <w:rPr>
          <w:spacing w:val="14"/>
        </w:rPr>
        <w:t> </w:t>
      </w:r>
      <w:r>
        <w:rPr/>
        <w:t>to</w:t>
      </w:r>
      <w:r>
        <w:rPr>
          <w:spacing w:val="13"/>
        </w:rPr>
        <w:t> </w:t>
      </w:r>
      <w:r>
        <w:rPr/>
        <w:t>be</w:t>
      </w:r>
      <w:r>
        <w:rPr>
          <w:spacing w:val="12"/>
        </w:rPr>
        <w:t> </w:t>
      </w:r>
      <w:r>
        <w:rPr/>
        <w:t>scalable</w:t>
      </w:r>
      <w:r>
        <w:rPr>
          <w:spacing w:val="13"/>
        </w:rPr>
        <w:t> </w:t>
      </w:r>
      <w:r>
        <w:rPr/>
        <w:t>by</w:t>
      </w:r>
      <w:r>
        <w:rPr>
          <w:spacing w:val="13"/>
        </w:rPr>
        <w:t> </w:t>
      </w:r>
      <w:r>
        <w:rPr/>
        <w:t>investors.</w:t>
      </w:r>
      <w:r>
        <w:rPr>
          <w:spacing w:val="9"/>
        </w:rPr>
        <w:t> </w:t>
      </w:r>
      <w:r>
        <w:rPr>
          <w:spacing w:val="-2"/>
        </w:rPr>
        <w:t>Technology's</w:t>
      </w:r>
    </w:p>
    <w:p>
      <w:pPr>
        <w:pStyle w:val="BodyText"/>
        <w:spacing w:after="0" w:line="360" w:lineRule="auto"/>
        <w:jc w:val="both"/>
        <w:sectPr>
          <w:pgSz w:w="11910" w:h="16840"/>
          <w:pgMar w:header="0" w:footer="1009" w:top="1360" w:bottom="1280" w:left="1417" w:right="1417"/>
        </w:sectPr>
      </w:pPr>
    </w:p>
    <w:p>
      <w:pPr>
        <w:pStyle w:val="BodyText"/>
        <w:spacing w:line="360" w:lineRule="auto" w:before="61"/>
        <w:ind w:left="23" w:right="18"/>
        <w:jc w:val="both"/>
      </w:pPr>
      <w:r>
        <w:rPr/>
        <w:t>leadership is a function of scalable digital business models, reduced marginal cost of growth and</w:t>
      </w:r>
      <w:r>
        <w:rPr>
          <w:spacing w:val="-11"/>
        </w:rPr>
        <w:t> </w:t>
      </w:r>
      <w:r>
        <w:rPr/>
        <w:t>compressed</w:t>
      </w:r>
      <w:r>
        <w:rPr>
          <w:spacing w:val="-11"/>
        </w:rPr>
        <w:t> </w:t>
      </w:r>
      <w:r>
        <w:rPr/>
        <w:t>value</w:t>
      </w:r>
      <w:r>
        <w:rPr>
          <w:spacing w:val="-11"/>
        </w:rPr>
        <w:t> </w:t>
      </w:r>
      <w:r>
        <w:rPr/>
        <w:t>capture</w:t>
      </w:r>
      <w:r>
        <w:rPr>
          <w:spacing w:val="-12"/>
        </w:rPr>
        <w:t> </w:t>
      </w:r>
      <w:r>
        <w:rPr/>
        <w:t>horizons.</w:t>
      </w:r>
      <w:r>
        <w:rPr>
          <w:spacing w:val="-15"/>
        </w:rPr>
        <w:t> </w:t>
      </w:r>
      <w:r>
        <w:rPr/>
        <w:t>The</w:t>
      </w:r>
      <w:r>
        <w:rPr>
          <w:spacing w:val="-12"/>
        </w:rPr>
        <w:t> </w:t>
      </w:r>
      <w:r>
        <w:rPr/>
        <w:t>high</w:t>
      </w:r>
      <w:r>
        <w:rPr>
          <w:spacing w:val="-10"/>
        </w:rPr>
        <w:t> </w:t>
      </w:r>
      <w:r>
        <w:rPr/>
        <w:t>number</w:t>
      </w:r>
      <w:r>
        <w:rPr>
          <w:spacing w:val="-12"/>
        </w:rPr>
        <w:t> </w:t>
      </w:r>
      <w:r>
        <w:rPr/>
        <w:t>of</w:t>
      </w:r>
      <w:r>
        <w:rPr>
          <w:spacing w:val="-11"/>
        </w:rPr>
        <w:t> </w:t>
      </w:r>
      <w:r>
        <w:rPr/>
        <w:t>repeat</w:t>
      </w:r>
      <w:r>
        <w:rPr>
          <w:spacing w:val="-10"/>
        </w:rPr>
        <w:t> </w:t>
      </w:r>
      <w:r>
        <w:rPr/>
        <w:t>rounds</w:t>
      </w:r>
      <w:r>
        <w:rPr>
          <w:spacing w:val="-10"/>
        </w:rPr>
        <w:t> </w:t>
      </w:r>
      <w:r>
        <w:rPr/>
        <w:t>in</w:t>
      </w:r>
      <w:r>
        <w:rPr>
          <w:spacing w:val="-11"/>
        </w:rPr>
        <w:t> </w:t>
      </w:r>
      <w:r>
        <w:rPr/>
        <w:t>SaaS,</w:t>
      </w:r>
      <w:r>
        <w:rPr>
          <w:spacing w:val="-11"/>
        </w:rPr>
        <w:t> </w:t>
      </w:r>
      <w:r>
        <w:rPr/>
        <w:t>fintech</w:t>
      </w:r>
      <w:r>
        <w:rPr>
          <w:spacing w:val="-11"/>
        </w:rPr>
        <w:t> </w:t>
      </w:r>
      <w:r>
        <w:rPr/>
        <w:t>and consumer-tech</w:t>
      </w:r>
      <w:r>
        <w:rPr>
          <w:spacing w:val="-15"/>
        </w:rPr>
        <w:t> </w:t>
      </w:r>
      <w:r>
        <w:rPr/>
        <w:t>is</w:t>
      </w:r>
      <w:r>
        <w:rPr>
          <w:spacing w:val="-15"/>
        </w:rPr>
        <w:t> </w:t>
      </w:r>
      <w:r>
        <w:rPr/>
        <w:t>a</w:t>
      </w:r>
      <w:r>
        <w:rPr>
          <w:spacing w:val="-15"/>
        </w:rPr>
        <w:t> </w:t>
      </w:r>
      <w:r>
        <w:rPr/>
        <w:t>sign</w:t>
      </w:r>
      <w:r>
        <w:rPr>
          <w:spacing w:val="-15"/>
        </w:rPr>
        <w:t> </w:t>
      </w:r>
      <w:r>
        <w:rPr/>
        <w:t>of</w:t>
      </w:r>
      <w:r>
        <w:rPr>
          <w:spacing w:val="-15"/>
        </w:rPr>
        <w:t> </w:t>
      </w:r>
      <w:r>
        <w:rPr/>
        <w:t>investor</w:t>
      </w:r>
      <w:r>
        <w:rPr>
          <w:spacing w:val="-15"/>
        </w:rPr>
        <w:t> </w:t>
      </w:r>
      <w:r>
        <w:rPr/>
        <w:t>confidence</w:t>
      </w:r>
      <w:r>
        <w:rPr>
          <w:spacing w:val="-15"/>
        </w:rPr>
        <w:t> </w:t>
      </w:r>
      <w:r>
        <w:rPr/>
        <w:t>in</w:t>
      </w:r>
      <w:r>
        <w:rPr>
          <w:spacing w:val="-15"/>
        </w:rPr>
        <w:t> </w:t>
      </w:r>
      <w:r>
        <w:rPr/>
        <w:t>iterative</w:t>
      </w:r>
      <w:r>
        <w:rPr>
          <w:spacing w:val="-15"/>
        </w:rPr>
        <w:t> </w:t>
      </w:r>
      <w:r>
        <w:rPr/>
        <w:t>funding</w:t>
      </w:r>
      <w:r>
        <w:rPr>
          <w:spacing w:val="-15"/>
        </w:rPr>
        <w:t> </w:t>
      </w:r>
      <w:r>
        <w:rPr/>
        <w:t>models.</w:t>
      </w:r>
      <w:r>
        <w:rPr>
          <w:spacing w:val="-15"/>
        </w:rPr>
        <w:t> </w:t>
      </w:r>
      <w:r>
        <w:rPr/>
        <w:t>Consumer</w:t>
      </w:r>
      <w:r>
        <w:rPr>
          <w:spacing w:val="-15"/>
        </w:rPr>
        <w:t> </w:t>
      </w:r>
      <w:r>
        <w:rPr/>
        <w:t>Cyclicals and Financials are beneficiaries of India's growing middle-class base of demand and digital financial inclusion schemes, creating stable downstream investment opportunities. These sectors serve as demand proxy sectors, providing an avenue for diversified investment theses across retail, payments, education technology and logistics.</w:t>
      </w:r>
    </w:p>
    <w:p>
      <w:pPr>
        <w:pStyle w:val="BodyText"/>
        <w:spacing w:line="360" w:lineRule="auto" w:before="160"/>
        <w:ind w:left="23" w:right="20"/>
        <w:jc w:val="both"/>
      </w:pPr>
      <w:r>
        <w:rPr/>
        <w:t>Moderate</w:t>
      </w:r>
      <w:r>
        <w:rPr>
          <w:spacing w:val="-14"/>
        </w:rPr>
        <w:t> </w:t>
      </w:r>
      <w:r>
        <w:rPr/>
        <w:t>Attractiveness in Healthcare</w:t>
      </w:r>
      <w:r>
        <w:rPr>
          <w:spacing w:val="-1"/>
        </w:rPr>
        <w:t> </w:t>
      </w:r>
      <w:r>
        <w:rPr/>
        <w:t>and Industrials - Reflects resiliency and infrastructure- linked growth. Healthcare investment is affected by private hospital chain consolidation and diagnostics expansion, while in industrials, manufacturing incentives and supply chain localisation are beneficial. In contrast, Real Estate, Utilities and Energy have low attractiveness, probably because of long payback periods, cycles of regulations and high working capital dependencies.</w:t>
      </w:r>
    </w:p>
    <w:p>
      <w:pPr>
        <w:pStyle w:val="Heading3"/>
        <w:numPr>
          <w:ilvl w:val="2"/>
          <w:numId w:val="5"/>
        </w:numPr>
        <w:tabs>
          <w:tab w:pos="563" w:val="left" w:leader="none"/>
        </w:tabs>
        <w:spacing w:line="240" w:lineRule="auto" w:before="161" w:after="0"/>
        <w:ind w:left="563" w:right="0" w:hanging="540"/>
        <w:jc w:val="both"/>
      </w:pPr>
      <w:bookmarkStart w:name="_bookmark49" w:id="50"/>
      <w:bookmarkEnd w:id="50"/>
      <w:r>
        <w:rPr>
          <w:b w:val="0"/>
        </w:rPr>
      </w:r>
      <w:r>
        <w:rPr/>
        <w:t>Interpretation</w:t>
      </w:r>
      <w:r>
        <w:rPr>
          <w:spacing w:val="-3"/>
        </w:rPr>
        <w:t> </w:t>
      </w:r>
      <w:r>
        <w:rPr/>
        <w:t>and</w:t>
      </w:r>
      <w:r>
        <w:rPr>
          <w:spacing w:val="-5"/>
        </w:rPr>
        <w:t> </w:t>
      </w:r>
      <w:r>
        <w:rPr/>
        <w:t>Link</w:t>
      </w:r>
      <w:r>
        <w:rPr>
          <w:spacing w:val="-4"/>
        </w:rPr>
        <w:t> </w:t>
      </w:r>
      <w:r>
        <w:rPr/>
        <w:t>to</w:t>
      </w:r>
      <w:r>
        <w:rPr>
          <w:spacing w:val="-3"/>
        </w:rPr>
        <w:t> </w:t>
      </w:r>
      <w:r>
        <w:rPr>
          <w:spacing w:val="-2"/>
        </w:rPr>
        <w:t>Literature</w:t>
      </w:r>
    </w:p>
    <w:p>
      <w:pPr>
        <w:pStyle w:val="BodyText"/>
        <w:spacing w:line="360" w:lineRule="auto" w:before="217"/>
        <w:ind w:left="23" w:right="21"/>
        <w:jc w:val="both"/>
      </w:pPr>
      <w:r>
        <w:rPr/>
        <w:t>The sectoral concentration we observe is consistent with the arguments in the private equity literature of the past decade, which maintains that PE capital flows to industries that provide asymmetric</w:t>
      </w:r>
      <w:r>
        <w:rPr>
          <w:spacing w:val="-8"/>
        </w:rPr>
        <w:t> </w:t>
      </w:r>
      <w:r>
        <w:rPr/>
        <w:t>growth</w:t>
      </w:r>
      <w:r>
        <w:rPr>
          <w:spacing w:val="-7"/>
        </w:rPr>
        <w:t> </w:t>
      </w:r>
      <w:r>
        <w:rPr/>
        <w:t>potential,</w:t>
      </w:r>
      <w:r>
        <w:rPr>
          <w:spacing w:val="-7"/>
        </w:rPr>
        <w:t> </w:t>
      </w:r>
      <w:r>
        <w:rPr/>
        <w:t>information</w:t>
      </w:r>
      <w:r>
        <w:rPr>
          <w:spacing w:val="-7"/>
        </w:rPr>
        <w:t> </w:t>
      </w:r>
      <w:r>
        <w:rPr/>
        <w:t>transparency,</w:t>
      </w:r>
      <w:r>
        <w:rPr>
          <w:spacing w:val="-7"/>
        </w:rPr>
        <w:t> </w:t>
      </w:r>
      <w:r>
        <w:rPr/>
        <w:t>and</w:t>
      </w:r>
      <w:r>
        <w:rPr>
          <w:spacing w:val="-5"/>
        </w:rPr>
        <w:t> </w:t>
      </w:r>
      <w:r>
        <w:rPr/>
        <w:t>exit</w:t>
      </w:r>
      <w:r>
        <w:rPr>
          <w:spacing w:val="-7"/>
        </w:rPr>
        <w:t> </w:t>
      </w:r>
      <w:r>
        <w:rPr/>
        <w:t>optionality.</w:t>
      </w:r>
      <w:r>
        <w:rPr>
          <w:spacing w:val="-11"/>
        </w:rPr>
        <w:t> </w:t>
      </w:r>
      <w:r>
        <w:rPr/>
        <w:t>Technology's</w:t>
      </w:r>
      <w:r>
        <w:rPr>
          <w:spacing w:val="-7"/>
        </w:rPr>
        <w:t> </w:t>
      </w:r>
      <w:r>
        <w:rPr/>
        <w:t>top ranking is a reflection of the theoretical linkage between innovation-led environments and accelerated equity value capture, identified in empirical studies on emerging market PE </w:t>
      </w:r>
      <w:r>
        <w:rPr>
          <w:spacing w:val="-2"/>
        </w:rPr>
        <w:t>behavior.</w:t>
      </w:r>
    </w:p>
    <w:p>
      <w:pPr>
        <w:pStyle w:val="BodyText"/>
        <w:spacing w:line="360" w:lineRule="auto" w:before="161"/>
        <w:ind w:left="23" w:right="21"/>
        <w:jc w:val="both"/>
      </w:pPr>
      <w:r>
        <w:rPr/>
        <w:t>From an institutional point of view, sectoral moves after 2016 are associated with regulatory scaffolding that minimizes transaction uncertainty - most notably IBC reforms which brought improved investability to distressed industrial assets and expanded the universe of buyouts. However, low capital routing into Real Estate, Energy and Basic Materials is consistent with literature pointing out the low exit elasticity of asset-heavy sectors in developing markets. Overall, the sectoral allocation patterns support the notion that India's PE ecosystem has reached a selective maturity phase, optimizing for scalability, governance compatibility and exit feasibility, rather than a broad diversification.</w:t>
      </w:r>
    </w:p>
    <w:p>
      <w:pPr>
        <w:pStyle w:val="BodyText"/>
        <w:spacing w:after="0" w:line="360" w:lineRule="auto"/>
        <w:jc w:val="both"/>
        <w:sectPr>
          <w:pgSz w:w="11910" w:h="16840"/>
          <w:pgMar w:header="0" w:footer="1009" w:top="1360" w:bottom="1200" w:left="1417" w:right="1417"/>
        </w:sectPr>
      </w:pPr>
    </w:p>
    <w:p>
      <w:pPr>
        <w:pStyle w:val="Heading2"/>
        <w:numPr>
          <w:ilvl w:val="1"/>
          <w:numId w:val="5"/>
        </w:numPr>
        <w:tabs>
          <w:tab w:pos="411" w:val="left" w:leader="none"/>
        </w:tabs>
        <w:spacing w:line="240" w:lineRule="auto" w:before="61" w:after="0"/>
        <w:ind w:left="411" w:right="0" w:hanging="388"/>
        <w:jc w:val="left"/>
      </w:pPr>
      <w:r>
        <w:rPr/>
        <mc:AlternateContent>
          <mc:Choice Requires="wps">
            <w:drawing>
              <wp:anchor distT="0" distB="0" distL="0" distR="0" allowOverlap="1" layoutInCell="1" locked="0" behindDoc="0" simplePos="0" relativeHeight="15737344">
                <wp:simplePos x="0" y="0"/>
                <wp:positionH relativeFrom="page">
                  <wp:posOffset>1365567</wp:posOffset>
                </wp:positionH>
                <wp:positionV relativeFrom="paragraph">
                  <wp:posOffset>369887</wp:posOffset>
                </wp:positionV>
                <wp:extent cx="4829175" cy="3762375"/>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4829175" cy="3762375"/>
                          <a:chExt cx="4829175" cy="3762375"/>
                        </a:xfrm>
                      </wpg:grpSpPr>
                      <wps:wsp>
                        <wps:cNvPr id="177" name="Graphic 177"/>
                        <wps:cNvSpPr/>
                        <wps:spPr>
                          <a:xfrm>
                            <a:off x="838644" y="475805"/>
                            <a:ext cx="2339975" cy="1682750"/>
                          </a:xfrm>
                          <a:custGeom>
                            <a:avLst/>
                            <a:gdLst/>
                            <a:ahLst/>
                            <a:cxnLst/>
                            <a:rect l="l" t="t" r="r" b="b"/>
                            <a:pathLst>
                              <a:path w="2339975" h="1682750">
                                <a:moveTo>
                                  <a:pt x="0" y="1401699"/>
                                </a:moveTo>
                                <a:lnTo>
                                  <a:pt x="2339466" y="1401699"/>
                                </a:lnTo>
                              </a:path>
                              <a:path w="2339975" h="1682750">
                                <a:moveTo>
                                  <a:pt x="0" y="1121282"/>
                                </a:moveTo>
                                <a:lnTo>
                                  <a:pt x="2339466" y="1121282"/>
                                </a:lnTo>
                              </a:path>
                              <a:path w="2339975" h="1682750">
                                <a:moveTo>
                                  <a:pt x="0" y="840866"/>
                                </a:moveTo>
                                <a:lnTo>
                                  <a:pt x="2339466" y="840866"/>
                                </a:lnTo>
                              </a:path>
                              <a:path w="2339975" h="1682750">
                                <a:moveTo>
                                  <a:pt x="0" y="560451"/>
                                </a:moveTo>
                                <a:lnTo>
                                  <a:pt x="2339466" y="560451"/>
                                </a:lnTo>
                              </a:path>
                              <a:path w="2339975" h="1682750">
                                <a:moveTo>
                                  <a:pt x="0" y="280034"/>
                                </a:moveTo>
                                <a:lnTo>
                                  <a:pt x="2339466" y="280034"/>
                                </a:lnTo>
                              </a:path>
                              <a:path w="2339975" h="1682750">
                                <a:moveTo>
                                  <a:pt x="0" y="0"/>
                                </a:moveTo>
                                <a:lnTo>
                                  <a:pt x="2339466" y="0"/>
                                </a:lnTo>
                              </a:path>
                              <a:path w="2339975" h="1682750">
                                <a:moveTo>
                                  <a:pt x="0" y="1682623"/>
                                </a:moveTo>
                                <a:lnTo>
                                  <a:pt x="2339466" y="1682623"/>
                                </a:lnTo>
                              </a:path>
                            </a:pathLst>
                          </a:custGeom>
                          <a:ln w="9525">
                            <a:solidFill>
                              <a:srgbClr val="D9D9D9"/>
                            </a:solidFill>
                            <a:prstDash val="solid"/>
                          </a:ln>
                        </wps:spPr>
                        <wps:bodyPr wrap="square" lIns="0" tIns="0" rIns="0" bIns="0" rtlCol="0">
                          <a:prstTxWarp prst="textNoShape">
                            <a:avLst/>
                          </a:prstTxWarp>
                          <a:noAutofit/>
                        </wps:bodyPr>
                      </wps:wsp>
                      <wps:wsp>
                        <wps:cNvPr id="178" name="Graphic 178"/>
                        <wps:cNvSpPr/>
                        <wps:spPr>
                          <a:xfrm>
                            <a:off x="911796" y="679640"/>
                            <a:ext cx="2193290" cy="1478915"/>
                          </a:xfrm>
                          <a:custGeom>
                            <a:avLst/>
                            <a:gdLst/>
                            <a:ahLst/>
                            <a:cxnLst/>
                            <a:rect l="l" t="t" r="r" b="b"/>
                            <a:pathLst>
                              <a:path w="2193290" h="1478915">
                                <a:moveTo>
                                  <a:pt x="0" y="0"/>
                                </a:moveTo>
                                <a:lnTo>
                                  <a:pt x="145796" y="1371600"/>
                                </a:lnTo>
                                <a:lnTo>
                                  <a:pt x="292100" y="1478788"/>
                                </a:lnTo>
                                <a:lnTo>
                                  <a:pt x="438404" y="1478788"/>
                                </a:lnTo>
                                <a:lnTo>
                                  <a:pt x="584708" y="1277112"/>
                                </a:lnTo>
                                <a:lnTo>
                                  <a:pt x="731012" y="1478788"/>
                                </a:lnTo>
                                <a:lnTo>
                                  <a:pt x="877316" y="1476755"/>
                                </a:lnTo>
                                <a:lnTo>
                                  <a:pt x="1023620" y="1478788"/>
                                </a:lnTo>
                                <a:lnTo>
                                  <a:pt x="1169924" y="1478279"/>
                                </a:lnTo>
                                <a:lnTo>
                                  <a:pt x="1316227" y="1077468"/>
                                </a:lnTo>
                                <a:lnTo>
                                  <a:pt x="1462532" y="1478279"/>
                                </a:lnTo>
                                <a:lnTo>
                                  <a:pt x="1608836" y="1470660"/>
                                </a:lnTo>
                                <a:lnTo>
                                  <a:pt x="1755139" y="1478279"/>
                                </a:lnTo>
                                <a:lnTo>
                                  <a:pt x="1901444" y="1452372"/>
                                </a:lnTo>
                                <a:lnTo>
                                  <a:pt x="2047748" y="1470660"/>
                                </a:lnTo>
                                <a:lnTo>
                                  <a:pt x="2193290" y="1478788"/>
                                </a:lnTo>
                              </a:path>
                            </a:pathLst>
                          </a:custGeom>
                          <a:ln w="28575">
                            <a:solidFill>
                              <a:srgbClr val="4471C4"/>
                            </a:solidFill>
                            <a:prstDash val="solid"/>
                          </a:ln>
                        </wps:spPr>
                        <wps:bodyPr wrap="square" lIns="0" tIns="0" rIns="0" bIns="0" rtlCol="0">
                          <a:prstTxWarp prst="textNoShape">
                            <a:avLst/>
                          </a:prstTxWarp>
                          <a:noAutofit/>
                        </wps:bodyPr>
                      </wps:wsp>
                      <wps:wsp>
                        <wps:cNvPr id="179" name="Graphic 179"/>
                        <wps:cNvSpPr/>
                        <wps:spPr>
                          <a:xfrm>
                            <a:off x="911796" y="1834705"/>
                            <a:ext cx="2193290" cy="323850"/>
                          </a:xfrm>
                          <a:custGeom>
                            <a:avLst/>
                            <a:gdLst/>
                            <a:ahLst/>
                            <a:cxnLst/>
                            <a:rect l="l" t="t" r="r" b="b"/>
                            <a:pathLst>
                              <a:path w="2193290" h="323850">
                                <a:moveTo>
                                  <a:pt x="0" y="83947"/>
                                </a:moveTo>
                                <a:lnTo>
                                  <a:pt x="145796" y="311023"/>
                                </a:lnTo>
                                <a:lnTo>
                                  <a:pt x="292100" y="318642"/>
                                </a:lnTo>
                                <a:lnTo>
                                  <a:pt x="438404" y="0"/>
                                </a:lnTo>
                                <a:lnTo>
                                  <a:pt x="584708" y="288162"/>
                                </a:lnTo>
                                <a:lnTo>
                                  <a:pt x="731012" y="323214"/>
                                </a:lnTo>
                                <a:lnTo>
                                  <a:pt x="877316" y="323214"/>
                                </a:lnTo>
                                <a:lnTo>
                                  <a:pt x="1023620" y="323723"/>
                                </a:lnTo>
                                <a:lnTo>
                                  <a:pt x="1169924" y="312547"/>
                                </a:lnTo>
                                <a:lnTo>
                                  <a:pt x="1316227" y="210438"/>
                                </a:lnTo>
                                <a:lnTo>
                                  <a:pt x="1462532" y="199771"/>
                                </a:lnTo>
                                <a:lnTo>
                                  <a:pt x="1608836" y="280542"/>
                                </a:lnTo>
                                <a:lnTo>
                                  <a:pt x="1755139" y="323214"/>
                                </a:lnTo>
                                <a:lnTo>
                                  <a:pt x="1901444" y="323214"/>
                                </a:lnTo>
                                <a:lnTo>
                                  <a:pt x="2047748" y="312547"/>
                                </a:lnTo>
                                <a:lnTo>
                                  <a:pt x="2193290" y="323214"/>
                                </a:lnTo>
                              </a:path>
                            </a:pathLst>
                          </a:custGeom>
                          <a:ln w="28575">
                            <a:solidFill>
                              <a:srgbClr val="EC7C30"/>
                            </a:solidFill>
                            <a:prstDash val="solid"/>
                          </a:ln>
                        </wps:spPr>
                        <wps:bodyPr wrap="square" lIns="0" tIns="0" rIns="0" bIns="0" rtlCol="0">
                          <a:prstTxWarp prst="textNoShape">
                            <a:avLst/>
                          </a:prstTxWarp>
                          <a:noAutofit/>
                        </wps:bodyPr>
                      </wps:wsp>
                      <wps:wsp>
                        <wps:cNvPr id="180" name="Graphic 180"/>
                        <wps:cNvSpPr/>
                        <wps:spPr>
                          <a:xfrm>
                            <a:off x="3376866" y="1663509"/>
                            <a:ext cx="243840" cy="1270"/>
                          </a:xfrm>
                          <a:custGeom>
                            <a:avLst/>
                            <a:gdLst/>
                            <a:ahLst/>
                            <a:cxnLst/>
                            <a:rect l="l" t="t" r="r" b="b"/>
                            <a:pathLst>
                              <a:path w="243840" h="0">
                                <a:moveTo>
                                  <a:pt x="0" y="0"/>
                                </a:moveTo>
                                <a:lnTo>
                                  <a:pt x="243839" y="0"/>
                                </a:lnTo>
                              </a:path>
                            </a:pathLst>
                          </a:custGeom>
                          <a:ln w="28575">
                            <a:solidFill>
                              <a:srgbClr val="4471C4"/>
                            </a:solidFill>
                            <a:prstDash val="solid"/>
                          </a:ln>
                        </wps:spPr>
                        <wps:bodyPr wrap="square" lIns="0" tIns="0" rIns="0" bIns="0" rtlCol="0">
                          <a:prstTxWarp prst="textNoShape">
                            <a:avLst/>
                          </a:prstTxWarp>
                          <a:noAutofit/>
                        </wps:bodyPr>
                      </wps:wsp>
                      <wps:wsp>
                        <wps:cNvPr id="181" name="Graphic 181"/>
                        <wps:cNvSpPr/>
                        <wps:spPr>
                          <a:xfrm>
                            <a:off x="3376866" y="2154110"/>
                            <a:ext cx="243840" cy="1270"/>
                          </a:xfrm>
                          <a:custGeom>
                            <a:avLst/>
                            <a:gdLst/>
                            <a:ahLst/>
                            <a:cxnLst/>
                            <a:rect l="l" t="t" r="r" b="b"/>
                            <a:pathLst>
                              <a:path w="243840" h="0">
                                <a:moveTo>
                                  <a:pt x="0" y="0"/>
                                </a:moveTo>
                                <a:lnTo>
                                  <a:pt x="243839" y="0"/>
                                </a:lnTo>
                              </a:path>
                            </a:pathLst>
                          </a:custGeom>
                          <a:ln w="28575">
                            <a:solidFill>
                              <a:srgbClr val="EC7C30"/>
                            </a:solidFill>
                            <a:prstDash val="solid"/>
                          </a:ln>
                        </wps:spPr>
                        <wps:bodyPr wrap="square" lIns="0" tIns="0" rIns="0" bIns="0" rtlCol="0">
                          <a:prstTxWarp prst="textNoShape">
                            <a:avLst/>
                          </a:prstTxWarp>
                          <a:noAutofit/>
                        </wps:bodyPr>
                      </wps:wsp>
                      <wps:wsp>
                        <wps:cNvPr id="182" name="Graphic 182"/>
                        <wps:cNvSpPr/>
                        <wps:spPr>
                          <a:xfrm>
                            <a:off x="4762" y="4762"/>
                            <a:ext cx="4819650" cy="3752850"/>
                          </a:xfrm>
                          <a:custGeom>
                            <a:avLst/>
                            <a:gdLst/>
                            <a:ahLst/>
                            <a:cxnLst/>
                            <a:rect l="l" t="t" r="r" b="b"/>
                            <a:pathLst>
                              <a:path w="4819650" h="3752850">
                                <a:moveTo>
                                  <a:pt x="0" y="3752850"/>
                                </a:moveTo>
                                <a:lnTo>
                                  <a:pt x="4819650" y="3752850"/>
                                </a:lnTo>
                                <a:lnTo>
                                  <a:pt x="4819650" y="0"/>
                                </a:lnTo>
                                <a:lnTo>
                                  <a:pt x="0" y="0"/>
                                </a:lnTo>
                                <a:lnTo>
                                  <a:pt x="0" y="3752850"/>
                                </a:lnTo>
                                <a:close/>
                              </a:path>
                            </a:pathLst>
                          </a:custGeom>
                          <a:ln w="9525">
                            <a:solidFill>
                              <a:srgbClr val="D9D9D9"/>
                            </a:solidFill>
                            <a:prstDash val="solid"/>
                          </a:ln>
                        </wps:spPr>
                        <wps:bodyPr wrap="square" lIns="0" tIns="0" rIns="0" bIns="0" rtlCol="0">
                          <a:prstTxWarp prst="textNoShape">
                            <a:avLst/>
                          </a:prstTxWarp>
                          <a:noAutofit/>
                        </wps:bodyPr>
                      </wps:wsp>
                      <wps:wsp>
                        <wps:cNvPr id="183" name="Textbox 183"/>
                        <wps:cNvSpPr txBox="1"/>
                        <wps:spPr>
                          <a:xfrm>
                            <a:off x="1755330" y="135699"/>
                            <a:ext cx="1330960" cy="178435"/>
                          </a:xfrm>
                          <a:prstGeom prst="rect">
                            <a:avLst/>
                          </a:prstGeom>
                        </wps:spPr>
                        <wps:txbx>
                          <w:txbxContent>
                            <w:p>
                              <w:pPr>
                                <w:spacing w:line="281" w:lineRule="exact" w:before="0"/>
                                <w:ind w:left="0" w:right="0" w:firstLine="0"/>
                                <w:jc w:val="left"/>
                                <w:rPr>
                                  <w:rFonts w:ascii="Calibri"/>
                                  <w:sz w:val="28"/>
                                </w:rPr>
                              </w:pPr>
                              <w:r>
                                <w:rPr>
                                  <w:rFonts w:ascii="Calibri"/>
                                  <w:color w:val="585858"/>
                                  <w:spacing w:val="-2"/>
                                  <w:sz w:val="28"/>
                                </w:rPr>
                                <w:t>Investment</w:t>
                              </w:r>
                              <w:r>
                                <w:rPr>
                                  <w:rFonts w:ascii="Calibri"/>
                                  <w:color w:val="585858"/>
                                  <w:spacing w:val="-3"/>
                                  <w:sz w:val="28"/>
                                </w:rPr>
                                <w:t> </w:t>
                              </w:r>
                              <w:r>
                                <w:rPr>
                                  <w:rFonts w:ascii="Calibri"/>
                                  <w:color w:val="585858"/>
                                  <w:spacing w:val="-2"/>
                                  <w:sz w:val="28"/>
                                </w:rPr>
                                <w:t>Stages</w:t>
                              </w:r>
                            </w:p>
                          </w:txbxContent>
                        </wps:txbx>
                        <wps:bodyPr wrap="square" lIns="0" tIns="0" rIns="0" bIns="0" rtlCol="0">
                          <a:noAutofit/>
                        </wps:bodyPr>
                      </wps:wsp>
                      <wps:wsp>
                        <wps:cNvPr id="184" name="Textbox 184"/>
                        <wps:cNvSpPr txBox="1"/>
                        <wps:spPr>
                          <a:xfrm>
                            <a:off x="356806" y="422592"/>
                            <a:ext cx="389890" cy="1517015"/>
                          </a:xfrm>
                          <a:prstGeom prst="rect">
                            <a:avLst/>
                          </a:prstGeom>
                        </wps:spPr>
                        <wps:txbx>
                          <w:txbxContent>
                            <w:p>
                              <w:pPr>
                                <w:spacing w:line="183" w:lineRule="exact" w:before="0"/>
                                <w:ind w:left="0" w:right="0" w:firstLine="0"/>
                                <w:jc w:val="left"/>
                                <w:rPr>
                                  <w:rFonts w:ascii="Calibri"/>
                                  <w:sz w:val="18"/>
                                </w:rPr>
                              </w:pPr>
                              <w:r>
                                <w:rPr>
                                  <w:rFonts w:ascii="Calibri"/>
                                  <w:color w:val="585858"/>
                                  <w:spacing w:val="-2"/>
                                  <w:sz w:val="18"/>
                                </w:rPr>
                                <w:t>300,000</w:t>
                              </w:r>
                            </w:p>
                            <w:p>
                              <w:pPr>
                                <w:spacing w:line="240" w:lineRule="auto" w:before="2"/>
                                <w:rPr>
                                  <w:rFonts w:ascii="Calibri"/>
                                  <w:sz w:val="18"/>
                                </w:rPr>
                              </w:pPr>
                            </w:p>
                            <w:p>
                              <w:pPr>
                                <w:spacing w:before="0"/>
                                <w:ind w:left="0" w:right="0" w:firstLine="0"/>
                                <w:jc w:val="left"/>
                                <w:rPr>
                                  <w:rFonts w:ascii="Calibri"/>
                                  <w:sz w:val="18"/>
                                </w:rPr>
                              </w:pPr>
                              <w:r>
                                <w:rPr>
                                  <w:rFonts w:ascii="Calibri"/>
                                  <w:color w:val="585858"/>
                                  <w:spacing w:val="-2"/>
                                  <w:sz w:val="18"/>
                                </w:rPr>
                                <w:t>250,000</w:t>
                              </w:r>
                            </w:p>
                            <w:p>
                              <w:pPr>
                                <w:spacing w:line="240" w:lineRule="auto" w:before="2"/>
                                <w:rPr>
                                  <w:rFonts w:ascii="Calibri"/>
                                  <w:sz w:val="18"/>
                                </w:rPr>
                              </w:pPr>
                            </w:p>
                            <w:p>
                              <w:pPr>
                                <w:spacing w:before="0"/>
                                <w:ind w:left="0" w:right="0" w:firstLine="0"/>
                                <w:jc w:val="left"/>
                                <w:rPr>
                                  <w:rFonts w:ascii="Calibri"/>
                                  <w:sz w:val="18"/>
                                </w:rPr>
                              </w:pPr>
                              <w:r>
                                <w:rPr>
                                  <w:rFonts w:ascii="Calibri"/>
                                  <w:color w:val="585858"/>
                                  <w:spacing w:val="-2"/>
                                  <w:sz w:val="18"/>
                                </w:rPr>
                                <w:t>200,000</w:t>
                              </w:r>
                            </w:p>
                            <w:p>
                              <w:pPr>
                                <w:spacing w:line="240" w:lineRule="auto" w:before="2"/>
                                <w:rPr>
                                  <w:rFonts w:ascii="Calibri"/>
                                  <w:sz w:val="18"/>
                                </w:rPr>
                              </w:pPr>
                            </w:p>
                            <w:p>
                              <w:pPr>
                                <w:spacing w:before="0"/>
                                <w:ind w:left="0" w:right="0" w:firstLine="0"/>
                                <w:jc w:val="left"/>
                                <w:rPr>
                                  <w:rFonts w:ascii="Calibri"/>
                                  <w:sz w:val="18"/>
                                </w:rPr>
                              </w:pPr>
                              <w:r>
                                <w:rPr>
                                  <w:rFonts w:ascii="Calibri"/>
                                  <w:color w:val="585858"/>
                                  <w:spacing w:val="-2"/>
                                  <w:sz w:val="18"/>
                                </w:rPr>
                                <w:t>150,000</w:t>
                              </w:r>
                            </w:p>
                            <w:p>
                              <w:pPr>
                                <w:spacing w:line="240" w:lineRule="auto" w:before="2"/>
                                <w:rPr>
                                  <w:rFonts w:ascii="Calibri"/>
                                  <w:sz w:val="18"/>
                                </w:rPr>
                              </w:pPr>
                            </w:p>
                            <w:p>
                              <w:pPr>
                                <w:spacing w:before="0"/>
                                <w:ind w:left="0" w:right="0" w:firstLine="0"/>
                                <w:jc w:val="left"/>
                                <w:rPr>
                                  <w:rFonts w:ascii="Calibri"/>
                                  <w:sz w:val="18"/>
                                </w:rPr>
                              </w:pPr>
                              <w:r>
                                <w:rPr>
                                  <w:rFonts w:ascii="Calibri"/>
                                  <w:color w:val="585858"/>
                                  <w:spacing w:val="-2"/>
                                  <w:sz w:val="18"/>
                                </w:rPr>
                                <w:t>100,000</w:t>
                              </w:r>
                            </w:p>
                            <w:p>
                              <w:pPr>
                                <w:spacing w:line="240" w:lineRule="auto" w:before="3"/>
                                <w:rPr>
                                  <w:rFonts w:ascii="Calibri"/>
                                  <w:sz w:val="18"/>
                                </w:rPr>
                              </w:pPr>
                            </w:p>
                            <w:p>
                              <w:pPr>
                                <w:spacing w:line="216" w:lineRule="exact" w:before="0"/>
                                <w:ind w:left="91" w:right="0" w:firstLine="0"/>
                                <w:jc w:val="left"/>
                                <w:rPr>
                                  <w:rFonts w:ascii="Calibri"/>
                                  <w:sz w:val="18"/>
                                </w:rPr>
                              </w:pPr>
                              <w:r>
                                <w:rPr>
                                  <w:rFonts w:ascii="Calibri"/>
                                  <w:color w:val="585858"/>
                                  <w:spacing w:val="-2"/>
                                  <w:sz w:val="18"/>
                                </w:rPr>
                                <w:t>50,000</w:t>
                              </w:r>
                            </w:p>
                          </w:txbxContent>
                        </wps:txbx>
                        <wps:bodyPr wrap="square" lIns="0" tIns="0" rIns="0" bIns="0" rtlCol="0">
                          <a:noAutofit/>
                        </wps:bodyPr>
                      </wps:wsp>
                      <wps:wsp>
                        <wps:cNvPr id="185" name="Textbox 185"/>
                        <wps:cNvSpPr txBox="1"/>
                        <wps:spPr>
                          <a:xfrm>
                            <a:off x="3647503" y="1610423"/>
                            <a:ext cx="860425" cy="254000"/>
                          </a:xfrm>
                          <a:prstGeom prst="rect">
                            <a:avLst/>
                          </a:prstGeom>
                        </wps:spPr>
                        <wps:txbx>
                          <w:txbxContent>
                            <w:p>
                              <w:pPr>
                                <w:spacing w:line="183" w:lineRule="exact" w:before="0"/>
                                <w:ind w:left="0" w:right="0" w:firstLine="0"/>
                                <w:jc w:val="left"/>
                                <w:rPr>
                                  <w:rFonts w:ascii="Calibri"/>
                                  <w:sz w:val="18"/>
                                </w:rPr>
                              </w:pPr>
                              <w:r>
                                <w:rPr>
                                  <w:rFonts w:ascii="Calibri"/>
                                  <w:color w:val="585858"/>
                                  <w:sz w:val="18"/>
                                </w:rPr>
                                <w:t>Sum</w:t>
                              </w:r>
                              <w:r>
                                <w:rPr>
                                  <w:rFonts w:ascii="Calibri"/>
                                  <w:color w:val="585858"/>
                                  <w:spacing w:val="-3"/>
                                  <w:sz w:val="18"/>
                                </w:rPr>
                                <w:t> </w:t>
                              </w:r>
                              <w:r>
                                <w:rPr>
                                  <w:rFonts w:ascii="Calibri"/>
                                  <w:color w:val="585858"/>
                                  <w:sz w:val="18"/>
                                </w:rPr>
                                <w:t>of</w:t>
                              </w:r>
                              <w:r>
                                <w:rPr>
                                  <w:rFonts w:ascii="Calibri"/>
                                  <w:color w:val="585858"/>
                                  <w:spacing w:val="-1"/>
                                  <w:sz w:val="18"/>
                                </w:rPr>
                                <w:t> </w:t>
                              </w:r>
                              <w:r>
                                <w:rPr>
                                  <w:rFonts w:ascii="Calibri"/>
                                  <w:color w:val="585858"/>
                                  <w:sz w:val="18"/>
                                </w:rPr>
                                <w:t>Deal </w:t>
                              </w:r>
                              <w:r>
                                <w:rPr>
                                  <w:rFonts w:ascii="Calibri"/>
                                  <w:color w:val="585858"/>
                                  <w:spacing w:val="-2"/>
                                  <w:sz w:val="18"/>
                                </w:rPr>
                                <w:t>Value</w:t>
                              </w:r>
                            </w:p>
                            <w:p>
                              <w:pPr>
                                <w:spacing w:line="216" w:lineRule="exact" w:before="0"/>
                                <w:ind w:left="0" w:right="0" w:firstLine="0"/>
                                <w:jc w:val="left"/>
                                <w:rPr>
                                  <w:rFonts w:ascii="Calibri"/>
                                  <w:sz w:val="18"/>
                                </w:rPr>
                              </w:pPr>
                              <w:r>
                                <w:rPr>
                                  <w:rFonts w:ascii="Calibri"/>
                                  <w:color w:val="585858"/>
                                  <w:sz w:val="18"/>
                                </w:rPr>
                                <w:t>(USD,</w:t>
                              </w:r>
                              <w:r>
                                <w:rPr>
                                  <w:rFonts w:ascii="Calibri"/>
                                  <w:color w:val="585858"/>
                                  <w:spacing w:val="-3"/>
                                  <w:sz w:val="18"/>
                                </w:rPr>
                                <w:t> </w:t>
                              </w:r>
                              <w:r>
                                <w:rPr>
                                  <w:rFonts w:ascii="Calibri"/>
                                  <w:color w:val="585858"/>
                                  <w:spacing w:val="-2"/>
                                  <w:sz w:val="18"/>
                                </w:rPr>
                                <w:t>Millions)</w:t>
                              </w:r>
                            </w:p>
                          </w:txbxContent>
                        </wps:txbx>
                        <wps:bodyPr wrap="square" lIns="0" tIns="0" rIns="0" bIns="0" rtlCol="0">
                          <a:noAutofit/>
                        </wps:bodyPr>
                      </wps:wsp>
                      <wps:wsp>
                        <wps:cNvPr id="186" name="Textbox 186"/>
                        <wps:cNvSpPr txBox="1"/>
                        <wps:spPr>
                          <a:xfrm>
                            <a:off x="675068" y="2105469"/>
                            <a:ext cx="711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0</w:t>
                              </w:r>
                            </w:p>
                          </w:txbxContent>
                        </wps:txbx>
                        <wps:bodyPr wrap="square" lIns="0" tIns="0" rIns="0" bIns="0" rtlCol="0">
                          <a:noAutofit/>
                        </wps:bodyPr>
                      </wps:wsp>
                      <wps:wsp>
                        <wps:cNvPr id="187" name="Textbox 187"/>
                        <wps:cNvSpPr txBox="1"/>
                        <wps:spPr>
                          <a:xfrm>
                            <a:off x="3647503" y="2101151"/>
                            <a:ext cx="1062355" cy="393700"/>
                          </a:xfrm>
                          <a:prstGeom prst="rect">
                            <a:avLst/>
                          </a:prstGeom>
                        </wps:spPr>
                        <wps:txbx>
                          <w:txbxContent>
                            <w:p>
                              <w:pPr>
                                <w:spacing w:line="183" w:lineRule="exact" w:before="0"/>
                                <w:ind w:left="0" w:right="0" w:firstLine="0"/>
                                <w:jc w:val="left"/>
                                <w:rPr>
                                  <w:rFonts w:ascii="Calibri"/>
                                  <w:sz w:val="18"/>
                                </w:rPr>
                              </w:pPr>
                              <w:r>
                                <w:rPr>
                                  <w:rFonts w:ascii="Calibri"/>
                                  <w:color w:val="585858"/>
                                  <w:sz w:val="18"/>
                                </w:rPr>
                                <w:t>Sum</w:t>
                              </w:r>
                              <w:r>
                                <w:rPr>
                                  <w:rFonts w:ascii="Calibri"/>
                                  <w:color w:val="585858"/>
                                  <w:spacing w:val="-2"/>
                                  <w:sz w:val="18"/>
                                </w:rPr>
                                <w:t> </w:t>
                              </w:r>
                              <w:r>
                                <w:rPr>
                                  <w:rFonts w:ascii="Calibri"/>
                                  <w:color w:val="585858"/>
                                  <w:sz w:val="18"/>
                                </w:rPr>
                                <w:t>of</w:t>
                              </w:r>
                              <w:r>
                                <w:rPr>
                                  <w:rFonts w:ascii="Calibri"/>
                                  <w:color w:val="585858"/>
                                  <w:spacing w:val="-2"/>
                                  <w:sz w:val="18"/>
                                </w:rPr>
                                <w:t> </w:t>
                              </w:r>
                              <w:r>
                                <w:rPr>
                                  <w:rFonts w:ascii="Calibri"/>
                                  <w:color w:val="585858"/>
                                  <w:sz w:val="18"/>
                                </w:rPr>
                                <w:t>Investor</w:t>
                              </w:r>
                              <w:r>
                                <w:rPr>
                                  <w:rFonts w:ascii="Calibri"/>
                                  <w:color w:val="585858"/>
                                  <w:spacing w:val="-1"/>
                                  <w:sz w:val="18"/>
                                </w:rPr>
                                <w:t> </w:t>
                              </w:r>
                              <w:r>
                                <w:rPr>
                                  <w:rFonts w:ascii="Calibri"/>
                                  <w:color w:val="585858"/>
                                  <w:spacing w:val="-2"/>
                                  <w:sz w:val="18"/>
                                </w:rPr>
                                <w:t>Equity</w:t>
                              </w:r>
                            </w:p>
                            <w:p>
                              <w:pPr>
                                <w:spacing w:before="0"/>
                                <w:ind w:left="0" w:right="0" w:firstLine="0"/>
                                <w:jc w:val="left"/>
                                <w:rPr>
                                  <w:rFonts w:ascii="Calibri"/>
                                  <w:sz w:val="18"/>
                                </w:rPr>
                              </w:pPr>
                              <w:r>
                                <w:rPr>
                                  <w:rFonts w:ascii="Calibri"/>
                                  <w:color w:val="585858"/>
                                  <w:spacing w:val="-2"/>
                                  <w:sz w:val="18"/>
                                </w:rPr>
                                <w:t>Total</w:t>
                              </w:r>
                            </w:p>
                            <w:p>
                              <w:pPr>
                                <w:spacing w:line="216" w:lineRule="exact" w:before="0"/>
                                <w:ind w:left="0" w:right="0" w:firstLine="0"/>
                                <w:jc w:val="left"/>
                                <w:rPr>
                                  <w:rFonts w:ascii="Calibri"/>
                                  <w:sz w:val="18"/>
                                </w:rPr>
                              </w:pPr>
                              <w:r>
                                <w:rPr>
                                  <w:rFonts w:ascii="Calibri"/>
                                  <w:color w:val="585858"/>
                                  <w:sz w:val="18"/>
                                </w:rPr>
                                <w:t>(USD,</w:t>
                              </w:r>
                              <w:r>
                                <w:rPr>
                                  <w:rFonts w:ascii="Calibri"/>
                                  <w:color w:val="585858"/>
                                  <w:spacing w:val="-3"/>
                                  <w:sz w:val="18"/>
                                </w:rPr>
                                <w:t> </w:t>
                              </w:r>
                              <w:r>
                                <w:rPr>
                                  <w:rFonts w:ascii="Calibri"/>
                                  <w:color w:val="585858"/>
                                  <w:spacing w:val="-2"/>
                                  <w:sz w:val="18"/>
                                </w:rPr>
                                <w:t>Millions)</w:t>
                              </w:r>
                            </w:p>
                          </w:txbxContent>
                        </wps:txbx>
                        <wps:bodyPr wrap="square" lIns="0" tIns="0" rIns="0" bIns="0" rtlCol="0">
                          <a:noAutofit/>
                        </wps:bodyPr>
                      </wps:wsp>
                      <wps:wsp>
                        <wps:cNvPr id="188" name="Textbox 188"/>
                        <wps:cNvSpPr txBox="1"/>
                        <wps:spPr>
                          <a:xfrm>
                            <a:off x="1559242" y="3470338"/>
                            <a:ext cx="913130" cy="127000"/>
                          </a:xfrm>
                          <a:prstGeom prst="rect">
                            <a:avLst/>
                          </a:prstGeom>
                        </wps:spPr>
                        <wps:txbx>
                          <w:txbxContent>
                            <w:p>
                              <w:pPr>
                                <w:spacing w:line="199" w:lineRule="exact" w:before="0"/>
                                <w:ind w:left="0" w:right="0" w:firstLine="0"/>
                                <w:jc w:val="left"/>
                                <w:rPr>
                                  <w:rFonts w:ascii="Calibri"/>
                                  <w:sz w:val="20"/>
                                </w:rPr>
                              </w:pPr>
                              <w:r>
                                <w:rPr>
                                  <w:rFonts w:ascii="Calibri"/>
                                  <w:color w:val="585858"/>
                                  <w:sz w:val="20"/>
                                </w:rPr>
                                <w:t>Investment</w:t>
                              </w:r>
                              <w:r>
                                <w:rPr>
                                  <w:rFonts w:ascii="Calibri"/>
                                  <w:color w:val="585858"/>
                                  <w:spacing w:val="-11"/>
                                  <w:sz w:val="20"/>
                                </w:rPr>
                                <w:t> </w:t>
                              </w:r>
                              <w:r>
                                <w:rPr>
                                  <w:rFonts w:ascii="Calibri"/>
                                  <w:color w:val="585858"/>
                                  <w:spacing w:val="-2"/>
                                  <w:sz w:val="20"/>
                                </w:rPr>
                                <w:t>Stage</w:t>
                              </w:r>
                            </w:p>
                          </w:txbxContent>
                        </wps:txbx>
                        <wps:bodyPr wrap="square" lIns="0" tIns="0" rIns="0" bIns="0" rtlCol="0">
                          <a:noAutofit/>
                        </wps:bodyPr>
                      </wps:wsp>
                    </wpg:wgp>
                  </a:graphicData>
                </a:graphic>
              </wp:anchor>
            </w:drawing>
          </mc:Choice>
          <mc:Fallback>
            <w:pict>
              <v:group style="position:absolute;margin-left:107.525002pt;margin-top:29.125pt;width:380.25pt;height:296.25pt;mso-position-horizontal-relative:page;mso-position-vertical-relative:paragraph;z-index:15737344" id="docshapegroup168" coordorigin="2151,583" coordsize="7605,5925">
                <v:shape style="position:absolute;left:3471;top:1331;width:3685;height:2650" id="docshape169" coordorigin="3471,1332" coordsize="3685,2650" path="m3471,3539l7155,3539m3471,3098l7155,3098m3471,2656l7155,2656m3471,2214l7155,2214m3471,1773l7155,1773m3471,1332l7155,1332m3471,3982l7155,3982e" filled="false" stroked="true" strokeweight=".75pt" strokecolor="#d9d9d9">
                  <v:path arrowok="t"/>
                  <v:stroke dashstyle="solid"/>
                </v:shape>
                <v:shape style="position:absolute;left:3586;top:1652;width:3454;height:2329" id="docshape170" coordorigin="3586,1653" coordsize="3454,2329" path="m3586,1653l3816,3813,4046,3982,4277,3982,4507,3664,4738,3982,4968,3978,5198,3982,5429,3981,5659,3350,5890,3981,6120,3969,6350,3981,6581,3940,6811,3969,7040,3982e" filled="false" stroked="true" strokeweight="2.25pt" strokecolor="#4471c4">
                  <v:path arrowok="t"/>
                  <v:stroke dashstyle="solid"/>
                </v:shape>
                <v:shape style="position:absolute;left:3586;top:3471;width:3454;height:510" id="docshape171" coordorigin="3586,3472" coordsize="3454,510" path="m3586,3604l3816,3962,4046,3974,4277,3472,4507,3926,4738,3981,4968,3981,5198,3982,5429,3964,5659,3803,5890,3786,6120,3914,6350,3981,6581,3981,6811,3964,7040,3981e" filled="false" stroked="true" strokeweight="2.25pt" strokecolor="#ec7c30">
                  <v:path arrowok="t"/>
                  <v:stroke dashstyle="solid"/>
                </v:shape>
                <v:line style="position:absolute" from="7468,3202" to="7852,3202" stroked="true" strokeweight="2.25pt" strokecolor="#4471c4">
                  <v:stroke dashstyle="solid"/>
                </v:line>
                <v:line style="position:absolute" from="7468,3975" to="7852,3975" stroked="true" strokeweight="2.25pt" strokecolor="#ec7c30">
                  <v:stroke dashstyle="solid"/>
                </v:line>
                <v:rect style="position:absolute;left:2158;top:590;width:7590;height:5910" id="docshape172" filled="false" stroked="true" strokeweight=".75pt" strokecolor="#d9d9d9">
                  <v:stroke dashstyle="solid"/>
                </v:rect>
                <v:shape style="position:absolute;left:4914;top:796;width:2096;height:281" type="#_x0000_t202" id="docshape173" filled="false" stroked="false">
                  <v:textbox inset="0,0,0,0">
                    <w:txbxContent>
                      <w:p>
                        <w:pPr>
                          <w:spacing w:line="281" w:lineRule="exact" w:before="0"/>
                          <w:ind w:left="0" w:right="0" w:firstLine="0"/>
                          <w:jc w:val="left"/>
                          <w:rPr>
                            <w:rFonts w:ascii="Calibri"/>
                            <w:sz w:val="28"/>
                          </w:rPr>
                        </w:pPr>
                        <w:r>
                          <w:rPr>
                            <w:rFonts w:ascii="Calibri"/>
                            <w:color w:val="585858"/>
                            <w:spacing w:val="-2"/>
                            <w:sz w:val="28"/>
                          </w:rPr>
                          <w:t>Investment</w:t>
                        </w:r>
                        <w:r>
                          <w:rPr>
                            <w:rFonts w:ascii="Calibri"/>
                            <w:color w:val="585858"/>
                            <w:spacing w:val="-3"/>
                            <w:sz w:val="28"/>
                          </w:rPr>
                          <w:t> </w:t>
                        </w:r>
                        <w:r>
                          <w:rPr>
                            <w:rFonts w:ascii="Calibri"/>
                            <w:color w:val="585858"/>
                            <w:spacing w:val="-2"/>
                            <w:sz w:val="28"/>
                          </w:rPr>
                          <w:t>Stages</w:t>
                        </w:r>
                      </w:p>
                    </w:txbxContent>
                  </v:textbox>
                  <w10:wrap type="none"/>
                </v:shape>
                <v:shape style="position:absolute;left:2712;top:1248;width:614;height:2389" type="#_x0000_t202" id="docshape174" filled="false" stroked="false">
                  <v:textbox inset="0,0,0,0">
                    <w:txbxContent>
                      <w:p>
                        <w:pPr>
                          <w:spacing w:line="183" w:lineRule="exact" w:before="0"/>
                          <w:ind w:left="0" w:right="0" w:firstLine="0"/>
                          <w:jc w:val="left"/>
                          <w:rPr>
                            <w:rFonts w:ascii="Calibri"/>
                            <w:sz w:val="18"/>
                          </w:rPr>
                        </w:pPr>
                        <w:r>
                          <w:rPr>
                            <w:rFonts w:ascii="Calibri"/>
                            <w:color w:val="585858"/>
                            <w:spacing w:val="-2"/>
                            <w:sz w:val="18"/>
                          </w:rPr>
                          <w:t>300,000</w:t>
                        </w:r>
                      </w:p>
                      <w:p>
                        <w:pPr>
                          <w:spacing w:line="240" w:lineRule="auto" w:before="2"/>
                          <w:rPr>
                            <w:rFonts w:ascii="Calibri"/>
                            <w:sz w:val="18"/>
                          </w:rPr>
                        </w:pPr>
                      </w:p>
                      <w:p>
                        <w:pPr>
                          <w:spacing w:before="0"/>
                          <w:ind w:left="0" w:right="0" w:firstLine="0"/>
                          <w:jc w:val="left"/>
                          <w:rPr>
                            <w:rFonts w:ascii="Calibri"/>
                            <w:sz w:val="18"/>
                          </w:rPr>
                        </w:pPr>
                        <w:r>
                          <w:rPr>
                            <w:rFonts w:ascii="Calibri"/>
                            <w:color w:val="585858"/>
                            <w:spacing w:val="-2"/>
                            <w:sz w:val="18"/>
                          </w:rPr>
                          <w:t>250,000</w:t>
                        </w:r>
                      </w:p>
                      <w:p>
                        <w:pPr>
                          <w:spacing w:line="240" w:lineRule="auto" w:before="2"/>
                          <w:rPr>
                            <w:rFonts w:ascii="Calibri"/>
                            <w:sz w:val="18"/>
                          </w:rPr>
                        </w:pPr>
                      </w:p>
                      <w:p>
                        <w:pPr>
                          <w:spacing w:before="0"/>
                          <w:ind w:left="0" w:right="0" w:firstLine="0"/>
                          <w:jc w:val="left"/>
                          <w:rPr>
                            <w:rFonts w:ascii="Calibri"/>
                            <w:sz w:val="18"/>
                          </w:rPr>
                        </w:pPr>
                        <w:r>
                          <w:rPr>
                            <w:rFonts w:ascii="Calibri"/>
                            <w:color w:val="585858"/>
                            <w:spacing w:val="-2"/>
                            <w:sz w:val="18"/>
                          </w:rPr>
                          <w:t>200,000</w:t>
                        </w:r>
                      </w:p>
                      <w:p>
                        <w:pPr>
                          <w:spacing w:line="240" w:lineRule="auto" w:before="2"/>
                          <w:rPr>
                            <w:rFonts w:ascii="Calibri"/>
                            <w:sz w:val="18"/>
                          </w:rPr>
                        </w:pPr>
                      </w:p>
                      <w:p>
                        <w:pPr>
                          <w:spacing w:before="0"/>
                          <w:ind w:left="0" w:right="0" w:firstLine="0"/>
                          <w:jc w:val="left"/>
                          <w:rPr>
                            <w:rFonts w:ascii="Calibri"/>
                            <w:sz w:val="18"/>
                          </w:rPr>
                        </w:pPr>
                        <w:r>
                          <w:rPr>
                            <w:rFonts w:ascii="Calibri"/>
                            <w:color w:val="585858"/>
                            <w:spacing w:val="-2"/>
                            <w:sz w:val="18"/>
                          </w:rPr>
                          <w:t>150,000</w:t>
                        </w:r>
                      </w:p>
                      <w:p>
                        <w:pPr>
                          <w:spacing w:line="240" w:lineRule="auto" w:before="2"/>
                          <w:rPr>
                            <w:rFonts w:ascii="Calibri"/>
                            <w:sz w:val="18"/>
                          </w:rPr>
                        </w:pPr>
                      </w:p>
                      <w:p>
                        <w:pPr>
                          <w:spacing w:before="0"/>
                          <w:ind w:left="0" w:right="0" w:firstLine="0"/>
                          <w:jc w:val="left"/>
                          <w:rPr>
                            <w:rFonts w:ascii="Calibri"/>
                            <w:sz w:val="18"/>
                          </w:rPr>
                        </w:pPr>
                        <w:r>
                          <w:rPr>
                            <w:rFonts w:ascii="Calibri"/>
                            <w:color w:val="585858"/>
                            <w:spacing w:val="-2"/>
                            <w:sz w:val="18"/>
                          </w:rPr>
                          <w:t>100,000</w:t>
                        </w:r>
                      </w:p>
                      <w:p>
                        <w:pPr>
                          <w:spacing w:line="240" w:lineRule="auto" w:before="3"/>
                          <w:rPr>
                            <w:rFonts w:ascii="Calibri"/>
                            <w:sz w:val="18"/>
                          </w:rPr>
                        </w:pPr>
                      </w:p>
                      <w:p>
                        <w:pPr>
                          <w:spacing w:line="216" w:lineRule="exact" w:before="0"/>
                          <w:ind w:left="91" w:right="0" w:firstLine="0"/>
                          <w:jc w:val="left"/>
                          <w:rPr>
                            <w:rFonts w:ascii="Calibri"/>
                            <w:sz w:val="18"/>
                          </w:rPr>
                        </w:pPr>
                        <w:r>
                          <w:rPr>
                            <w:rFonts w:ascii="Calibri"/>
                            <w:color w:val="585858"/>
                            <w:spacing w:val="-2"/>
                            <w:sz w:val="18"/>
                          </w:rPr>
                          <w:t>50,000</w:t>
                        </w:r>
                      </w:p>
                    </w:txbxContent>
                  </v:textbox>
                  <w10:wrap type="none"/>
                </v:shape>
                <v:shape style="position:absolute;left:7894;top:3118;width:1355;height:400" type="#_x0000_t202" id="docshape175" filled="false" stroked="false">
                  <v:textbox inset="0,0,0,0">
                    <w:txbxContent>
                      <w:p>
                        <w:pPr>
                          <w:spacing w:line="183" w:lineRule="exact" w:before="0"/>
                          <w:ind w:left="0" w:right="0" w:firstLine="0"/>
                          <w:jc w:val="left"/>
                          <w:rPr>
                            <w:rFonts w:ascii="Calibri"/>
                            <w:sz w:val="18"/>
                          </w:rPr>
                        </w:pPr>
                        <w:r>
                          <w:rPr>
                            <w:rFonts w:ascii="Calibri"/>
                            <w:color w:val="585858"/>
                            <w:sz w:val="18"/>
                          </w:rPr>
                          <w:t>Sum</w:t>
                        </w:r>
                        <w:r>
                          <w:rPr>
                            <w:rFonts w:ascii="Calibri"/>
                            <w:color w:val="585858"/>
                            <w:spacing w:val="-3"/>
                            <w:sz w:val="18"/>
                          </w:rPr>
                          <w:t> </w:t>
                        </w:r>
                        <w:r>
                          <w:rPr>
                            <w:rFonts w:ascii="Calibri"/>
                            <w:color w:val="585858"/>
                            <w:sz w:val="18"/>
                          </w:rPr>
                          <w:t>of</w:t>
                        </w:r>
                        <w:r>
                          <w:rPr>
                            <w:rFonts w:ascii="Calibri"/>
                            <w:color w:val="585858"/>
                            <w:spacing w:val="-1"/>
                            <w:sz w:val="18"/>
                          </w:rPr>
                          <w:t> </w:t>
                        </w:r>
                        <w:r>
                          <w:rPr>
                            <w:rFonts w:ascii="Calibri"/>
                            <w:color w:val="585858"/>
                            <w:sz w:val="18"/>
                          </w:rPr>
                          <w:t>Deal </w:t>
                        </w:r>
                        <w:r>
                          <w:rPr>
                            <w:rFonts w:ascii="Calibri"/>
                            <w:color w:val="585858"/>
                            <w:spacing w:val="-2"/>
                            <w:sz w:val="18"/>
                          </w:rPr>
                          <w:t>Value</w:t>
                        </w:r>
                      </w:p>
                      <w:p>
                        <w:pPr>
                          <w:spacing w:line="216" w:lineRule="exact" w:before="0"/>
                          <w:ind w:left="0" w:right="0" w:firstLine="0"/>
                          <w:jc w:val="left"/>
                          <w:rPr>
                            <w:rFonts w:ascii="Calibri"/>
                            <w:sz w:val="18"/>
                          </w:rPr>
                        </w:pPr>
                        <w:r>
                          <w:rPr>
                            <w:rFonts w:ascii="Calibri"/>
                            <w:color w:val="585858"/>
                            <w:sz w:val="18"/>
                          </w:rPr>
                          <w:t>(USD,</w:t>
                        </w:r>
                        <w:r>
                          <w:rPr>
                            <w:rFonts w:ascii="Calibri"/>
                            <w:color w:val="585858"/>
                            <w:spacing w:val="-3"/>
                            <w:sz w:val="18"/>
                          </w:rPr>
                          <w:t> </w:t>
                        </w:r>
                        <w:r>
                          <w:rPr>
                            <w:rFonts w:ascii="Calibri"/>
                            <w:color w:val="585858"/>
                            <w:spacing w:val="-2"/>
                            <w:sz w:val="18"/>
                          </w:rPr>
                          <w:t>Millions)</w:t>
                        </w:r>
                      </w:p>
                    </w:txbxContent>
                  </v:textbox>
                  <w10:wrap type="none"/>
                </v:shape>
                <v:shape style="position:absolute;left:3213;top:3898;width:112;height:180" type="#_x0000_t202" id="docshape176"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0</w:t>
                        </w:r>
                      </w:p>
                    </w:txbxContent>
                  </v:textbox>
                  <w10:wrap type="none"/>
                </v:shape>
                <v:shape style="position:absolute;left:7894;top:3891;width:1673;height:620" type="#_x0000_t202" id="docshape177" filled="false" stroked="false">
                  <v:textbox inset="0,0,0,0">
                    <w:txbxContent>
                      <w:p>
                        <w:pPr>
                          <w:spacing w:line="183" w:lineRule="exact" w:before="0"/>
                          <w:ind w:left="0" w:right="0" w:firstLine="0"/>
                          <w:jc w:val="left"/>
                          <w:rPr>
                            <w:rFonts w:ascii="Calibri"/>
                            <w:sz w:val="18"/>
                          </w:rPr>
                        </w:pPr>
                        <w:r>
                          <w:rPr>
                            <w:rFonts w:ascii="Calibri"/>
                            <w:color w:val="585858"/>
                            <w:sz w:val="18"/>
                          </w:rPr>
                          <w:t>Sum</w:t>
                        </w:r>
                        <w:r>
                          <w:rPr>
                            <w:rFonts w:ascii="Calibri"/>
                            <w:color w:val="585858"/>
                            <w:spacing w:val="-2"/>
                            <w:sz w:val="18"/>
                          </w:rPr>
                          <w:t> </w:t>
                        </w:r>
                        <w:r>
                          <w:rPr>
                            <w:rFonts w:ascii="Calibri"/>
                            <w:color w:val="585858"/>
                            <w:sz w:val="18"/>
                          </w:rPr>
                          <w:t>of</w:t>
                        </w:r>
                        <w:r>
                          <w:rPr>
                            <w:rFonts w:ascii="Calibri"/>
                            <w:color w:val="585858"/>
                            <w:spacing w:val="-2"/>
                            <w:sz w:val="18"/>
                          </w:rPr>
                          <w:t> </w:t>
                        </w:r>
                        <w:r>
                          <w:rPr>
                            <w:rFonts w:ascii="Calibri"/>
                            <w:color w:val="585858"/>
                            <w:sz w:val="18"/>
                          </w:rPr>
                          <w:t>Investor</w:t>
                        </w:r>
                        <w:r>
                          <w:rPr>
                            <w:rFonts w:ascii="Calibri"/>
                            <w:color w:val="585858"/>
                            <w:spacing w:val="-1"/>
                            <w:sz w:val="18"/>
                          </w:rPr>
                          <w:t> </w:t>
                        </w:r>
                        <w:r>
                          <w:rPr>
                            <w:rFonts w:ascii="Calibri"/>
                            <w:color w:val="585858"/>
                            <w:spacing w:val="-2"/>
                            <w:sz w:val="18"/>
                          </w:rPr>
                          <w:t>Equity</w:t>
                        </w:r>
                      </w:p>
                      <w:p>
                        <w:pPr>
                          <w:spacing w:before="0"/>
                          <w:ind w:left="0" w:right="0" w:firstLine="0"/>
                          <w:jc w:val="left"/>
                          <w:rPr>
                            <w:rFonts w:ascii="Calibri"/>
                            <w:sz w:val="18"/>
                          </w:rPr>
                        </w:pPr>
                        <w:r>
                          <w:rPr>
                            <w:rFonts w:ascii="Calibri"/>
                            <w:color w:val="585858"/>
                            <w:spacing w:val="-2"/>
                            <w:sz w:val="18"/>
                          </w:rPr>
                          <w:t>Total</w:t>
                        </w:r>
                      </w:p>
                      <w:p>
                        <w:pPr>
                          <w:spacing w:line="216" w:lineRule="exact" w:before="0"/>
                          <w:ind w:left="0" w:right="0" w:firstLine="0"/>
                          <w:jc w:val="left"/>
                          <w:rPr>
                            <w:rFonts w:ascii="Calibri"/>
                            <w:sz w:val="18"/>
                          </w:rPr>
                        </w:pPr>
                        <w:r>
                          <w:rPr>
                            <w:rFonts w:ascii="Calibri"/>
                            <w:color w:val="585858"/>
                            <w:sz w:val="18"/>
                          </w:rPr>
                          <w:t>(USD,</w:t>
                        </w:r>
                        <w:r>
                          <w:rPr>
                            <w:rFonts w:ascii="Calibri"/>
                            <w:color w:val="585858"/>
                            <w:spacing w:val="-3"/>
                            <w:sz w:val="18"/>
                          </w:rPr>
                          <w:t> </w:t>
                        </w:r>
                        <w:r>
                          <w:rPr>
                            <w:rFonts w:ascii="Calibri"/>
                            <w:color w:val="585858"/>
                            <w:spacing w:val="-2"/>
                            <w:sz w:val="18"/>
                          </w:rPr>
                          <w:t>Millions)</w:t>
                        </w:r>
                      </w:p>
                    </w:txbxContent>
                  </v:textbox>
                  <w10:wrap type="none"/>
                </v:shape>
                <v:shape style="position:absolute;left:4606;top:6047;width:1438;height:200" type="#_x0000_t202" id="docshape178" filled="false" stroked="false">
                  <v:textbox inset="0,0,0,0">
                    <w:txbxContent>
                      <w:p>
                        <w:pPr>
                          <w:spacing w:line="199" w:lineRule="exact" w:before="0"/>
                          <w:ind w:left="0" w:right="0" w:firstLine="0"/>
                          <w:jc w:val="left"/>
                          <w:rPr>
                            <w:rFonts w:ascii="Calibri"/>
                            <w:sz w:val="20"/>
                          </w:rPr>
                        </w:pPr>
                        <w:r>
                          <w:rPr>
                            <w:rFonts w:ascii="Calibri"/>
                            <w:color w:val="585858"/>
                            <w:sz w:val="20"/>
                          </w:rPr>
                          <w:t>Investment</w:t>
                        </w:r>
                        <w:r>
                          <w:rPr>
                            <w:rFonts w:ascii="Calibri"/>
                            <w:color w:val="585858"/>
                            <w:spacing w:val="-11"/>
                            <w:sz w:val="20"/>
                          </w:rPr>
                          <w:t> </w:t>
                        </w:r>
                        <w:r>
                          <w:rPr>
                            <w:rFonts w:ascii="Calibri"/>
                            <w:color w:val="585858"/>
                            <w:spacing w:val="-2"/>
                            <w:sz w:val="20"/>
                          </w:rPr>
                          <w:t>Stage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8368">
                <wp:simplePos x="0" y="0"/>
                <wp:positionH relativeFrom="page">
                  <wp:posOffset>1542287</wp:posOffset>
                </wp:positionH>
                <wp:positionV relativeFrom="paragraph">
                  <wp:posOffset>1348212</wp:posOffset>
                </wp:positionV>
                <wp:extent cx="152400" cy="68008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52400" cy="680085"/>
                        </a:xfrm>
                        <a:prstGeom prst="rect">
                          <a:avLst/>
                        </a:prstGeom>
                      </wps:spPr>
                      <wps:txbx>
                        <w:txbxContent>
                          <w:p>
                            <w:pPr>
                              <w:spacing w:line="223" w:lineRule="exact" w:before="0"/>
                              <w:ind w:left="20" w:right="0" w:firstLine="0"/>
                              <w:jc w:val="left"/>
                              <w:rPr>
                                <w:rFonts w:ascii="Calibri"/>
                                <w:sz w:val="20"/>
                              </w:rPr>
                            </w:pPr>
                            <w:r>
                              <w:rPr>
                                <w:rFonts w:ascii="Calibri"/>
                                <w:color w:val="585858"/>
                                <w:sz w:val="20"/>
                              </w:rPr>
                              <w:t>USD</w:t>
                            </w:r>
                            <w:r>
                              <w:rPr>
                                <w:rFonts w:ascii="Calibri"/>
                                <w:color w:val="585858"/>
                                <w:spacing w:val="-4"/>
                                <w:sz w:val="20"/>
                              </w:rPr>
                              <w:t> </w:t>
                            </w:r>
                            <w:r>
                              <w:rPr>
                                <w:rFonts w:ascii="Calibri"/>
                                <w:color w:val="585858"/>
                                <w:spacing w:val="-2"/>
                                <w:sz w:val="20"/>
                              </w:rPr>
                              <w:t>Millions</w:t>
                            </w:r>
                          </w:p>
                        </w:txbxContent>
                      </wps:txbx>
                      <wps:bodyPr wrap="square" lIns="0" tIns="0" rIns="0" bIns="0" rtlCol="0" vert="vert270">
                        <a:noAutofit/>
                      </wps:bodyPr>
                    </wps:wsp>
                  </a:graphicData>
                </a:graphic>
              </wp:anchor>
            </w:drawing>
          </mc:Choice>
          <mc:Fallback>
            <w:pict>
              <v:shape style="position:absolute;margin-left:121.439995pt;margin-top:106.15847pt;width:12pt;height:53.55pt;mso-position-horizontal-relative:page;mso-position-vertical-relative:paragraph;z-index:15738368" type="#_x0000_t202" id="docshape179"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color w:val="585858"/>
                          <w:sz w:val="20"/>
                        </w:rPr>
                        <w:t>USD</w:t>
                      </w:r>
                      <w:r>
                        <w:rPr>
                          <w:rFonts w:ascii="Calibri"/>
                          <w:color w:val="585858"/>
                          <w:spacing w:val="-4"/>
                          <w:sz w:val="20"/>
                        </w:rPr>
                        <w:t> </w:t>
                      </w:r>
                      <w:r>
                        <w:rPr>
                          <w:rFonts w:ascii="Calibri"/>
                          <w:color w:val="585858"/>
                          <w:spacing w:val="-2"/>
                          <w:sz w:val="20"/>
                        </w:rPr>
                        <w:t>Millions</w:t>
                      </w:r>
                    </w:p>
                  </w:txbxContent>
                </v:textbox>
                <w10:wrap type="none"/>
              </v:shape>
            </w:pict>
          </mc:Fallback>
        </mc:AlternateContent>
      </w:r>
      <w:bookmarkStart w:name="_bookmark50" w:id="51"/>
      <w:bookmarkEnd w:id="51"/>
      <w:r>
        <w:rPr>
          <w:b w:val="0"/>
        </w:rPr>
      </w:r>
      <w:r>
        <w:rPr/>
        <w:t>Investment</w:t>
      </w:r>
      <w:r>
        <w:rPr>
          <w:spacing w:val="-13"/>
        </w:rPr>
        <w:t> </w:t>
      </w:r>
      <w:r>
        <w:rPr/>
        <w:t>Stage</w:t>
      </w:r>
      <w:r>
        <w:rPr>
          <w:spacing w:val="-16"/>
        </w:rPr>
        <w:t> </w:t>
      </w:r>
      <w:r>
        <w:rPr>
          <w:spacing w:val="-2"/>
        </w:rPr>
        <w:t>Analysis</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25"/>
        <w:rPr>
          <w:b/>
          <w:sz w:val="18"/>
        </w:rPr>
      </w:pPr>
    </w:p>
    <w:p>
      <w:pPr>
        <w:spacing w:before="0"/>
        <w:ind w:left="4" w:right="0" w:firstLine="0"/>
        <w:jc w:val="center"/>
        <w:rPr>
          <w:i/>
          <w:sz w:val="18"/>
        </w:rPr>
      </w:pPr>
      <w:r>
        <w:rPr>
          <w:i/>
          <w:sz w:val="18"/>
        </w:rPr>
        <mc:AlternateContent>
          <mc:Choice Requires="wps">
            <w:drawing>
              <wp:anchor distT="0" distB="0" distL="0" distR="0" allowOverlap="1" layoutInCell="1" locked="0" behindDoc="0" simplePos="0" relativeHeight="15737856">
                <wp:simplePos x="0" y="0"/>
                <wp:positionH relativeFrom="page">
                  <wp:posOffset>1489392</wp:posOffset>
                </wp:positionH>
                <wp:positionV relativeFrom="paragraph">
                  <wp:posOffset>251504</wp:posOffset>
                </wp:positionV>
                <wp:extent cx="4581525" cy="275272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4581525" cy="2752725"/>
                          <a:chExt cx="4581525" cy="2752725"/>
                        </a:xfrm>
                      </wpg:grpSpPr>
                      <wps:wsp>
                        <wps:cNvPr id="191" name="Graphic 191"/>
                        <wps:cNvSpPr/>
                        <wps:spPr>
                          <a:xfrm>
                            <a:off x="752157" y="475805"/>
                            <a:ext cx="2313940" cy="913765"/>
                          </a:xfrm>
                          <a:custGeom>
                            <a:avLst/>
                            <a:gdLst/>
                            <a:ahLst/>
                            <a:cxnLst/>
                            <a:rect l="l" t="t" r="r" b="b"/>
                            <a:pathLst>
                              <a:path w="2313940" h="913765">
                                <a:moveTo>
                                  <a:pt x="0" y="782574"/>
                                </a:moveTo>
                                <a:lnTo>
                                  <a:pt x="2313432" y="782574"/>
                                </a:lnTo>
                              </a:path>
                              <a:path w="2313940" h="913765">
                                <a:moveTo>
                                  <a:pt x="0" y="653034"/>
                                </a:moveTo>
                                <a:lnTo>
                                  <a:pt x="2313432" y="653034"/>
                                </a:lnTo>
                              </a:path>
                              <a:path w="2313940" h="913765">
                                <a:moveTo>
                                  <a:pt x="0" y="521970"/>
                                </a:moveTo>
                                <a:lnTo>
                                  <a:pt x="2313432" y="521970"/>
                                </a:lnTo>
                              </a:path>
                              <a:path w="2313940" h="913765">
                                <a:moveTo>
                                  <a:pt x="0" y="390906"/>
                                </a:moveTo>
                                <a:lnTo>
                                  <a:pt x="2313432" y="390906"/>
                                </a:lnTo>
                              </a:path>
                              <a:path w="2313940" h="913765">
                                <a:moveTo>
                                  <a:pt x="0" y="261366"/>
                                </a:moveTo>
                                <a:lnTo>
                                  <a:pt x="2313432" y="261366"/>
                                </a:lnTo>
                              </a:path>
                              <a:path w="2313940" h="913765">
                                <a:moveTo>
                                  <a:pt x="0" y="130302"/>
                                </a:moveTo>
                                <a:lnTo>
                                  <a:pt x="2313432" y="130302"/>
                                </a:lnTo>
                              </a:path>
                              <a:path w="2313940" h="913765">
                                <a:moveTo>
                                  <a:pt x="0" y="0"/>
                                </a:moveTo>
                                <a:lnTo>
                                  <a:pt x="2313432" y="0"/>
                                </a:lnTo>
                              </a:path>
                              <a:path w="2313940" h="913765">
                                <a:moveTo>
                                  <a:pt x="0" y="913638"/>
                                </a:moveTo>
                                <a:lnTo>
                                  <a:pt x="2313432" y="913638"/>
                                </a:lnTo>
                              </a:path>
                            </a:pathLst>
                          </a:custGeom>
                          <a:ln w="9525">
                            <a:solidFill>
                              <a:srgbClr val="D9D9D9"/>
                            </a:solidFill>
                            <a:prstDash val="solid"/>
                          </a:ln>
                        </wps:spPr>
                        <wps:bodyPr wrap="square" lIns="0" tIns="0" rIns="0" bIns="0" rtlCol="0">
                          <a:prstTxWarp prst="textNoShape">
                            <a:avLst/>
                          </a:prstTxWarp>
                          <a:noAutofit/>
                        </wps:bodyPr>
                      </wps:wsp>
                      <wps:wsp>
                        <wps:cNvPr id="192" name="Graphic 192"/>
                        <wps:cNvSpPr/>
                        <wps:spPr>
                          <a:xfrm>
                            <a:off x="824547" y="1349565"/>
                            <a:ext cx="2169160" cy="40005"/>
                          </a:xfrm>
                          <a:custGeom>
                            <a:avLst/>
                            <a:gdLst/>
                            <a:ahLst/>
                            <a:cxnLst/>
                            <a:rect l="l" t="t" r="r" b="b"/>
                            <a:pathLst>
                              <a:path w="2169160" h="40005">
                                <a:moveTo>
                                  <a:pt x="0" y="39877"/>
                                </a:moveTo>
                                <a:lnTo>
                                  <a:pt x="144272" y="26162"/>
                                </a:lnTo>
                                <a:lnTo>
                                  <a:pt x="289052" y="35306"/>
                                </a:lnTo>
                                <a:lnTo>
                                  <a:pt x="433832" y="35306"/>
                                </a:lnTo>
                                <a:lnTo>
                                  <a:pt x="578612" y="0"/>
                                </a:lnTo>
                                <a:lnTo>
                                  <a:pt x="723392" y="36830"/>
                                </a:lnTo>
                                <a:lnTo>
                                  <a:pt x="868172" y="39877"/>
                                </a:lnTo>
                                <a:lnTo>
                                  <a:pt x="1011427" y="39877"/>
                                </a:lnTo>
                                <a:lnTo>
                                  <a:pt x="1156208" y="39877"/>
                                </a:lnTo>
                                <a:lnTo>
                                  <a:pt x="1300988" y="39877"/>
                                </a:lnTo>
                                <a:lnTo>
                                  <a:pt x="1445768" y="36830"/>
                                </a:lnTo>
                                <a:lnTo>
                                  <a:pt x="1590548" y="33782"/>
                                </a:lnTo>
                                <a:lnTo>
                                  <a:pt x="1735327" y="38354"/>
                                </a:lnTo>
                                <a:lnTo>
                                  <a:pt x="1880108" y="39877"/>
                                </a:lnTo>
                                <a:lnTo>
                                  <a:pt x="2024888" y="39877"/>
                                </a:lnTo>
                                <a:lnTo>
                                  <a:pt x="2168779" y="38354"/>
                                </a:lnTo>
                              </a:path>
                            </a:pathLst>
                          </a:custGeom>
                          <a:ln w="28575">
                            <a:solidFill>
                              <a:srgbClr val="4471C4"/>
                            </a:solidFill>
                            <a:prstDash val="solid"/>
                          </a:ln>
                        </wps:spPr>
                        <wps:bodyPr wrap="square" lIns="0" tIns="0" rIns="0" bIns="0" rtlCol="0">
                          <a:prstTxWarp prst="textNoShape">
                            <a:avLst/>
                          </a:prstTxWarp>
                          <a:noAutofit/>
                        </wps:bodyPr>
                      </wps:wsp>
                      <pic:pic>
                        <pic:nvPicPr>
                          <pic:cNvPr id="193" name="Image 193"/>
                          <pic:cNvPicPr/>
                        </pic:nvPicPr>
                        <pic:blipFill>
                          <a:blip r:embed="rId30" cstate="print"/>
                          <a:stretch>
                            <a:fillRect/>
                          </a:stretch>
                        </pic:blipFill>
                        <pic:spPr>
                          <a:xfrm>
                            <a:off x="787908" y="1353311"/>
                            <a:ext cx="73532" cy="73533"/>
                          </a:xfrm>
                          <a:prstGeom prst="rect">
                            <a:avLst/>
                          </a:prstGeom>
                        </pic:spPr>
                      </pic:pic>
                      <pic:pic>
                        <pic:nvPicPr>
                          <pic:cNvPr id="194" name="Image 194"/>
                          <pic:cNvPicPr/>
                        </pic:nvPicPr>
                        <pic:blipFill>
                          <a:blip r:embed="rId31" cstate="print"/>
                          <a:stretch>
                            <a:fillRect/>
                          </a:stretch>
                        </pic:blipFill>
                        <pic:spPr>
                          <a:xfrm>
                            <a:off x="932688" y="1339596"/>
                            <a:ext cx="73532" cy="73532"/>
                          </a:xfrm>
                          <a:prstGeom prst="rect">
                            <a:avLst/>
                          </a:prstGeom>
                        </pic:spPr>
                      </pic:pic>
                      <pic:pic>
                        <pic:nvPicPr>
                          <pic:cNvPr id="195" name="Image 195"/>
                          <pic:cNvPicPr/>
                        </pic:nvPicPr>
                        <pic:blipFill>
                          <a:blip r:embed="rId31" cstate="print"/>
                          <a:stretch>
                            <a:fillRect/>
                          </a:stretch>
                        </pic:blipFill>
                        <pic:spPr>
                          <a:xfrm>
                            <a:off x="1077467" y="1348739"/>
                            <a:ext cx="73532" cy="73533"/>
                          </a:xfrm>
                          <a:prstGeom prst="rect">
                            <a:avLst/>
                          </a:prstGeom>
                        </pic:spPr>
                      </pic:pic>
                      <pic:pic>
                        <pic:nvPicPr>
                          <pic:cNvPr id="196" name="Image 196"/>
                          <pic:cNvPicPr/>
                        </pic:nvPicPr>
                        <pic:blipFill>
                          <a:blip r:embed="rId32" cstate="print"/>
                          <a:stretch>
                            <a:fillRect/>
                          </a:stretch>
                        </pic:blipFill>
                        <pic:spPr>
                          <a:xfrm>
                            <a:off x="1222247" y="1348739"/>
                            <a:ext cx="73533" cy="73533"/>
                          </a:xfrm>
                          <a:prstGeom prst="rect">
                            <a:avLst/>
                          </a:prstGeom>
                        </pic:spPr>
                      </pic:pic>
                      <pic:pic>
                        <pic:nvPicPr>
                          <pic:cNvPr id="197" name="Image 197"/>
                          <pic:cNvPicPr/>
                        </pic:nvPicPr>
                        <pic:blipFill>
                          <a:blip r:embed="rId33" cstate="print"/>
                          <a:stretch>
                            <a:fillRect/>
                          </a:stretch>
                        </pic:blipFill>
                        <pic:spPr>
                          <a:xfrm>
                            <a:off x="1367027" y="1313688"/>
                            <a:ext cx="73533" cy="73533"/>
                          </a:xfrm>
                          <a:prstGeom prst="rect">
                            <a:avLst/>
                          </a:prstGeom>
                        </pic:spPr>
                      </pic:pic>
                      <pic:pic>
                        <pic:nvPicPr>
                          <pic:cNvPr id="198" name="Image 198"/>
                          <pic:cNvPicPr/>
                        </pic:nvPicPr>
                        <pic:blipFill>
                          <a:blip r:embed="rId32" cstate="print"/>
                          <a:stretch>
                            <a:fillRect/>
                          </a:stretch>
                        </pic:blipFill>
                        <pic:spPr>
                          <a:xfrm>
                            <a:off x="1511808" y="1350263"/>
                            <a:ext cx="73532" cy="73533"/>
                          </a:xfrm>
                          <a:prstGeom prst="rect">
                            <a:avLst/>
                          </a:prstGeom>
                        </pic:spPr>
                      </pic:pic>
                      <pic:pic>
                        <pic:nvPicPr>
                          <pic:cNvPr id="199" name="Image 199"/>
                          <pic:cNvPicPr/>
                        </pic:nvPicPr>
                        <pic:blipFill>
                          <a:blip r:embed="rId33" cstate="print"/>
                          <a:stretch>
                            <a:fillRect/>
                          </a:stretch>
                        </pic:blipFill>
                        <pic:spPr>
                          <a:xfrm>
                            <a:off x="1656588" y="1353311"/>
                            <a:ext cx="73532" cy="73533"/>
                          </a:xfrm>
                          <a:prstGeom prst="rect">
                            <a:avLst/>
                          </a:prstGeom>
                        </pic:spPr>
                      </pic:pic>
                      <pic:pic>
                        <pic:nvPicPr>
                          <pic:cNvPr id="200" name="Image 200"/>
                          <pic:cNvPicPr/>
                        </pic:nvPicPr>
                        <pic:blipFill>
                          <a:blip r:embed="rId33" cstate="print"/>
                          <a:stretch>
                            <a:fillRect/>
                          </a:stretch>
                        </pic:blipFill>
                        <pic:spPr>
                          <a:xfrm>
                            <a:off x="1799844" y="1353311"/>
                            <a:ext cx="73533" cy="73533"/>
                          </a:xfrm>
                          <a:prstGeom prst="rect">
                            <a:avLst/>
                          </a:prstGeom>
                        </pic:spPr>
                      </pic:pic>
                      <pic:pic>
                        <pic:nvPicPr>
                          <pic:cNvPr id="201" name="Image 201"/>
                          <pic:cNvPicPr/>
                        </pic:nvPicPr>
                        <pic:blipFill>
                          <a:blip r:embed="rId33" cstate="print"/>
                          <a:stretch>
                            <a:fillRect/>
                          </a:stretch>
                        </pic:blipFill>
                        <pic:spPr>
                          <a:xfrm>
                            <a:off x="1944623" y="1353311"/>
                            <a:ext cx="73533" cy="73533"/>
                          </a:xfrm>
                          <a:prstGeom prst="rect">
                            <a:avLst/>
                          </a:prstGeom>
                        </pic:spPr>
                      </pic:pic>
                      <pic:pic>
                        <pic:nvPicPr>
                          <pic:cNvPr id="202" name="Image 202"/>
                          <pic:cNvPicPr/>
                        </pic:nvPicPr>
                        <pic:blipFill>
                          <a:blip r:embed="rId30" cstate="print"/>
                          <a:stretch>
                            <a:fillRect/>
                          </a:stretch>
                        </pic:blipFill>
                        <pic:spPr>
                          <a:xfrm>
                            <a:off x="2089404" y="1353311"/>
                            <a:ext cx="73532" cy="73533"/>
                          </a:xfrm>
                          <a:prstGeom prst="rect">
                            <a:avLst/>
                          </a:prstGeom>
                        </pic:spPr>
                      </pic:pic>
                      <pic:pic>
                        <pic:nvPicPr>
                          <pic:cNvPr id="203" name="Image 203"/>
                          <pic:cNvPicPr/>
                        </pic:nvPicPr>
                        <pic:blipFill>
                          <a:blip r:embed="rId31" cstate="print"/>
                          <a:stretch>
                            <a:fillRect/>
                          </a:stretch>
                        </pic:blipFill>
                        <pic:spPr>
                          <a:xfrm>
                            <a:off x="2234183" y="1350263"/>
                            <a:ext cx="73533" cy="73533"/>
                          </a:xfrm>
                          <a:prstGeom prst="rect">
                            <a:avLst/>
                          </a:prstGeom>
                        </pic:spPr>
                      </pic:pic>
                      <pic:pic>
                        <pic:nvPicPr>
                          <pic:cNvPr id="204" name="Image 204"/>
                          <pic:cNvPicPr/>
                        </pic:nvPicPr>
                        <pic:blipFill>
                          <a:blip r:embed="rId30" cstate="print"/>
                          <a:stretch>
                            <a:fillRect/>
                          </a:stretch>
                        </pic:blipFill>
                        <pic:spPr>
                          <a:xfrm>
                            <a:off x="2378964" y="1347216"/>
                            <a:ext cx="73532" cy="73533"/>
                          </a:xfrm>
                          <a:prstGeom prst="rect">
                            <a:avLst/>
                          </a:prstGeom>
                        </pic:spPr>
                      </pic:pic>
                      <pic:pic>
                        <pic:nvPicPr>
                          <pic:cNvPr id="205" name="Image 205"/>
                          <pic:cNvPicPr/>
                        </pic:nvPicPr>
                        <pic:blipFill>
                          <a:blip r:embed="rId33" cstate="print"/>
                          <a:stretch>
                            <a:fillRect/>
                          </a:stretch>
                        </pic:blipFill>
                        <pic:spPr>
                          <a:xfrm>
                            <a:off x="2523744" y="1351788"/>
                            <a:ext cx="73533" cy="73533"/>
                          </a:xfrm>
                          <a:prstGeom prst="rect">
                            <a:avLst/>
                          </a:prstGeom>
                        </pic:spPr>
                      </pic:pic>
                      <pic:pic>
                        <pic:nvPicPr>
                          <pic:cNvPr id="206" name="Image 206"/>
                          <pic:cNvPicPr/>
                        </pic:nvPicPr>
                        <pic:blipFill>
                          <a:blip r:embed="rId33" cstate="print"/>
                          <a:stretch>
                            <a:fillRect/>
                          </a:stretch>
                        </pic:blipFill>
                        <pic:spPr>
                          <a:xfrm>
                            <a:off x="2668523" y="1353311"/>
                            <a:ext cx="73533" cy="73533"/>
                          </a:xfrm>
                          <a:prstGeom prst="rect">
                            <a:avLst/>
                          </a:prstGeom>
                        </pic:spPr>
                      </pic:pic>
                      <pic:pic>
                        <pic:nvPicPr>
                          <pic:cNvPr id="207" name="Image 207"/>
                          <pic:cNvPicPr/>
                        </pic:nvPicPr>
                        <pic:blipFill>
                          <a:blip r:embed="rId30" cstate="print"/>
                          <a:stretch>
                            <a:fillRect/>
                          </a:stretch>
                        </pic:blipFill>
                        <pic:spPr>
                          <a:xfrm>
                            <a:off x="2813304" y="1353311"/>
                            <a:ext cx="73532" cy="73533"/>
                          </a:xfrm>
                          <a:prstGeom prst="rect">
                            <a:avLst/>
                          </a:prstGeom>
                        </pic:spPr>
                      </pic:pic>
                      <pic:pic>
                        <pic:nvPicPr>
                          <pic:cNvPr id="208" name="Image 208"/>
                          <pic:cNvPicPr/>
                        </pic:nvPicPr>
                        <pic:blipFill>
                          <a:blip r:embed="rId33" cstate="print"/>
                          <a:stretch>
                            <a:fillRect/>
                          </a:stretch>
                        </pic:blipFill>
                        <pic:spPr>
                          <a:xfrm>
                            <a:off x="2956560" y="1351788"/>
                            <a:ext cx="73533" cy="73533"/>
                          </a:xfrm>
                          <a:prstGeom prst="rect">
                            <a:avLst/>
                          </a:prstGeom>
                        </pic:spPr>
                      </pic:pic>
                      <wps:wsp>
                        <wps:cNvPr id="209" name="Graphic 209"/>
                        <wps:cNvSpPr/>
                        <wps:spPr>
                          <a:xfrm>
                            <a:off x="824547" y="596201"/>
                            <a:ext cx="2169160" cy="793750"/>
                          </a:xfrm>
                          <a:custGeom>
                            <a:avLst/>
                            <a:gdLst/>
                            <a:ahLst/>
                            <a:cxnLst/>
                            <a:rect l="l" t="t" r="r" b="b"/>
                            <a:pathLst>
                              <a:path w="2169160" h="793750">
                                <a:moveTo>
                                  <a:pt x="0" y="793241"/>
                                </a:moveTo>
                                <a:lnTo>
                                  <a:pt x="144272" y="223265"/>
                                </a:lnTo>
                                <a:lnTo>
                                  <a:pt x="289052" y="759713"/>
                                </a:lnTo>
                                <a:lnTo>
                                  <a:pt x="433832" y="774953"/>
                                </a:lnTo>
                                <a:lnTo>
                                  <a:pt x="578612" y="0"/>
                                </a:lnTo>
                                <a:lnTo>
                                  <a:pt x="723392" y="707898"/>
                                </a:lnTo>
                                <a:lnTo>
                                  <a:pt x="868172" y="791718"/>
                                </a:lnTo>
                                <a:lnTo>
                                  <a:pt x="1011427" y="793241"/>
                                </a:lnTo>
                                <a:lnTo>
                                  <a:pt x="1156208" y="793241"/>
                                </a:lnTo>
                                <a:lnTo>
                                  <a:pt x="1300988" y="767334"/>
                                </a:lnTo>
                                <a:lnTo>
                                  <a:pt x="1445768" y="526541"/>
                                </a:lnTo>
                                <a:lnTo>
                                  <a:pt x="1590548" y="497586"/>
                                </a:lnTo>
                                <a:lnTo>
                                  <a:pt x="1735327" y="692658"/>
                                </a:lnTo>
                                <a:lnTo>
                                  <a:pt x="1880108" y="791718"/>
                                </a:lnTo>
                                <a:lnTo>
                                  <a:pt x="2024888" y="791718"/>
                                </a:lnTo>
                                <a:lnTo>
                                  <a:pt x="2168779" y="767334"/>
                                </a:lnTo>
                              </a:path>
                            </a:pathLst>
                          </a:custGeom>
                          <a:ln w="28575">
                            <a:solidFill>
                              <a:srgbClr val="EC7C30"/>
                            </a:solidFill>
                            <a:prstDash val="solid"/>
                          </a:ln>
                        </wps:spPr>
                        <wps:bodyPr wrap="square" lIns="0" tIns="0" rIns="0" bIns="0" rtlCol="0">
                          <a:prstTxWarp prst="textNoShape">
                            <a:avLst/>
                          </a:prstTxWarp>
                          <a:noAutofit/>
                        </wps:bodyPr>
                      </wps:wsp>
                      <pic:pic>
                        <pic:nvPicPr>
                          <pic:cNvPr id="210" name="Image 210"/>
                          <pic:cNvPicPr/>
                        </pic:nvPicPr>
                        <pic:blipFill>
                          <a:blip r:embed="rId34" cstate="print"/>
                          <a:stretch>
                            <a:fillRect/>
                          </a:stretch>
                        </pic:blipFill>
                        <pic:spPr>
                          <a:xfrm>
                            <a:off x="787908" y="1353311"/>
                            <a:ext cx="73532" cy="73533"/>
                          </a:xfrm>
                          <a:prstGeom prst="rect">
                            <a:avLst/>
                          </a:prstGeom>
                        </pic:spPr>
                      </pic:pic>
                      <pic:pic>
                        <pic:nvPicPr>
                          <pic:cNvPr id="211" name="Image 211"/>
                          <pic:cNvPicPr/>
                        </pic:nvPicPr>
                        <pic:blipFill>
                          <a:blip r:embed="rId35" cstate="print"/>
                          <a:stretch>
                            <a:fillRect/>
                          </a:stretch>
                        </pic:blipFill>
                        <pic:spPr>
                          <a:xfrm>
                            <a:off x="932688" y="783336"/>
                            <a:ext cx="73532" cy="73533"/>
                          </a:xfrm>
                          <a:prstGeom prst="rect">
                            <a:avLst/>
                          </a:prstGeom>
                        </pic:spPr>
                      </pic:pic>
                      <pic:pic>
                        <pic:nvPicPr>
                          <pic:cNvPr id="212" name="Image 212"/>
                          <pic:cNvPicPr/>
                        </pic:nvPicPr>
                        <pic:blipFill>
                          <a:blip r:embed="rId36" cstate="print"/>
                          <a:stretch>
                            <a:fillRect/>
                          </a:stretch>
                        </pic:blipFill>
                        <pic:spPr>
                          <a:xfrm>
                            <a:off x="1077467" y="1319783"/>
                            <a:ext cx="73532" cy="73532"/>
                          </a:xfrm>
                          <a:prstGeom prst="rect">
                            <a:avLst/>
                          </a:prstGeom>
                        </pic:spPr>
                      </pic:pic>
                      <pic:pic>
                        <pic:nvPicPr>
                          <pic:cNvPr id="213" name="Image 213"/>
                          <pic:cNvPicPr/>
                        </pic:nvPicPr>
                        <pic:blipFill>
                          <a:blip r:embed="rId37" cstate="print"/>
                          <a:stretch>
                            <a:fillRect/>
                          </a:stretch>
                        </pic:blipFill>
                        <pic:spPr>
                          <a:xfrm>
                            <a:off x="1222247" y="1335024"/>
                            <a:ext cx="73533" cy="73533"/>
                          </a:xfrm>
                          <a:prstGeom prst="rect">
                            <a:avLst/>
                          </a:prstGeom>
                        </pic:spPr>
                      </pic:pic>
                      <pic:pic>
                        <pic:nvPicPr>
                          <pic:cNvPr id="214" name="Image 214"/>
                          <pic:cNvPicPr/>
                        </pic:nvPicPr>
                        <pic:blipFill>
                          <a:blip r:embed="rId35" cstate="print"/>
                          <a:stretch>
                            <a:fillRect/>
                          </a:stretch>
                        </pic:blipFill>
                        <pic:spPr>
                          <a:xfrm>
                            <a:off x="1367027" y="559308"/>
                            <a:ext cx="73533" cy="73532"/>
                          </a:xfrm>
                          <a:prstGeom prst="rect">
                            <a:avLst/>
                          </a:prstGeom>
                        </pic:spPr>
                      </pic:pic>
                      <pic:pic>
                        <pic:nvPicPr>
                          <pic:cNvPr id="215" name="Image 215"/>
                          <pic:cNvPicPr/>
                        </pic:nvPicPr>
                        <pic:blipFill>
                          <a:blip r:embed="rId37" cstate="print"/>
                          <a:stretch>
                            <a:fillRect/>
                          </a:stretch>
                        </pic:blipFill>
                        <pic:spPr>
                          <a:xfrm>
                            <a:off x="1511808" y="1267967"/>
                            <a:ext cx="73532" cy="73533"/>
                          </a:xfrm>
                          <a:prstGeom prst="rect">
                            <a:avLst/>
                          </a:prstGeom>
                        </pic:spPr>
                      </pic:pic>
                      <pic:pic>
                        <pic:nvPicPr>
                          <pic:cNvPr id="216" name="Image 216"/>
                          <pic:cNvPicPr/>
                        </pic:nvPicPr>
                        <pic:blipFill>
                          <a:blip r:embed="rId36" cstate="print"/>
                          <a:stretch>
                            <a:fillRect/>
                          </a:stretch>
                        </pic:blipFill>
                        <pic:spPr>
                          <a:xfrm>
                            <a:off x="1656588" y="1351788"/>
                            <a:ext cx="73532" cy="73533"/>
                          </a:xfrm>
                          <a:prstGeom prst="rect">
                            <a:avLst/>
                          </a:prstGeom>
                        </pic:spPr>
                      </pic:pic>
                      <pic:pic>
                        <pic:nvPicPr>
                          <pic:cNvPr id="217" name="Image 217"/>
                          <pic:cNvPicPr/>
                        </pic:nvPicPr>
                        <pic:blipFill>
                          <a:blip r:embed="rId36" cstate="print"/>
                          <a:stretch>
                            <a:fillRect/>
                          </a:stretch>
                        </pic:blipFill>
                        <pic:spPr>
                          <a:xfrm>
                            <a:off x="1799844" y="1353311"/>
                            <a:ext cx="73533" cy="73533"/>
                          </a:xfrm>
                          <a:prstGeom prst="rect">
                            <a:avLst/>
                          </a:prstGeom>
                        </pic:spPr>
                      </pic:pic>
                      <pic:pic>
                        <pic:nvPicPr>
                          <pic:cNvPr id="218" name="Image 218"/>
                          <pic:cNvPicPr/>
                        </pic:nvPicPr>
                        <pic:blipFill>
                          <a:blip r:embed="rId36" cstate="print"/>
                          <a:stretch>
                            <a:fillRect/>
                          </a:stretch>
                        </pic:blipFill>
                        <pic:spPr>
                          <a:xfrm>
                            <a:off x="1944623" y="1353311"/>
                            <a:ext cx="73533" cy="73533"/>
                          </a:xfrm>
                          <a:prstGeom prst="rect">
                            <a:avLst/>
                          </a:prstGeom>
                        </pic:spPr>
                      </pic:pic>
                      <pic:pic>
                        <pic:nvPicPr>
                          <pic:cNvPr id="219" name="Image 219"/>
                          <pic:cNvPicPr/>
                        </pic:nvPicPr>
                        <pic:blipFill>
                          <a:blip r:embed="rId37" cstate="print"/>
                          <a:stretch>
                            <a:fillRect/>
                          </a:stretch>
                        </pic:blipFill>
                        <pic:spPr>
                          <a:xfrm>
                            <a:off x="2089404" y="1327403"/>
                            <a:ext cx="73532" cy="73533"/>
                          </a:xfrm>
                          <a:prstGeom prst="rect">
                            <a:avLst/>
                          </a:prstGeom>
                        </pic:spPr>
                      </pic:pic>
                      <pic:pic>
                        <pic:nvPicPr>
                          <pic:cNvPr id="220" name="Image 220"/>
                          <pic:cNvPicPr/>
                        </pic:nvPicPr>
                        <pic:blipFill>
                          <a:blip r:embed="rId36" cstate="print"/>
                          <a:stretch>
                            <a:fillRect/>
                          </a:stretch>
                        </pic:blipFill>
                        <pic:spPr>
                          <a:xfrm>
                            <a:off x="2234183" y="1086611"/>
                            <a:ext cx="73533" cy="73533"/>
                          </a:xfrm>
                          <a:prstGeom prst="rect">
                            <a:avLst/>
                          </a:prstGeom>
                        </pic:spPr>
                      </pic:pic>
                      <pic:pic>
                        <pic:nvPicPr>
                          <pic:cNvPr id="221" name="Image 221"/>
                          <pic:cNvPicPr/>
                        </pic:nvPicPr>
                        <pic:blipFill>
                          <a:blip r:embed="rId34" cstate="print"/>
                          <a:stretch>
                            <a:fillRect/>
                          </a:stretch>
                        </pic:blipFill>
                        <pic:spPr>
                          <a:xfrm>
                            <a:off x="2378964" y="1057655"/>
                            <a:ext cx="73532" cy="73533"/>
                          </a:xfrm>
                          <a:prstGeom prst="rect">
                            <a:avLst/>
                          </a:prstGeom>
                        </pic:spPr>
                      </pic:pic>
                      <pic:pic>
                        <pic:nvPicPr>
                          <pic:cNvPr id="222" name="Image 222"/>
                          <pic:cNvPicPr/>
                        </pic:nvPicPr>
                        <pic:blipFill>
                          <a:blip r:embed="rId36" cstate="print"/>
                          <a:stretch>
                            <a:fillRect/>
                          </a:stretch>
                        </pic:blipFill>
                        <pic:spPr>
                          <a:xfrm>
                            <a:off x="2523744" y="1252727"/>
                            <a:ext cx="73533" cy="73533"/>
                          </a:xfrm>
                          <a:prstGeom prst="rect">
                            <a:avLst/>
                          </a:prstGeom>
                        </pic:spPr>
                      </pic:pic>
                      <pic:pic>
                        <pic:nvPicPr>
                          <pic:cNvPr id="223" name="Image 223"/>
                          <pic:cNvPicPr/>
                        </pic:nvPicPr>
                        <pic:blipFill>
                          <a:blip r:embed="rId36" cstate="print"/>
                          <a:stretch>
                            <a:fillRect/>
                          </a:stretch>
                        </pic:blipFill>
                        <pic:spPr>
                          <a:xfrm>
                            <a:off x="2668523" y="1351788"/>
                            <a:ext cx="73533" cy="73533"/>
                          </a:xfrm>
                          <a:prstGeom prst="rect">
                            <a:avLst/>
                          </a:prstGeom>
                        </pic:spPr>
                      </pic:pic>
                      <pic:pic>
                        <pic:nvPicPr>
                          <pic:cNvPr id="224" name="Image 224"/>
                          <pic:cNvPicPr/>
                        </pic:nvPicPr>
                        <pic:blipFill>
                          <a:blip r:embed="rId34" cstate="print"/>
                          <a:stretch>
                            <a:fillRect/>
                          </a:stretch>
                        </pic:blipFill>
                        <pic:spPr>
                          <a:xfrm>
                            <a:off x="2813304" y="1351788"/>
                            <a:ext cx="73532" cy="73533"/>
                          </a:xfrm>
                          <a:prstGeom prst="rect">
                            <a:avLst/>
                          </a:prstGeom>
                        </pic:spPr>
                      </pic:pic>
                      <pic:pic>
                        <pic:nvPicPr>
                          <pic:cNvPr id="225" name="Image 225"/>
                          <pic:cNvPicPr/>
                        </pic:nvPicPr>
                        <pic:blipFill>
                          <a:blip r:embed="rId35" cstate="print"/>
                          <a:stretch>
                            <a:fillRect/>
                          </a:stretch>
                        </pic:blipFill>
                        <pic:spPr>
                          <a:xfrm>
                            <a:off x="2956560" y="1327403"/>
                            <a:ext cx="73533" cy="73533"/>
                          </a:xfrm>
                          <a:prstGeom prst="rect">
                            <a:avLst/>
                          </a:prstGeom>
                        </pic:spPr>
                      </pic:pic>
                      <pic:pic>
                        <pic:nvPicPr>
                          <pic:cNvPr id="226" name="Image 226"/>
                          <pic:cNvPicPr/>
                        </pic:nvPicPr>
                        <pic:blipFill>
                          <a:blip r:embed="rId38" cstate="print"/>
                          <a:stretch>
                            <a:fillRect/>
                          </a:stretch>
                        </pic:blipFill>
                        <pic:spPr>
                          <a:xfrm>
                            <a:off x="3264344" y="1259713"/>
                            <a:ext cx="243839" cy="73533"/>
                          </a:xfrm>
                          <a:prstGeom prst="rect">
                            <a:avLst/>
                          </a:prstGeom>
                        </pic:spPr>
                      </pic:pic>
                      <pic:pic>
                        <pic:nvPicPr>
                          <pic:cNvPr id="227" name="Image 227"/>
                          <pic:cNvPicPr/>
                        </pic:nvPicPr>
                        <pic:blipFill>
                          <a:blip r:embed="rId39" cstate="print"/>
                          <a:stretch>
                            <a:fillRect/>
                          </a:stretch>
                        </pic:blipFill>
                        <pic:spPr>
                          <a:xfrm>
                            <a:off x="3264344" y="1611757"/>
                            <a:ext cx="243839" cy="73532"/>
                          </a:xfrm>
                          <a:prstGeom prst="rect">
                            <a:avLst/>
                          </a:prstGeom>
                        </pic:spPr>
                      </pic:pic>
                      <wps:wsp>
                        <wps:cNvPr id="228" name="Graphic 228"/>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229" name="Textbox 229"/>
                        <wps:cNvSpPr txBox="1"/>
                        <wps:spPr>
                          <a:xfrm>
                            <a:off x="1639125" y="136461"/>
                            <a:ext cx="1316990" cy="178435"/>
                          </a:xfrm>
                          <a:prstGeom prst="rect">
                            <a:avLst/>
                          </a:prstGeom>
                        </wps:spPr>
                        <wps:txbx>
                          <w:txbxContent>
                            <w:p>
                              <w:pPr>
                                <w:spacing w:line="281" w:lineRule="exact" w:before="0"/>
                                <w:ind w:left="0" w:right="0" w:firstLine="0"/>
                                <w:jc w:val="left"/>
                                <w:rPr>
                                  <w:rFonts w:ascii="Calibri"/>
                                  <w:sz w:val="28"/>
                                </w:rPr>
                              </w:pPr>
                              <w:r>
                                <w:rPr>
                                  <w:rFonts w:ascii="Calibri"/>
                                  <w:color w:val="585858"/>
                                  <w:spacing w:val="-2"/>
                                  <w:sz w:val="28"/>
                                </w:rPr>
                                <w:t>Investment</w:t>
                              </w:r>
                              <w:r>
                                <w:rPr>
                                  <w:rFonts w:ascii="Calibri"/>
                                  <w:color w:val="585858"/>
                                  <w:spacing w:val="-3"/>
                                  <w:sz w:val="28"/>
                                </w:rPr>
                                <w:t> </w:t>
                              </w:r>
                              <w:r>
                                <w:rPr>
                                  <w:rFonts w:ascii="Calibri"/>
                                  <w:color w:val="585858"/>
                                  <w:spacing w:val="-2"/>
                                  <w:sz w:val="28"/>
                                </w:rPr>
                                <w:t>stages</w:t>
                              </w:r>
                            </w:p>
                          </w:txbxContent>
                        </wps:txbx>
                        <wps:bodyPr wrap="square" lIns="0" tIns="0" rIns="0" bIns="0" rtlCol="0">
                          <a:noAutofit/>
                        </wps:bodyPr>
                      </wps:wsp>
                      <wps:wsp>
                        <wps:cNvPr id="230" name="Textbox 230"/>
                        <wps:cNvSpPr txBox="1"/>
                        <wps:spPr>
                          <a:xfrm>
                            <a:off x="357060" y="423100"/>
                            <a:ext cx="302895" cy="1028700"/>
                          </a:xfrm>
                          <a:prstGeom prst="rect">
                            <a:avLst/>
                          </a:prstGeom>
                        </wps:spPr>
                        <wps:txbx>
                          <w:txbxContent>
                            <w:p>
                              <w:pPr>
                                <w:spacing w:line="176" w:lineRule="exact" w:before="0"/>
                                <w:ind w:left="0" w:right="18" w:firstLine="0"/>
                                <w:jc w:val="right"/>
                                <w:rPr>
                                  <w:rFonts w:ascii="Calibri"/>
                                  <w:sz w:val="18"/>
                                </w:rPr>
                              </w:pPr>
                              <w:r>
                                <w:rPr>
                                  <w:rFonts w:ascii="Calibri"/>
                                  <w:color w:val="585858"/>
                                  <w:spacing w:val="-2"/>
                                  <w:sz w:val="18"/>
                                </w:rPr>
                                <w:t>70000</w:t>
                              </w:r>
                            </w:p>
                            <w:p>
                              <w:pPr>
                                <w:spacing w:line="206" w:lineRule="exact" w:before="0"/>
                                <w:ind w:left="0" w:right="18" w:firstLine="0"/>
                                <w:jc w:val="right"/>
                                <w:rPr>
                                  <w:rFonts w:ascii="Calibri"/>
                                  <w:sz w:val="18"/>
                                </w:rPr>
                              </w:pPr>
                              <w:r>
                                <w:rPr>
                                  <w:rFonts w:ascii="Calibri"/>
                                  <w:color w:val="585858"/>
                                  <w:spacing w:val="-2"/>
                                  <w:sz w:val="18"/>
                                </w:rPr>
                                <w:t>60000</w:t>
                              </w:r>
                            </w:p>
                            <w:p>
                              <w:pPr>
                                <w:spacing w:line="206" w:lineRule="exact" w:before="0"/>
                                <w:ind w:left="0" w:right="18" w:firstLine="0"/>
                                <w:jc w:val="right"/>
                                <w:rPr>
                                  <w:rFonts w:ascii="Calibri"/>
                                  <w:sz w:val="18"/>
                                </w:rPr>
                              </w:pPr>
                              <w:r>
                                <w:rPr>
                                  <w:rFonts w:ascii="Calibri"/>
                                  <w:color w:val="585858"/>
                                  <w:spacing w:val="-2"/>
                                  <w:sz w:val="18"/>
                                </w:rPr>
                                <w:t>50000</w:t>
                              </w:r>
                            </w:p>
                            <w:p>
                              <w:pPr>
                                <w:spacing w:line="205" w:lineRule="exact" w:before="0"/>
                                <w:ind w:left="0" w:right="18" w:firstLine="0"/>
                                <w:jc w:val="right"/>
                                <w:rPr>
                                  <w:rFonts w:ascii="Calibri"/>
                                  <w:sz w:val="18"/>
                                </w:rPr>
                              </w:pPr>
                              <w:r>
                                <w:rPr>
                                  <w:rFonts w:ascii="Calibri"/>
                                  <w:color w:val="585858"/>
                                  <w:spacing w:val="-2"/>
                                  <w:sz w:val="18"/>
                                </w:rPr>
                                <w:t>40000</w:t>
                              </w:r>
                            </w:p>
                            <w:p>
                              <w:pPr>
                                <w:spacing w:line="206" w:lineRule="exact" w:before="0"/>
                                <w:ind w:left="0" w:right="18" w:firstLine="0"/>
                                <w:jc w:val="right"/>
                                <w:rPr>
                                  <w:rFonts w:ascii="Calibri"/>
                                  <w:sz w:val="18"/>
                                </w:rPr>
                              </w:pPr>
                              <w:r>
                                <w:rPr>
                                  <w:rFonts w:ascii="Calibri"/>
                                  <w:color w:val="585858"/>
                                  <w:spacing w:val="-2"/>
                                  <w:sz w:val="18"/>
                                </w:rPr>
                                <w:t>30000</w:t>
                              </w:r>
                            </w:p>
                            <w:p>
                              <w:pPr>
                                <w:spacing w:line="206" w:lineRule="exact" w:before="0"/>
                                <w:ind w:left="0" w:right="18" w:firstLine="0"/>
                                <w:jc w:val="right"/>
                                <w:rPr>
                                  <w:rFonts w:ascii="Calibri"/>
                                  <w:sz w:val="18"/>
                                </w:rPr>
                              </w:pPr>
                              <w:r>
                                <w:rPr>
                                  <w:rFonts w:ascii="Calibri"/>
                                  <w:color w:val="585858"/>
                                  <w:spacing w:val="-2"/>
                                  <w:sz w:val="18"/>
                                </w:rPr>
                                <w:t>20000</w:t>
                              </w:r>
                            </w:p>
                            <w:p>
                              <w:pPr>
                                <w:spacing w:line="205" w:lineRule="exact" w:before="0"/>
                                <w:ind w:left="0" w:right="18" w:firstLine="0"/>
                                <w:jc w:val="right"/>
                                <w:rPr>
                                  <w:rFonts w:ascii="Calibri"/>
                                  <w:sz w:val="18"/>
                                </w:rPr>
                              </w:pPr>
                              <w:r>
                                <w:rPr>
                                  <w:rFonts w:ascii="Calibri"/>
                                  <w:color w:val="585858"/>
                                  <w:spacing w:val="-2"/>
                                  <w:sz w:val="18"/>
                                </w:rPr>
                                <w:t>10000</w:t>
                              </w:r>
                            </w:p>
                            <w:p>
                              <w:pPr>
                                <w:spacing w:line="209" w:lineRule="exact" w:before="0"/>
                                <w:ind w:left="0" w:right="18" w:firstLine="0"/>
                                <w:jc w:val="right"/>
                                <w:rPr>
                                  <w:rFonts w:ascii="Calibri"/>
                                  <w:sz w:val="18"/>
                                </w:rPr>
                              </w:pPr>
                              <w:r>
                                <w:rPr>
                                  <w:rFonts w:ascii="Calibri"/>
                                  <w:color w:val="585858"/>
                                  <w:spacing w:val="-10"/>
                                  <w:sz w:val="18"/>
                                </w:rPr>
                                <w:t>0</w:t>
                              </w:r>
                            </w:p>
                          </w:txbxContent>
                        </wps:txbx>
                        <wps:bodyPr wrap="square" lIns="0" tIns="0" rIns="0" bIns="0" rtlCol="0">
                          <a:noAutofit/>
                        </wps:bodyPr>
                      </wps:wsp>
                      <wps:wsp>
                        <wps:cNvPr id="231" name="Textbox 231"/>
                        <wps:cNvSpPr txBox="1"/>
                        <wps:spPr>
                          <a:xfrm>
                            <a:off x="3534981" y="1244282"/>
                            <a:ext cx="927735" cy="466725"/>
                          </a:xfrm>
                          <a:prstGeom prst="rect">
                            <a:avLst/>
                          </a:prstGeom>
                        </wps:spPr>
                        <wps:txbx>
                          <w:txbxContent>
                            <w:p>
                              <w:pPr>
                                <w:spacing w:line="183" w:lineRule="exact" w:before="0"/>
                                <w:ind w:left="0" w:right="0" w:firstLine="0"/>
                                <w:jc w:val="left"/>
                                <w:rPr>
                                  <w:rFonts w:ascii="Calibri"/>
                                  <w:sz w:val="18"/>
                                </w:rPr>
                              </w:pPr>
                              <w:r>
                                <w:rPr>
                                  <w:rFonts w:ascii="Calibri"/>
                                  <w:color w:val="585858"/>
                                  <w:sz w:val="18"/>
                                </w:rPr>
                                <w:t>Sum</w:t>
                              </w:r>
                              <w:r>
                                <w:rPr>
                                  <w:rFonts w:ascii="Calibri"/>
                                  <w:color w:val="585858"/>
                                  <w:spacing w:val="-2"/>
                                  <w:sz w:val="18"/>
                                </w:rPr>
                                <w:t> </w:t>
                              </w:r>
                              <w:r>
                                <w:rPr>
                                  <w:rFonts w:ascii="Calibri"/>
                                  <w:color w:val="585858"/>
                                  <w:sz w:val="18"/>
                                </w:rPr>
                                <w:t>of</w:t>
                              </w:r>
                              <w:r>
                                <w:rPr>
                                  <w:rFonts w:ascii="Calibri"/>
                                  <w:color w:val="585858"/>
                                  <w:spacing w:val="-1"/>
                                  <w:sz w:val="18"/>
                                </w:rPr>
                                <w:t> </w:t>
                              </w:r>
                              <w:r>
                                <w:rPr>
                                  <w:rFonts w:ascii="Calibri"/>
                                  <w:color w:val="585858"/>
                                  <w:sz w:val="18"/>
                                </w:rPr>
                                <w:t>Total</w:t>
                              </w:r>
                              <w:r>
                                <w:rPr>
                                  <w:rFonts w:ascii="Calibri"/>
                                  <w:color w:val="585858"/>
                                  <w:spacing w:val="-2"/>
                                  <w:sz w:val="18"/>
                                </w:rPr>
                                <w:t> Round</w:t>
                              </w:r>
                            </w:p>
                            <w:p>
                              <w:pPr>
                                <w:spacing w:before="0"/>
                                <w:ind w:left="0" w:right="0" w:firstLine="0"/>
                                <w:jc w:val="left"/>
                                <w:rPr>
                                  <w:rFonts w:ascii="Calibri"/>
                                  <w:sz w:val="18"/>
                                </w:rPr>
                              </w:pPr>
                              <w:r>
                                <w:rPr>
                                  <w:rFonts w:ascii="Calibri"/>
                                  <w:color w:val="585858"/>
                                  <w:sz w:val="18"/>
                                </w:rPr>
                                <w:t>Value</w:t>
                              </w:r>
                              <w:r>
                                <w:rPr>
                                  <w:rFonts w:ascii="Calibri"/>
                                  <w:color w:val="585858"/>
                                  <w:spacing w:val="-4"/>
                                  <w:sz w:val="18"/>
                                </w:rPr>
                                <w:t> </w:t>
                              </w:r>
                              <w:r>
                                <w:rPr>
                                  <w:rFonts w:ascii="Calibri"/>
                                  <w:color w:val="585858"/>
                                  <w:spacing w:val="-2"/>
                                  <w:sz w:val="18"/>
                                </w:rPr>
                                <w:t>(USD)</w:t>
                              </w:r>
                            </w:p>
                            <w:p>
                              <w:pPr>
                                <w:spacing w:line="216" w:lineRule="exact" w:before="115"/>
                                <w:ind w:left="0" w:right="0" w:firstLine="0"/>
                                <w:jc w:val="left"/>
                                <w:rPr>
                                  <w:rFonts w:ascii="Calibri"/>
                                  <w:sz w:val="18"/>
                                </w:rPr>
                              </w:pPr>
                              <w:r>
                                <w:rPr>
                                  <w:rFonts w:ascii="Calibri"/>
                                  <w:color w:val="585858"/>
                                  <w:sz w:val="18"/>
                                </w:rPr>
                                <w:t>Count</w:t>
                              </w:r>
                              <w:r>
                                <w:rPr>
                                  <w:rFonts w:ascii="Calibri"/>
                                  <w:color w:val="585858"/>
                                  <w:spacing w:val="-3"/>
                                  <w:sz w:val="18"/>
                                </w:rPr>
                                <w:t> </w:t>
                              </w:r>
                              <w:r>
                                <w:rPr>
                                  <w:rFonts w:ascii="Calibri"/>
                                  <w:color w:val="585858"/>
                                  <w:sz w:val="18"/>
                                </w:rPr>
                                <w:t>of</w:t>
                              </w:r>
                              <w:r>
                                <w:rPr>
                                  <w:rFonts w:ascii="Calibri"/>
                                  <w:color w:val="585858"/>
                                  <w:spacing w:val="-2"/>
                                  <w:sz w:val="18"/>
                                </w:rPr>
                                <w:t> </w:t>
                              </w:r>
                              <w:r>
                                <w:rPr>
                                  <w:rFonts w:ascii="Calibri"/>
                                  <w:color w:val="585858"/>
                                  <w:sz w:val="18"/>
                                </w:rPr>
                                <w:t>Round</w:t>
                              </w:r>
                              <w:r>
                                <w:rPr>
                                  <w:rFonts w:ascii="Calibri"/>
                                  <w:color w:val="585858"/>
                                  <w:spacing w:val="-2"/>
                                  <w:sz w:val="18"/>
                                </w:rPr>
                                <w:t> </w:t>
                              </w:r>
                              <w:r>
                                <w:rPr>
                                  <w:rFonts w:ascii="Calibri"/>
                                  <w:color w:val="585858"/>
                                  <w:spacing w:val="-5"/>
                                  <w:sz w:val="18"/>
                                </w:rPr>
                                <w:t>ID</w:t>
                              </w:r>
                            </w:p>
                          </w:txbxContent>
                        </wps:txbx>
                        <wps:bodyPr wrap="square" lIns="0" tIns="0" rIns="0" bIns="0" rtlCol="0">
                          <a:noAutofit/>
                        </wps:bodyPr>
                      </wps:wsp>
                      <wps:wsp>
                        <wps:cNvPr id="232" name="Textbox 232"/>
                        <wps:cNvSpPr txBox="1"/>
                        <wps:spPr>
                          <a:xfrm>
                            <a:off x="1414081" y="2461069"/>
                            <a:ext cx="1003935" cy="127000"/>
                          </a:xfrm>
                          <a:prstGeom prst="rect">
                            <a:avLst/>
                          </a:prstGeom>
                        </wps:spPr>
                        <wps:txbx>
                          <w:txbxContent>
                            <w:p>
                              <w:pPr>
                                <w:spacing w:line="199" w:lineRule="exact" w:before="0"/>
                                <w:ind w:left="0" w:right="0" w:firstLine="0"/>
                                <w:jc w:val="left"/>
                                <w:rPr>
                                  <w:rFonts w:ascii="Calibri"/>
                                  <w:sz w:val="20"/>
                                </w:rPr>
                              </w:pPr>
                              <w:r>
                                <w:rPr>
                                  <w:rFonts w:ascii="Calibri"/>
                                  <w:color w:val="585858"/>
                                  <w:sz w:val="20"/>
                                </w:rPr>
                                <w:t>Investment</w:t>
                              </w:r>
                              <w:r>
                                <w:rPr>
                                  <w:rFonts w:ascii="Calibri"/>
                                  <w:color w:val="585858"/>
                                  <w:spacing w:val="-12"/>
                                  <w:sz w:val="20"/>
                                </w:rPr>
                                <w:t> </w:t>
                              </w:r>
                              <w:r>
                                <w:rPr>
                                  <w:rFonts w:ascii="Calibri"/>
                                  <w:color w:val="585858"/>
                                  <w:spacing w:val="-2"/>
                                  <w:sz w:val="20"/>
                                </w:rPr>
                                <w:t>Sectors</w:t>
                              </w:r>
                            </w:p>
                          </w:txbxContent>
                        </wps:txbx>
                        <wps:bodyPr wrap="square" lIns="0" tIns="0" rIns="0" bIns="0" rtlCol="0">
                          <a:noAutofit/>
                        </wps:bodyPr>
                      </wps:wsp>
                    </wpg:wgp>
                  </a:graphicData>
                </a:graphic>
              </wp:anchor>
            </w:drawing>
          </mc:Choice>
          <mc:Fallback>
            <w:pict>
              <v:group style="position:absolute;margin-left:117.275002pt;margin-top:19.803516pt;width:360.75pt;height:216.75pt;mso-position-horizontal-relative:page;mso-position-vertical-relative:paragraph;z-index:15737856" id="docshapegroup180" coordorigin="2346,396" coordsize="7215,4335">
                <v:shape style="position:absolute;left:3530;top:1145;width:3644;height:1439" id="docshape181" coordorigin="3530,1145" coordsize="3644,1439" path="m3530,2378l7173,2378m3530,2174l7173,2174m3530,1967l7173,1967m3530,1761l7173,1761m3530,1557l7173,1557m3530,1351l7173,1351m3530,1145l7173,1145m3530,2584l7173,2584e" filled="false" stroked="true" strokeweight=".75pt" strokecolor="#d9d9d9">
                  <v:path arrowok="t"/>
                  <v:stroke dashstyle="solid"/>
                </v:shape>
                <v:shape style="position:absolute;left:3644;top:2521;width:3416;height:63" id="docshape182" coordorigin="3644,2521" coordsize="3416,63" path="m3644,2584l3871,2563,4099,2577,4327,2577,4555,2521,4783,2579,5011,2584,5237,2584,5465,2584,5693,2584,5921,2579,6149,2575,6377,2582,6605,2584,6833,2584,7059,2582e" filled="false" stroked="true" strokeweight="2.25pt" strokecolor="#4471c4">
                  <v:path arrowok="t"/>
                  <v:stroke dashstyle="solid"/>
                </v:shape>
                <v:shape style="position:absolute;left:3586;top:2527;width:116;height:116" type="#_x0000_t75" id="docshape183" stroked="false">
                  <v:imagedata r:id="rId30" o:title=""/>
                </v:shape>
                <v:shape style="position:absolute;left:3814;top:2505;width:116;height:116" type="#_x0000_t75" id="docshape184" stroked="false">
                  <v:imagedata r:id="rId31" o:title=""/>
                </v:shape>
                <v:shape style="position:absolute;left:4042;top:2520;width:116;height:116" type="#_x0000_t75" id="docshape185" stroked="false">
                  <v:imagedata r:id="rId31" o:title=""/>
                </v:shape>
                <v:shape style="position:absolute;left:4270;top:2520;width:116;height:116" type="#_x0000_t75" id="docshape186" stroked="false">
                  <v:imagedata r:id="rId32" o:title=""/>
                </v:shape>
                <v:shape style="position:absolute;left:4498;top:2464;width:116;height:116" type="#_x0000_t75" id="docshape187" stroked="false">
                  <v:imagedata r:id="rId33" o:title=""/>
                </v:shape>
                <v:shape style="position:absolute;left:4726;top:2522;width:116;height:116" type="#_x0000_t75" id="docshape188" stroked="false">
                  <v:imagedata r:id="rId32" o:title=""/>
                </v:shape>
                <v:shape style="position:absolute;left:4954;top:2527;width:116;height:116" type="#_x0000_t75" id="docshape189" stroked="false">
                  <v:imagedata r:id="rId33" o:title=""/>
                </v:shape>
                <v:shape style="position:absolute;left:5179;top:2527;width:116;height:116" type="#_x0000_t75" id="docshape190" stroked="false">
                  <v:imagedata r:id="rId33" o:title=""/>
                </v:shape>
                <v:shape style="position:absolute;left:5407;top:2527;width:116;height:116" type="#_x0000_t75" id="docshape191" stroked="false">
                  <v:imagedata r:id="rId33" o:title=""/>
                </v:shape>
                <v:shape style="position:absolute;left:5635;top:2527;width:116;height:116" type="#_x0000_t75" id="docshape192" stroked="false">
                  <v:imagedata r:id="rId30" o:title=""/>
                </v:shape>
                <v:shape style="position:absolute;left:5863;top:2522;width:116;height:116" type="#_x0000_t75" id="docshape193" stroked="false">
                  <v:imagedata r:id="rId31" o:title=""/>
                </v:shape>
                <v:shape style="position:absolute;left:6091;top:2517;width:116;height:116" type="#_x0000_t75" id="docshape194" stroked="false">
                  <v:imagedata r:id="rId30" o:title=""/>
                </v:shape>
                <v:shape style="position:absolute;left:6319;top:2524;width:116;height:116" type="#_x0000_t75" id="docshape195" stroked="false">
                  <v:imagedata r:id="rId33" o:title=""/>
                </v:shape>
                <v:shape style="position:absolute;left:6547;top:2527;width:116;height:116" type="#_x0000_t75" id="docshape196" stroked="false">
                  <v:imagedata r:id="rId33" o:title=""/>
                </v:shape>
                <v:shape style="position:absolute;left:6775;top:2527;width:116;height:116" type="#_x0000_t75" id="docshape197" stroked="false">
                  <v:imagedata r:id="rId30" o:title=""/>
                </v:shape>
                <v:shape style="position:absolute;left:7001;top:2524;width:116;height:116" type="#_x0000_t75" id="docshape198" stroked="false">
                  <v:imagedata r:id="rId33" o:title=""/>
                </v:shape>
                <v:shape style="position:absolute;left:3644;top:1334;width:3416;height:1250" id="docshape199" coordorigin="3644,1335" coordsize="3416,1250" path="m3644,2584l3871,1687,4099,2531,4327,2555,4555,1335,4783,2450,5011,2582,5237,2584,5465,2584,5693,2543,5921,2164,6149,2119,6377,2426,6605,2582,6833,2582,7059,2543e" filled="false" stroked="true" strokeweight="2.25pt" strokecolor="#ec7c30">
                  <v:path arrowok="t"/>
                  <v:stroke dashstyle="solid"/>
                </v:shape>
                <v:shape style="position:absolute;left:3586;top:2527;width:116;height:116" type="#_x0000_t75" id="docshape200" stroked="false">
                  <v:imagedata r:id="rId34" o:title=""/>
                </v:shape>
                <v:shape style="position:absolute;left:3814;top:1629;width:116;height:116" type="#_x0000_t75" id="docshape201" stroked="false">
                  <v:imagedata r:id="rId35" o:title=""/>
                </v:shape>
                <v:shape style="position:absolute;left:4042;top:2474;width:116;height:116" type="#_x0000_t75" id="docshape202" stroked="false">
                  <v:imagedata r:id="rId36" o:title=""/>
                </v:shape>
                <v:shape style="position:absolute;left:4270;top:2498;width:116;height:116" type="#_x0000_t75" id="docshape203" stroked="false">
                  <v:imagedata r:id="rId37" o:title=""/>
                </v:shape>
                <v:shape style="position:absolute;left:4498;top:1276;width:116;height:116" type="#_x0000_t75" id="docshape204" stroked="false">
                  <v:imagedata r:id="rId35" o:title=""/>
                </v:shape>
                <v:shape style="position:absolute;left:4726;top:2392;width:116;height:116" type="#_x0000_t75" id="docshape205" stroked="false">
                  <v:imagedata r:id="rId37" o:title=""/>
                </v:shape>
                <v:shape style="position:absolute;left:4954;top:2524;width:116;height:116" type="#_x0000_t75" id="docshape206" stroked="false">
                  <v:imagedata r:id="rId36" o:title=""/>
                </v:shape>
                <v:shape style="position:absolute;left:5179;top:2527;width:116;height:116" type="#_x0000_t75" id="docshape207" stroked="false">
                  <v:imagedata r:id="rId36" o:title=""/>
                </v:shape>
                <v:shape style="position:absolute;left:5407;top:2527;width:116;height:116" type="#_x0000_t75" id="docshape208" stroked="false">
                  <v:imagedata r:id="rId36" o:title=""/>
                </v:shape>
                <v:shape style="position:absolute;left:5635;top:2486;width:116;height:116" type="#_x0000_t75" id="docshape209" stroked="false">
                  <v:imagedata r:id="rId37" o:title=""/>
                </v:shape>
                <v:shape style="position:absolute;left:5863;top:2107;width:116;height:116" type="#_x0000_t75" id="docshape210" stroked="false">
                  <v:imagedata r:id="rId36" o:title=""/>
                </v:shape>
                <v:shape style="position:absolute;left:6091;top:2061;width:116;height:116" type="#_x0000_t75" id="docshape211" stroked="false">
                  <v:imagedata r:id="rId34" o:title=""/>
                </v:shape>
                <v:shape style="position:absolute;left:6319;top:2368;width:116;height:116" type="#_x0000_t75" id="docshape212" stroked="false">
                  <v:imagedata r:id="rId36" o:title=""/>
                </v:shape>
                <v:shape style="position:absolute;left:6547;top:2524;width:116;height:116" type="#_x0000_t75" id="docshape213" stroked="false">
                  <v:imagedata r:id="rId36" o:title=""/>
                </v:shape>
                <v:shape style="position:absolute;left:6775;top:2524;width:116;height:116" type="#_x0000_t75" id="docshape214" stroked="false">
                  <v:imagedata r:id="rId34" o:title=""/>
                </v:shape>
                <v:shape style="position:absolute;left:7001;top:2486;width:116;height:116" type="#_x0000_t75" id="docshape215" stroked="false">
                  <v:imagedata r:id="rId35" o:title=""/>
                </v:shape>
                <v:shape style="position:absolute;left:7486;top:2379;width:384;height:116" type="#_x0000_t75" id="docshape216" stroked="false">
                  <v:imagedata r:id="rId38" o:title=""/>
                </v:shape>
                <v:shape style="position:absolute;left:7486;top:2934;width:384;height:116" type="#_x0000_t75" id="docshape217" stroked="false">
                  <v:imagedata r:id="rId39" o:title=""/>
                </v:shape>
                <v:rect style="position:absolute;left:2353;top:403;width:7200;height:4320" id="docshape218" filled="false" stroked="true" strokeweight=".75pt" strokecolor="#d9d9d9">
                  <v:stroke dashstyle="solid"/>
                </v:rect>
                <v:shape style="position:absolute;left:4926;top:610;width:2074;height:281" type="#_x0000_t202" id="docshape219" filled="false" stroked="false">
                  <v:textbox inset="0,0,0,0">
                    <w:txbxContent>
                      <w:p>
                        <w:pPr>
                          <w:spacing w:line="281" w:lineRule="exact" w:before="0"/>
                          <w:ind w:left="0" w:right="0" w:firstLine="0"/>
                          <w:jc w:val="left"/>
                          <w:rPr>
                            <w:rFonts w:ascii="Calibri"/>
                            <w:sz w:val="28"/>
                          </w:rPr>
                        </w:pPr>
                        <w:r>
                          <w:rPr>
                            <w:rFonts w:ascii="Calibri"/>
                            <w:color w:val="585858"/>
                            <w:spacing w:val="-2"/>
                            <w:sz w:val="28"/>
                          </w:rPr>
                          <w:t>Investment</w:t>
                        </w:r>
                        <w:r>
                          <w:rPr>
                            <w:rFonts w:ascii="Calibri"/>
                            <w:color w:val="585858"/>
                            <w:spacing w:val="-3"/>
                            <w:sz w:val="28"/>
                          </w:rPr>
                          <w:t> </w:t>
                        </w:r>
                        <w:r>
                          <w:rPr>
                            <w:rFonts w:ascii="Calibri"/>
                            <w:color w:val="585858"/>
                            <w:spacing w:val="-2"/>
                            <w:sz w:val="28"/>
                          </w:rPr>
                          <w:t>stages</w:t>
                        </w:r>
                      </w:p>
                    </w:txbxContent>
                  </v:textbox>
                  <w10:wrap type="none"/>
                </v:shape>
                <v:shape style="position:absolute;left:2907;top:1062;width:477;height:1620" type="#_x0000_t202" id="docshape220" filled="false" stroked="false">
                  <v:textbox inset="0,0,0,0">
                    <w:txbxContent>
                      <w:p>
                        <w:pPr>
                          <w:spacing w:line="176" w:lineRule="exact" w:before="0"/>
                          <w:ind w:left="0" w:right="18" w:firstLine="0"/>
                          <w:jc w:val="right"/>
                          <w:rPr>
                            <w:rFonts w:ascii="Calibri"/>
                            <w:sz w:val="18"/>
                          </w:rPr>
                        </w:pPr>
                        <w:r>
                          <w:rPr>
                            <w:rFonts w:ascii="Calibri"/>
                            <w:color w:val="585858"/>
                            <w:spacing w:val="-2"/>
                            <w:sz w:val="18"/>
                          </w:rPr>
                          <w:t>70000</w:t>
                        </w:r>
                      </w:p>
                      <w:p>
                        <w:pPr>
                          <w:spacing w:line="206" w:lineRule="exact" w:before="0"/>
                          <w:ind w:left="0" w:right="18" w:firstLine="0"/>
                          <w:jc w:val="right"/>
                          <w:rPr>
                            <w:rFonts w:ascii="Calibri"/>
                            <w:sz w:val="18"/>
                          </w:rPr>
                        </w:pPr>
                        <w:r>
                          <w:rPr>
                            <w:rFonts w:ascii="Calibri"/>
                            <w:color w:val="585858"/>
                            <w:spacing w:val="-2"/>
                            <w:sz w:val="18"/>
                          </w:rPr>
                          <w:t>60000</w:t>
                        </w:r>
                      </w:p>
                      <w:p>
                        <w:pPr>
                          <w:spacing w:line="206" w:lineRule="exact" w:before="0"/>
                          <w:ind w:left="0" w:right="18" w:firstLine="0"/>
                          <w:jc w:val="right"/>
                          <w:rPr>
                            <w:rFonts w:ascii="Calibri"/>
                            <w:sz w:val="18"/>
                          </w:rPr>
                        </w:pPr>
                        <w:r>
                          <w:rPr>
                            <w:rFonts w:ascii="Calibri"/>
                            <w:color w:val="585858"/>
                            <w:spacing w:val="-2"/>
                            <w:sz w:val="18"/>
                          </w:rPr>
                          <w:t>50000</w:t>
                        </w:r>
                      </w:p>
                      <w:p>
                        <w:pPr>
                          <w:spacing w:line="205" w:lineRule="exact" w:before="0"/>
                          <w:ind w:left="0" w:right="18" w:firstLine="0"/>
                          <w:jc w:val="right"/>
                          <w:rPr>
                            <w:rFonts w:ascii="Calibri"/>
                            <w:sz w:val="18"/>
                          </w:rPr>
                        </w:pPr>
                        <w:r>
                          <w:rPr>
                            <w:rFonts w:ascii="Calibri"/>
                            <w:color w:val="585858"/>
                            <w:spacing w:val="-2"/>
                            <w:sz w:val="18"/>
                          </w:rPr>
                          <w:t>40000</w:t>
                        </w:r>
                      </w:p>
                      <w:p>
                        <w:pPr>
                          <w:spacing w:line="206" w:lineRule="exact" w:before="0"/>
                          <w:ind w:left="0" w:right="18" w:firstLine="0"/>
                          <w:jc w:val="right"/>
                          <w:rPr>
                            <w:rFonts w:ascii="Calibri"/>
                            <w:sz w:val="18"/>
                          </w:rPr>
                        </w:pPr>
                        <w:r>
                          <w:rPr>
                            <w:rFonts w:ascii="Calibri"/>
                            <w:color w:val="585858"/>
                            <w:spacing w:val="-2"/>
                            <w:sz w:val="18"/>
                          </w:rPr>
                          <w:t>30000</w:t>
                        </w:r>
                      </w:p>
                      <w:p>
                        <w:pPr>
                          <w:spacing w:line="206" w:lineRule="exact" w:before="0"/>
                          <w:ind w:left="0" w:right="18" w:firstLine="0"/>
                          <w:jc w:val="right"/>
                          <w:rPr>
                            <w:rFonts w:ascii="Calibri"/>
                            <w:sz w:val="18"/>
                          </w:rPr>
                        </w:pPr>
                        <w:r>
                          <w:rPr>
                            <w:rFonts w:ascii="Calibri"/>
                            <w:color w:val="585858"/>
                            <w:spacing w:val="-2"/>
                            <w:sz w:val="18"/>
                          </w:rPr>
                          <w:t>20000</w:t>
                        </w:r>
                      </w:p>
                      <w:p>
                        <w:pPr>
                          <w:spacing w:line="205" w:lineRule="exact" w:before="0"/>
                          <w:ind w:left="0" w:right="18" w:firstLine="0"/>
                          <w:jc w:val="right"/>
                          <w:rPr>
                            <w:rFonts w:ascii="Calibri"/>
                            <w:sz w:val="18"/>
                          </w:rPr>
                        </w:pPr>
                        <w:r>
                          <w:rPr>
                            <w:rFonts w:ascii="Calibri"/>
                            <w:color w:val="585858"/>
                            <w:spacing w:val="-2"/>
                            <w:sz w:val="18"/>
                          </w:rPr>
                          <w:t>10000</w:t>
                        </w:r>
                      </w:p>
                      <w:p>
                        <w:pPr>
                          <w:spacing w:line="209" w:lineRule="exact" w:before="0"/>
                          <w:ind w:left="0" w:right="18" w:firstLine="0"/>
                          <w:jc w:val="right"/>
                          <w:rPr>
                            <w:rFonts w:ascii="Calibri"/>
                            <w:sz w:val="18"/>
                          </w:rPr>
                        </w:pPr>
                        <w:r>
                          <w:rPr>
                            <w:rFonts w:ascii="Calibri"/>
                            <w:color w:val="585858"/>
                            <w:spacing w:val="-10"/>
                            <w:sz w:val="18"/>
                          </w:rPr>
                          <w:t>0</w:t>
                        </w:r>
                      </w:p>
                    </w:txbxContent>
                  </v:textbox>
                  <w10:wrap type="none"/>
                </v:shape>
                <v:shape style="position:absolute;left:7912;top:2355;width:1461;height:735" type="#_x0000_t202" id="docshape221" filled="false" stroked="false">
                  <v:textbox inset="0,0,0,0">
                    <w:txbxContent>
                      <w:p>
                        <w:pPr>
                          <w:spacing w:line="183" w:lineRule="exact" w:before="0"/>
                          <w:ind w:left="0" w:right="0" w:firstLine="0"/>
                          <w:jc w:val="left"/>
                          <w:rPr>
                            <w:rFonts w:ascii="Calibri"/>
                            <w:sz w:val="18"/>
                          </w:rPr>
                        </w:pPr>
                        <w:r>
                          <w:rPr>
                            <w:rFonts w:ascii="Calibri"/>
                            <w:color w:val="585858"/>
                            <w:sz w:val="18"/>
                          </w:rPr>
                          <w:t>Sum</w:t>
                        </w:r>
                        <w:r>
                          <w:rPr>
                            <w:rFonts w:ascii="Calibri"/>
                            <w:color w:val="585858"/>
                            <w:spacing w:val="-2"/>
                            <w:sz w:val="18"/>
                          </w:rPr>
                          <w:t> </w:t>
                        </w:r>
                        <w:r>
                          <w:rPr>
                            <w:rFonts w:ascii="Calibri"/>
                            <w:color w:val="585858"/>
                            <w:sz w:val="18"/>
                          </w:rPr>
                          <w:t>of</w:t>
                        </w:r>
                        <w:r>
                          <w:rPr>
                            <w:rFonts w:ascii="Calibri"/>
                            <w:color w:val="585858"/>
                            <w:spacing w:val="-1"/>
                            <w:sz w:val="18"/>
                          </w:rPr>
                          <w:t> </w:t>
                        </w:r>
                        <w:r>
                          <w:rPr>
                            <w:rFonts w:ascii="Calibri"/>
                            <w:color w:val="585858"/>
                            <w:sz w:val="18"/>
                          </w:rPr>
                          <w:t>Total</w:t>
                        </w:r>
                        <w:r>
                          <w:rPr>
                            <w:rFonts w:ascii="Calibri"/>
                            <w:color w:val="585858"/>
                            <w:spacing w:val="-2"/>
                            <w:sz w:val="18"/>
                          </w:rPr>
                          <w:t> Round</w:t>
                        </w:r>
                      </w:p>
                      <w:p>
                        <w:pPr>
                          <w:spacing w:before="0"/>
                          <w:ind w:left="0" w:right="0" w:firstLine="0"/>
                          <w:jc w:val="left"/>
                          <w:rPr>
                            <w:rFonts w:ascii="Calibri"/>
                            <w:sz w:val="18"/>
                          </w:rPr>
                        </w:pPr>
                        <w:r>
                          <w:rPr>
                            <w:rFonts w:ascii="Calibri"/>
                            <w:color w:val="585858"/>
                            <w:sz w:val="18"/>
                          </w:rPr>
                          <w:t>Value</w:t>
                        </w:r>
                        <w:r>
                          <w:rPr>
                            <w:rFonts w:ascii="Calibri"/>
                            <w:color w:val="585858"/>
                            <w:spacing w:val="-4"/>
                            <w:sz w:val="18"/>
                          </w:rPr>
                          <w:t> </w:t>
                        </w:r>
                        <w:r>
                          <w:rPr>
                            <w:rFonts w:ascii="Calibri"/>
                            <w:color w:val="585858"/>
                            <w:spacing w:val="-2"/>
                            <w:sz w:val="18"/>
                          </w:rPr>
                          <w:t>(USD)</w:t>
                        </w:r>
                      </w:p>
                      <w:p>
                        <w:pPr>
                          <w:spacing w:line="216" w:lineRule="exact" w:before="115"/>
                          <w:ind w:left="0" w:right="0" w:firstLine="0"/>
                          <w:jc w:val="left"/>
                          <w:rPr>
                            <w:rFonts w:ascii="Calibri"/>
                            <w:sz w:val="18"/>
                          </w:rPr>
                        </w:pPr>
                        <w:r>
                          <w:rPr>
                            <w:rFonts w:ascii="Calibri"/>
                            <w:color w:val="585858"/>
                            <w:sz w:val="18"/>
                          </w:rPr>
                          <w:t>Count</w:t>
                        </w:r>
                        <w:r>
                          <w:rPr>
                            <w:rFonts w:ascii="Calibri"/>
                            <w:color w:val="585858"/>
                            <w:spacing w:val="-3"/>
                            <w:sz w:val="18"/>
                          </w:rPr>
                          <w:t> </w:t>
                        </w:r>
                        <w:r>
                          <w:rPr>
                            <w:rFonts w:ascii="Calibri"/>
                            <w:color w:val="585858"/>
                            <w:sz w:val="18"/>
                          </w:rPr>
                          <w:t>of</w:t>
                        </w:r>
                        <w:r>
                          <w:rPr>
                            <w:rFonts w:ascii="Calibri"/>
                            <w:color w:val="585858"/>
                            <w:spacing w:val="-2"/>
                            <w:sz w:val="18"/>
                          </w:rPr>
                          <w:t> </w:t>
                        </w:r>
                        <w:r>
                          <w:rPr>
                            <w:rFonts w:ascii="Calibri"/>
                            <w:color w:val="585858"/>
                            <w:sz w:val="18"/>
                          </w:rPr>
                          <w:t>Round</w:t>
                        </w:r>
                        <w:r>
                          <w:rPr>
                            <w:rFonts w:ascii="Calibri"/>
                            <w:color w:val="585858"/>
                            <w:spacing w:val="-2"/>
                            <w:sz w:val="18"/>
                          </w:rPr>
                          <w:t> </w:t>
                        </w:r>
                        <w:r>
                          <w:rPr>
                            <w:rFonts w:ascii="Calibri"/>
                            <w:color w:val="585858"/>
                            <w:spacing w:val="-5"/>
                            <w:sz w:val="18"/>
                          </w:rPr>
                          <w:t>ID</w:t>
                        </w:r>
                      </w:p>
                    </w:txbxContent>
                  </v:textbox>
                  <w10:wrap type="none"/>
                </v:shape>
                <v:shape style="position:absolute;left:4572;top:4271;width:1581;height:200" type="#_x0000_t202" id="docshape222" filled="false" stroked="false">
                  <v:textbox inset="0,0,0,0">
                    <w:txbxContent>
                      <w:p>
                        <w:pPr>
                          <w:spacing w:line="199" w:lineRule="exact" w:before="0"/>
                          <w:ind w:left="0" w:right="0" w:firstLine="0"/>
                          <w:jc w:val="left"/>
                          <w:rPr>
                            <w:rFonts w:ascii="Calibri"/>
                            <w:sz w:val="20"/>
                          </w:rPr>
                        </w:pPr>
                        <w:r>
                          <w:rPr>
                            <w:rFonts w:ascii="Calibri"/>
                            <w:color w:val="585858"/>
                            <w:sz w:val="20"/>
                          </w:rPr>
                          <w:t>Investment</w:t>
                        </w:r>
                        <w:r>
                          <w:rPr>
                            <w:rFonts w:ascii="Calibri"/>
                            <w:color w:val="585858"/>
                            <w:spacing w:val="-12"/>
                            <w:sz w:val="20"/>
                          </w:rPr>
                          <w:t> </w:t>
                        </w:r>
                        <w:r>
                          <w:rPr>
                            <w:rFonts w:ascii="Calibri"/>
                            <w:color w:val="585858"/>
                            <w:spacing w:val="-2"/>
                            <w:sz w:val="20"/>
                          </w:rPr>
                          <w:t>Sectors</w:t>
                        </w:r>
                      </w:p>
                    </w:txbxContent>
                  </v:textbox>
                  <w10:wrap type="none"/>
                </v:shape>
                <w10:wrap type="none"/>
              </v:group>
            </w:pict>
          </mc:Fallback>
        </mc:AlternateContent>
      </w:r>
      <w:r>
        <w:rPr>
          <w:i/>
          <w:sz w:val="18"/>
        </w:rPr>
        <mc:AlternateContent>
          <mc:Choice Requires="wps">
            <w:drawing>
              <wp:anchor distT="0" distB="0" distL="0" distR="0" allowOverlap="1" layoutInCell="1" locked="0" behindDoc="0" simplePos="0" relativeHeight="15738880">
                <wp:simplePos x="0" y="0"/>
                <wp:positionH relativeFrom="page">
                  <wp:posOffset>1666113</wp:posOffset>
                </wp:positionH>
                <wp:positionV relativeFrom="paragraph">
                  <wp:posOffset>844603</wp:posOffset>
                </wp:positionV>
                <wp:extent cx="152400" cy="68453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52400" cy="684530"/>
                        </a:xfrm>
                        <a:prstGeom prst="rect">
                          <a:avLst/>
                        </a:prstGeom>
                      </wps:spPr>
                      <wps:txbx>
                        <w:txbxContent>
                          <w:p>
                            <w:pPr>
                              <w:spacing w:line="223" w:lineRule="exact" w:before="0"/>
                              <w:ind w:left="20" w:right="0" w:firstLine="0"/>
                              <w:jc w:val="left"/>
                              <w:rPr>
                                <w:rFonts w:ascii="Calibri"/>
                                <w:sz w:val="20"/>
                              </w:rPr>
                            </w:pPr>
                            <w:r>
                              <w:rPr>
                                <w:rFonts w:ascii="Calibri"/>
                                <w:color w:val="585858"/>
                                <w:sz w:val="20"/>
                              </w:rPr>
                              <w:t>Count</w:t>
                            </w:r>
                            <w:r>
                              <w:rPr>
                                <w:rFonts w:ascii="Calibri"/>
                                <w:color w:val="585858"/>
                                <w:spacing w:val="-5"/>
                                <w:sz w:val="20"/>
                              </w:rPr>
                              <w:t> </w:t>
                            </w:r>
                            <w:r>
                              <w:rPr>
                                <w:rFonts w:ascii="Calibri"/>
                                <w:color w:val="585858"/>
                                <w:sz w:val="20"/>
                              </w:rPr>
                              <w:t>in</w:t>
                            </w:r>
                            <w:r>
                              <w:rPr>
                                <w:rFonts w:ascii="Calibri"/>
                                <w:color w:val="585858"/>
                                <w:spacing w:val="-7"/>
                                <w:sz w:val="20"/>
                              </w:rPr>
                              <w:t> </w:t>
                            </w:r>
                            <w:r>
                              <w:rPr>
                                <w:rFonts w:ascii="Calibri"/>
                                <w:color w:val="585858"/>
                                <w:spacing w:val="-5"/>
                                <w:sz w:val="20"/>
                              </w:rPr>
                              <w:t>Usd</w:t>
                            </w:r>
                          </w:p>
                        </w:txbxContent>
                      </wps:txbx>
                      <wps:bodyPr wrap="square" lIns="0" tIns="0" rIns="0" bIns="0" rtlCol="0" vert="vert270">
                        <a:noAutofit/>
                      </wps:bodyPr>
                    </wps:wsp>
                  </a:graphicData>
                </a:graphic>
              </wp:anchor>
            </w:drawing>
          </mc:Choice>
          <mc:Fallback>
            <w:pict>
              <v:shape style="position:absolute;margin-left:131.190002pt;margin-top:66.504227pt;width:12pt;height:53.9pt;mso-position-horizontal-relative:page;mso-position-vertical-relative:paragraph;z-index:15738880" type="#_x0000_t202" id="docshape223"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color w:val="585858"/>
                          <w:sz w:val="20"/>
                        </w:rPr>
                        <w:t>Count</w:t>
                      </w:r>
                      <w:r>
                        <w:rPr>
                          <w:rFonts w:ascii="Calibri"/>
                          <w:color w:val="585858"/>
                          <w:spacing w:val="-5"/>
                          <w:sz w:val="20"/>
                        </w:rPr>
                        <w:t> </w:t>
                      </w:r>
                      <w:r>
                        <w:rPr>
                          <w:rFonts w:ascii="Calibri"/>
                          <w:color w:val="585858"/>
                          <w:sz w:val="20"/>
                        </w:rPr>
                        <w:t>in</w:t>
                      </w:r>
                      <w:r>
                        <w:rPr>
                          <w:rFonts w:ascii="Calibri"/>
                          <w:color w:val="585858"/>
                          <w:spacing w:val="-7"/>
                          <w:sz w:val="20"/>
                        </w:rPr>
                        <w:t> </w:t>
                      </w:r>
                      <w:r>
                        <w:rPr>
                          <w:rFonts w:ascii="Calibri"/>
                          <w:color w:val="585858"/>
                          <w:spacing w:val="-5"/>
                          <w:sz w:val="20"/>
                        </w:rPr>
                        <w:t>Usd</w:t>
                      </w:r>
                    </w:p>
                  </w:txbxContent>
                </v:textbox>
                <w10:wrap type="none"/>
              </v:shape>
            </w:pict>
          </mc:Fallback>
        </mc:AlternateContent>
      </w:r>
      <w:r>
        <w:rPr>
          <w:i/>
          <w:sz w:val="18"/>
        </w:rPr>
        <mc:AlternateContent>
          <mc:Choice Requires="wps">
            <w:drawing>
              <wp:anchor distT="0" distB="0" distL="0" distR="0" allowOverlap="1" layoutInCell="1" locked="0" behindDoc="0" simplePos="0" relativeHeight="15739392">
                <wp:simplePos x="0" y="0"/>
                <wp:positionH relativeFrom="page">
                  <wp:posOffset>2217801</wp:posOffset>
                </wp:positionH>
                <wp:positionV relativeFrom="paragraph">
                  <wp:posOffset>-1730588</wp:posOffset>
                </wp:positionV>
                <wp:extent cx="2333625" cy="1200785"/>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2333625" cy="1200785"/>
                        </a:xfrm>
                        <a:prstGeom prst="rect">
                          <a:avLst/>
                        </a:prstGeom>
                      </wps:spPr>
                      <wps:txbx>
                        <w:txbxContent>
                          <w:p>
                            <w:pPr>
                              <w:spacing w:line="203" w:lineRule="exact" w:before="0"/>
                              <w:ind w:left="0" w:right="18" w:firstLine="0"/>
                              <w:jc w:val="right"/>
                              <w:rPr>
                                <w:rFonts w:ascii="Calibri"/>
                                <w:sz w:val="18"/>
                              </w:rPr>
                            </w:pPr>
                            <w:r>
                              <w:rPr>
                                <w:rFonts w:ascii="Calibri"/>
                                <w:color w:val="585858"/>
                                <w:spacing w:val="-2"/>
                                <w:sz w:val="18"/>
                              </w:rPr>
                              <w:t>Acquisition</w:t>
                            </w:r>
                          </w:p>
                          <w:p>
                            <w:pPr>
                              <w:spacing w:before="10"/>
                              <w:ind w:left="0" w:right="20" w:firstLine="0"/>
                              <w:jc w:val="right"/>
                              <w:rPr>
                                <w:rFonts w:ascii="Calibri"/>
                                <w:sz w:val="18"/>
                              </w:rPr>
                            </w:pPr>
                            <w:r>
                              <w:rPr>
                                <w:rFonts w:ascii="Calibri"/>
                                <w:color w:val="585858"/>
                                <w:sz w:val="18"/>
                              </w:rPr>
                              <w:t>Acquisition</w:t>
                            </w:r>
                            <w:r>
                              <w:rPr>
                                <w:rFonts w:ascii="Calibri"/>
                                <w:color w:val="585858"/>
                                <w:spacing w:val="-4"/>
                                <w:sz w:val="18"/>
                              </w:rPr>
                              <w:t> </w:t>
                            </w:r>
                            <w:r>
                              <w:rPr>
                                <w:rFonts w:ascii="Calibri"/>
                                <w:color w:val="585858"/>
                                <w:sz w:val="18"/>
                              </w:rPr>
                              <w:t>for</w:t>
                            </w:r>
                            <w:r>
                              <w:rPr>
                                <w:rFonts w:ascii="Calibri"/>
                                <w:color w:val="585858"/>
                                <w:spacing w:val="-2"/>
                                <w:sz w:val="18"/>
                              </w:rPr>
                              <w:t> Expansion</w:t>
                            </w:r>
                          </w:p>
                          <w:p>
                            <w:pPr>
                              <w:spacing w:line="252" w:lineRule="auto" w:before="11"/>
                              <w:ind w:left="1127" w:right="19" w:hanging="121"/>
                              <w:jc w:val="right"/>
                              <w:rPr>
                                <w:rFonts w:ascii="Calibri"/>
                                <w:sz w:val="18"/>
                              </w:rPr>
                            </w:pPr>
                            <w:r>
                              <w:rPr>
                                <w:rFonts w:ascii="Calibri"/>
                                <w:color w:val="585858"/>
                                <w:sz w:val="18"/>
                              </w:rPr>
                              <w:t>Bridge</w:t>
                            </w:r>
                            <w:r>
                              <w:rPr>
                                <w:rFonts w:ascii="Calibri"/>
                                <w:color w:val="585858"/>
                                <w:spacing w:val="-11"/>
                                <w:sz w:val="18"/>
                              </w:rPr>
                              <w:t> </w:t>
                            </w:r>
                            <w:r>
                              <w:rPr>
                                <w:rFonts w:ascii="Calibri"/>
                                <w:color w:val="585858"/>
                                <w:sz w:val="18"/>
                              </w:rPr>
                              <w:t>Loan </w:t>
                            </w:r>
                            <w:r>
                              <w:rPr>
                                <w:rFonts w:ascii="Calibri"/>
                                <w:color w:val="585858"/>
                                <w:spacing w:val="-2"/>
                                <w:sz w:val="18"/>
                              </w:rPr>
                              <w:t>Expansion</w:t>
                            </w:r>
                          </w:p>
                          <w:p>
                            <w:pPr>
                              <w:spacing w:line="252" w:lineRule="auto" w:before="0"/>
                              <w:ind w:left="1498" w:right="18" w:firstLine="78"/>
                              <w:jc w:val="both"/>
                              <w:rPr>
                                <w:rFonts w:ascii="Calibri"/>
                                <w:sz w:val="18"/>
                              </w:rPr>
                            </w:pPr>
                            <w:r>
                              <w:rPr>
                                <w:rFonts w:ascii="Calibri"/>
                                <w:color w:val="585858"/>
                                <w:spacing w:val="-4"/>
                                <w:sz w:val="18"/>
                              </w:rPr>
                              <w:t>LBO</w:t>
                            </w:r>
                            <w:r>
                              <w:rPr>
                                <w:rFonts w:ascii="Calibri"/>
                                <w:color w:val="585858"/>
                                <w:sz w:val="18"/>
                              </w:rPr>
                              <w:t> </w:t>
                            </w:r>
                            <w:r>
                              <w:rPr>
                                <w:rFonts w:ascii="Calibri"/>
                                <w:color w:val="585858"/>
                                <w:spacing w:val="-4"/>
                                <w:sz w:val="18"/>
                              </w:rPr>
                              <w:t>MBI</w:t>
                            </w:r>
                            <w:r>
                              <w:rPr>
                                <w:rFonts w:ascii="Calibri"/>
                                <w:color w:val="585858"/>
                                <w:sz w:val="18"/>
                              </w:rPr>
                              <w:t> </w:t>
                            </w:r>
                            <w:r>
                              <w:rPr>
                                <w:rFonts w:ascii="Calibri"/>
                                <w:color w:val="585858"/>
                                <w:spacing w:val="-5"/>
                                <w:sz w:val="18"/>
                              </w:rPr>
                              <w:t>MBO</w:t>
                            </w:r>
                          </w:p>
                          <w:p>
                            <w:pPr>
                              <w:spacing w:line="252" w:lineRule="auto" w:before="0"/>
                              <w:ind w:left="188" w:right="18" w:firstLine="889"/>
                              <w:jc w:val="right"/>
                              <w:rPr>
                                <w:rFonts w:ascii="Calibri"/>
                                <w:sz w:val="18"/>
                              </w:rPr>
                            </w:pPr>
                            <w:r>
                              <w:rPr>
                                <w:rFonts w:ascii="Calibri"/>
                                <w:color w:val="585858"/>
                                <w:spacing w:val="-2"/>
                                <w:sz w:val="18"/>
                              </w:rPr>
                              <w:t>Mezzanine</w:t>
                            </w:r>
                            <w:r>
                              <w:rPr>
                                <w:rFonts w:ascii="Calibri"/>
                                <w:color w:val="585858"/>
                                <w:sz w:val="18"/>
                              </w:rPr>
                              <w:t> Open</w:t>
                            </w:r>
                            <w:r>
                              <w:rPr>
                                <w:rFonts w:ascii="Calibri"/>
                                <w:color w:val="585858"/>
                                <w:spacing w:val="-11"/>
                                <w:sz w:val="18"/>
                              </w:rPr>
                              <w:t> </w:t>
                            </w:r>
                            <w:r>
                              <w:rPr>
                                <w:rFonts w:ascii="Calibri"/>
                                <w:color w:val="585858"/>
                                <w:sz w:val="18"/>
                              </w:rPr>
                              <w:t>Market</w:t>
                            </w:r>
                            <w:r>
                              <w:rPr>
                                <w:rFonts w:ascii="Calibri"/>
                                <w:color w:val="585858"/>
                                <w:spacing w:val="-10"/>
                                <w:sz w:val="18"/>
                              </w:rPr>
                              <w:t> </w:t>
                            </w:r>
                            <w:r>
                              <w:rPr>
                                <w:rFonts w:ascii="Calibri"/>
                                <w:color w:val="585858"/>
                                <w:sz w:val="18"/>
                              </w:rPr>
                              <w:t>Purchase Pending</w:t>
                            </w:r>
                            <w:r>
                              <w:rPr>
                                <w:rFonts w:ascii="Calibri"/>
                                <w:color w:val="585858"/>
                                <w:spacing w:val="-2"/>
                                <w:sz w:val="18"/>
                              </w:rPr>
                              <w:t> </w:t>
                            </w:r>
                            <w:r>
                              <w:rPr>
                                <w:rFonts w:ascii="Calibri"/>
                                <w:color w:val="585858"/>
                                <w:sz w:val="18"/>
                              </w:rPr>
                              <w:t>Acquisition</w:t>
                            </w:r>
                          </w:p>
                          <w:p>
                            <w:pPr>
                              <w:spacing w:line="218" w:lineRule="exact" w:before="0"/>
                              <w:ind w:left="0" w:right="19" w:firstLine="0"/>
                              <w:jc w:val="right"/>
                              <w:rPr>
                                <w:rFonts w:ascii="Calibri"/>
                                <w:sz w:val="18"/>
                              </w:rPr>
                            </w:pPr>
                            <w:r>
                              <w:rPr>
                                <w:rFonts w:ascii="Calibri"/>
                                <w:color w:val="585858"/>
                                <w:spacing w:val="-4"/>
                                <w:sz w:val="18"/>
                              </w:rPr>
                              <w:t>PIPE</w:t>
                            </w:r>
                          </w:p>
                          <w:p>
                            <w:pPr>
                              <w:spacing w:line="252" w:lineRule="auto" w:before="9"/>
                              <w:ind w:left="398" w:right="18" w:firstLine="661"/>
                              <w:jc w:val="both"/>
                              <w:rPr>
                                <w:rFonts w:ascii="Calibri"/>
                                <w:sz w:val="18"/>
                              </w:rPr>
                            </w:pPr>
                            <w:r>
                              <w:rPr>
                                <w:rFonts w:ascii="Calibri"/>
                                <w:color w:val="585858"/>
                                <w:sz w:val="18"/>
                              </w:rPr>
                              <w:t>Real</w:t>
                            </w:r>
                            <w:r>
                              <w:rPr>
                                <w:rFonts w:ascii="Calibri"/>
                                <w:color w:val="585858"/>
                                <w:spacing w:val="-11"/>
                                <w:sz w:val="18"/>
                              </w:rPr>
                              <w:t> </w:t>
                            </w:r>
                            <w:r>
                              <w:rPr>
                                <w:rFonts w:ascii="Calibri"/>
                                <w:color w:val="585858"/>
                                <w:sz w:val="18"/>
                              </w:rPr>
                              <w:t>Estate </w:t>
                            </w:r>
                            <w:r>
                              <w:rPr>
                                <w:rFonts w:ascii="Calibri"/>
                                <w:color w:val="585858"/>
                                <w:spacing w:val="-2"/>
                                <w:sz w:val="18"/>
                              </w:rPr>
                              <w:t>Recap/Turnaround</w:t>
                            </w:r>
                            <w:r>
                              <w:rPr>
                                <w:rFonts w:ascii="Calibri"/>
                                <w:color w:val="585858"/>
                                <w:sz w:val="18"/>
                              </w:rPr>
                              <w:t> Secondary Buyout Secondary</w:t>
                            </w:r>
                            <w:r>
                              <w:rPr>
                                <w:rFonts w:ascii="Calibri"/>
                                <w:color w:val="585858"/>
                                <w:spacing w:val="-3"/>
                                <w:sz w:val="18"/>
                              </w:rPr>
                              <w:t> </w:t>
                            </w:r>
                            <w:r>
                              <w:rPr>
                                <w:rFonts w:ascii="Calibri"/>
                                <w:color w:val="585858"/>
                                <w:spacing w:val="-2"/>
                                <w:sz w:val="18"/>
                              </w:rPr>
                              <w:t>Purchase</w:t>
                            </w:r>
                          </w:p>
                          <w:p>
                            <w:pPr>
                              <w:spacing w:line="218" w:lineRule="exact" w:before="0"/>
                              <w:ind w:left="0" w:right="18" w:firstLine="0"/>
                              <w:jc w:val="right"/>
                              <w:rPr>
                                <w:rFonts w:ascii="Calibri"/>
                                <w:sz w:val="18"/>
                              </w:rPr>
                            </w:pPr>
                            <w:r>
                              <w:rPr>
                                <w:rFonts w:ascii="Calibri"/>
                                <w:color w:val="585858"/>
                                <w:spacing w:val="-2"/>
                                <w:sz w:val="18"/>
                              </w:rPr>
                              <w:t>(blank)</w:t>
                            </w:r>
                          </w:p>
                        </w:txbxContent>
                      </wps:txbx>
                      <wps:bodyPr wrap="square" lIns="0" tIns="0" rIns="0" bIns="0" rtlCol="0" vert="vert270">
                        <a:noAutofit/>
                      </wps:bodyPr>
                    </wps:wsp>
                  </a:graphicData>
                </a:graphic>
              </wp:anchor>
            </w:drawing>
          </mc:Choice>
          <mc:Fallback>
            <w:pict>
              <v:shape style="position:absolute;margin-left:174.630005pt;margin-top:-136.266785pt;width:183.75pt;height:94.55pt;mso-position-horizontal-relative:page;mso-position-vertical-relative:paragraph;z-index:15739392" type="#_x0000_t202" id="docshape224" filled="false" stroked="false">
                <v:textbox inset="0,0,0,0" style="layout-flow:vertical;mso-layout-flow-alt:bottom-to-top">
                  <w:txbxContent>
                    <w:p>
                      <w:pPr>
                        <w:spacing w:line="203" w:lineRule="exact" w:before="0"/>
                        <w:ind w:left="0" w:right="18" w:firstLine="0"/>
                        <w:jc w:val="right"/>
                        <w:rPr>
                          <w:rFonts w:ascii="Calibri"/>
                          <w:sz w:val="18"/>
                        </w:rPr>
                      </w:pPr>
                      <w:r>
                        <w:rPr>
                          <w:rFonts w:ascii="Calibri"/>
                          <w:color w:val="585858"/>
                          <w:spacing w:val="-2"/>
                          <w:sz w:val="18"/>
                        </w:rPr>
                        <w:t>Acquisition</w:t>
                      </w:r>
                    </w:p>
                    <w:p>
                      <w:pPr>
                        <w:spacing w:before="10"/>
                        <w:ind w:left="0" w:right="20" w:firstLine="0"/>
                        <w:jc w:val="right"/>
                        <w:rPr>
                          <w:rFonts w:ascii="Calibri"/>
                          <w:sz w:val="18"/>
                        </w:rPr>
                      </w:pPr>
                      <w:r>
                        <w:rPr>
                          <w:rFonts w:ascii="Calibri"/>
                          <w:color w:val="585858"/>
                          <w:sz w:val="18"/>
                        </w:rPr>
                        <w:t>Acquisition</w:t>
                      </w:r>
                      <w:r>
                        <w:rPr>
                          <w:rFonts w:ascii="Calibri"/>
                          <w:color w:val="585858"/>
                          <w:spacing w:val="-4"/>
                          <w:sz w:val="18"/>
                        </w:rPr>
                        <w:t> </w:t>
                      </w:r>
                      <w:r>
                        <w:rPr>
                          <w:rFonts w:ascii="Calibri"/>
                          <w:color w:val="585858"/>
                          <w:sz w:val="18"/>
                        </w:rPr>
                        <w:t>for</w:t>
                      </w:r>
                      <w:r>
                        <w:rPr>
                          <w:rFonts w:ascii="Calibri"/>
                          <w:color w:val="585858"/>
                          <w:spacing w:val="-2"/>
                          <w:sz w:val="18"/>
                        </w:rPr>
                        <w:t> Expansion</w:t>
                      </w:r>
                    </w:p>
                    <w:p>
                      <w:pPr>
                        <w:spacing w:line="252" w:lineRule="auto" w:before="11"/>
                        <w:ind w:left="1127" w:right="19" w:hanging="121"/>
                        <w:jc w:val="right"/>
                        <w:rPr>
                          <w:rFonts w:ascii="Calibri"/>
                          <w:sz w:val="18"/>
                        </w:rPr>
                      </w:pPr>
                      <w:r>
                        <w:rPr>
                          <w:rFonts w:ascii="Calibri"/>
                          <w:color w:val="585858"/>
                          <w:sz w:val="18"/>
                        </w:rPr>
                        <w:t>Bridge</w:t>
                      </w:r>
                      <w:r>
                        <w:rPr>
                          <w:rFonts w:ascii="Calibri"/>
                          <w:color w:val="585858"/>
                          <w:spacing w:val="-11"/>
                          <w:sz w:val="18"/>
                        </w:rPr>
                        <w:t> </w:t>
                      </w:r>
                      <w:r>
                        <w:rPr>
                          <w:rFonts w:ascii="Calibri"/>
                          <w:color w:val="585858"/>
                          <w:sz w:val="18"/>
                        </w:rPr>
                        <w:t>Loan </w:t>
                      </w:r>
                      <w:r>
                        <w:rPr>
                          <w:rFonts w:ascii="Calibri"/>
                          <w:color w:val="585858"/>
                          <w:spacing w:val="-2"/>
                          <w:sz w:val="18"/>
                        </w:rPr>
                        <w:t>Expansion</w:t>
                      </w:r>
                    </w:p>
                    <w:p>
                      <w:pPr>
                        <w:spacing w:line="252" w:lineRule="auto" w:before="0"/>
                        <w:ind w:left="1498" w:right="18" w:firstLine="78"/>
                        <w:jc w:val="both"/>
                        <w:rPr>
                          <w:rFonts w:ascii="Calibri"/>
                          <w:sz w:val="18"/>
                        </w:rPr>
                      </w:pPr>
                      <w:r>
                        <w:rPr>
                          <w:rFonts w:ascii="Calibri"/>
                          <w:color w:val="585858"/>
                          <w:spacing w:val="-4"/>
                          <w:sz w:val="18"/>
                        </w:rPr>
                        <w:t>LBO</w:t>
                      </w:r>
                      <w:r>
                        <w:rPr>
                          <w:rFonts w:ascii="Calibri"/>
                          <w:color w:val="585858"/>
                          <w:sz w:val="18"/>
                        </w:rPr>
                        <w:t> </w:t>
                      </w:r>
                      <w:r>
                        <w:rPr>
                          <w:rFonts w:ascii="Calibri"/>
                          <w:color w:val="585858"/>
                          <w:spacing w:val="-4"/>
                          <w:sz w:val="18"/>
                        </w:rPr>
                        <w:t>MBI</w:t>
                      </w:r>
                      <w:r>
                        <w:rPr>
                          <w:rFonts w:ascii="Calibri"/>
                          <w:color w:val="585858"/>
                          <w:sz w:val="18"/>
                        </w:rPr>
                        <w:t> </w:t>
                      </w:r>
                      <w:r>
                        <w:rPr>
                          <w:rFonts w:ascii="Calibri"/>
                          <w:color w:val="585858"/>
                          <w:spacing w:val="-5"/>
                          <w:sz w:val="18"/>
                        </w:rPr>
                        <w:t>MBO</w:t>
                      </w:r>
                    </w:p>
                    <w:p>
                      <w:pPr>
                        <w:spacing w:line="252" w:lineRule="auto" w:before="0"/>
                        <w:ind w:left="188" w:right="18" w:firstLine="889"/>
                        <w:jc w:val="right"/>
                        <w:rPr>
                          <w:rFonts w:ascii="Calibri"/>
                          <w:sz w:val="18"/>
                        </w:rPr>
                      </w:pPr>
                      <w:r>
                        <w:rPr>
                          <w:rFonts w:ascii="Calibri"/>
                          <w:color w:val="585858"/>
                          <w:spacing w:val="-2"/>
                          <w:sz w:val="18"/>
                        </w:rPr>
                        <w:t>Mezzanine</w:t>
                      </w:r>
                      <w:r>
                        <w:rPr>
                          <w:rFonts w:ascii="Calibri"/>
                          <w:color w:val="585858"/>
                          <w:sz w:val="18"/>
                        </w:rPr>
                        <w:t> Open</w:t>
                      </w:r>
                      <w:r>
                        <w:rPr>
                          <w:rFonts w:ascii="Calibri"/>
                          <w:color w:val="585858"/>
                          <w:spacing w:val="-11"/>
                          <w:sz w:val="18"/>
                        </w:rPr>
                        <w:t> </w:t>
                      </w:r>
                      <w:r>
                        <w:rPr>
                          <w:rFonts w:ascii="Calibri"/>
                          <w:color w:val="585858"/>
                          <w:sz w:val="18"/>
                        </w:rPr>
                        <w:t>Market</w:t>
                      </w:r>
                      <w:r>
                        <w:rPr>
                          <w:rFonts w:ascii="Calibri"/>
                          <w:color w:val="585858"/>
                          <w:spacing w:val="-10"/>
                          <w:sz w:val="18"/>
                        </w:rPr>
                        <w:t> </w:t>
                      </w:r>
                      <w:r>
                        <w:rPr>
                          <w:rFonts w:ascii="Calibri"/>
                          <w:color w:val="585858"/>
                          <w:sz w:val="18"/>
                        </w:rPr>
                        <w:t>Purchase Pending</w:t>
                      </w:r>
                      <w:r>
                        <w:rPr>
                          <w:rFonts w:ascii="Calibri"/>
                          <w:color w:val="585858"/>
                          <w:spacing w:val="-2"/>
                          <w:sz w:val="18"/>
                        </w:rPr>
                        <w:t> </w:t>
                      </w:r>
                      <w:r>
                        <w:rPr>
                          <w:rFonts w:ascii="Calibri"/>
                          <w:color w:val="585858"/>
                          <w:sz w:val="18"/>
                        </w:rPr>
                        <w:t>Acquisition</w:t>
                      </w:r>
                    </w:p>
                    <w:p>
                      <w:pPr>
                        <w:spacing w:line="218" w:lineRule="exact" w:before="0"/>
                        <w:ind w:left="0" w:right="19" w:firstLine="0"/>
                        <w:jc w:val="right"/>
                        <w:rPr>
                          <w:rFonts w:ascii="Calibri"/>
                          <w:sz w:val="18"/>
                        </w:rPr>
                      </w:pPr>
                      <w:r>
                        <w:rPr>
                          <w:rFonts w:ascii="Calibri"/>
                          <w:color w:val="585858"/>
                          <w:spacing w:val="-4"/>
                          <w:sz w:val="18"/>
                        </w:rPr>
                        <w:t>PIPE</w:t>
                      </w:r>
                    </w:p>
                    <w:p>
                      <w:pPr>
                        <w:spacing w:line="252" w:lineRule="auto" w:before="9"/>
                        <w:ind w:left="398" w:right="18" w:firstLine="661"/>
                        <w:jc w:val="both"/>
                        <w:rPr>
                          <w:rFonts w:ascii="Calibri"/>
                          <w:sz w:val="18"/>
                        </w:rPr>
                      </w:pPr>
                      <w:r>
                        <w:rPr>
                          <w:rFonts w:ascii="Calibri"/>
                          <w:color w:val="585858"/>
                          <w:sz w:val="18"/>
                        </w:rPr>
                        <w:t>Real</w:t>
                      </w:r>
                      <w:r>
                        <w:rPr>
                          <w:rFonts w:ascii="Calibri"/>
                          <w:color w:val="585858"/>
                          <w:spacing w:val="-11"/>
                          <w:sz w:val="18"/>
                        </w:rPr>
                        <w:t> </w:t>
                      </w:r>
                      <w:r>
                        <w:rPr>
                          <w:rFonts w:ascii="Calibri"/>
                          <w:color w:val="585858"/>
                          <w:sz w:val="18"/>
                        </w:rPr>
                        <w:t>Estate </w:t>
                      </w:r>
                      <w:r>
                        <w:rPr>
                          <w:rFonts w:ascii="Calibri"/>
                          <w:color w:val="585858"/>
                          <w:spacing w:val="-2"/>
                          <w:sz w:val="18"/>
                        </w:rPr>
                        <w:t>Recap/Turnaround</w:t>
                      </w:r>
                      <w:r>
                        <w:rPr>
                          <w:rFonts w:ascii="Calibri"/>
                          <w:color w:val="585858"/>
                          <w:sz w:val="18"/>
                        </w:rPr>
                        <w:t> Secondary Buyout Secondary</w:t>
                      </w:r>
                      <w:r>
                        <w:rPr>
                          <w:rFonts w:ascii="Calibri"/>
                          <w:color w:val="585858"/>
                          <w:spacing w:val="-3"/>
                          <w:sz w:val="18"/>
                        </w:rPr>
                        <w:t> </w:t>
                      </w:r>
                      <w:r>
                        <w:rPr>
                          <w:rFonts w:ascii="Calibri"/>
                          <w:color w:val="585858"/>
                          <w:spacing w:val="-2"/>
                          <w:sz w:val="18"/>
                        </w:rPr>
                        <w:t>Purchase</w:t>
                      </w:r>
                    </w:p>
                    <w:p>
                      <w:pPr>
                        <w:spacing w:line="218" w:lineRule="exact" w:before="0"/>
                        <w:ind w:left="0" w:right="18" w:firstLine="0"/>
                        <w:jc w:val="right"/>
                        <w:rPr>
                          <w:rFonts w:ascii="Calibri"/>
                          <w:sz w:val="18"/>
                        </w:rPr>
                      </w:pPr>
                      <w:r>
                        <w:rPr>
                          <w:rFonts w:ascii="Calibri"/>
                          <w:color w:val="585858"/>
                          <w:spacing w:val="-2"/>
                          <w:sz w:val="18"/>
                        </w:rPr>
                        <w:t>(blank)</w:t>
                      </w:r>
                    </w:p>
                  </w:txbxContent>
                </v:textbox>
                <w10:wrap type="none"/>
              </v:shape>
            </w:pict>
          </mc:Fallback>
        </mc:AlternateContent>
      </w:r>
      <w:r>
        <w:rPr>
          <w:i/>
          <w:sz w:val="18"/>
        </w:rPr>
        <mc:AlternateContent>
          <mc:Choice Requires="wps">
            <w:drawing>
              <wp:anchor distT="0" distB="0" distL="0" distR="0" allowOverlap="1" layoutInCell="1" locked="0" behindDoc="0" simplePos="0" relativeHeight="15739904">
                <wp:simplePos x="0" y="0"/>
                <wp:positionH relativeFrom="page">
                  <wp:posOffset>2254376</wp:posOffset>
                </wp:positionH>
                <wp:positionV relativeFrom="paragraph">
                  <wp:posOffset>1622768</wp:posOffset>
                </wp:positionV>
                <wp:extent cx="2308860" cy="1039494"/>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2308860" cy="1039494"/>
                        </a:xfrm>
                        <a:prstGeom prst="rect">
                          <a:avLst/>
                        </a:prstGeom>
                      </wps:spPr>
                      <wps:txbx>
                        <w:txbxContent>
                          <w:p>
                            <w:pPr>
                              <w:spacing w:line="203" w:lineRule="exact" w:before="0"/>
                              <w:ind w:left="0" w:right="142" w:firstLine="0"/>
                              <w:jc w:val="right"/>
                              <w:rPr>
                                <w:rFonts w:ascii="Calibri"/>
                                <w:sz w:val="18"/>
                              </w:rPr>
                            </w:pPr>
                            <w:r>
                              <w:rPr>
                                <w:rFonts w:ascii="Calibri"/>
                                <w:color w:val="585858"/>
                                <w:spacing w:val="-10"/>
                                <w:sz w:val="18"/>
                              </w:rPr>
                              <w:t>0</w:t>
                            </w:r>
                          </w:p>
                          <w:p>
                            <w:pPr>
                              <w:spacing w:before="8"/>
                              <w:ind w:left="0" w:right="142" w:firstLine="0"/>
                              <w:jc w:val="right"/>
                              <w:rPr>
                                <w:rFonts w:ascii="Calibri"/>
                                <w:sz w:val="18"/>
                              </w:rPr>
                            </w:pPr>
                            <w:r>
                              <w:rPr>
                                <w:rFonts w:ascii="Calibri"/>
                                <w:color w:val="585858"/>
                                <w:spacing w:val="-2"/>
                                <w:sz w:val="18"/>
                              </w:rPr>
                              <w:t>Acquisition</w:t>
                            </w:r>
                          </w:p>
                          <w:p>
                            <w:pPr>
                              <w:spacing w:before="8"/>
                              <w:ind w:left="424" w:right="0" w:firstLine="0"/>
                              <w:jc w:val="left"/>
                              <w:rPr>
                                <w:rFonts w:ascii="Calibri" w:hAnsi="Calibri"/>
                                <w:sz w:val="18"/>
                              </w:rPr>
                            </w:pPr>
                            <w:r>
                              <w:rPr>
                                <w:rFonts w:ascii="Calibri" w:hAnsi="Calibri"/>
                                <w:color w:val="585858"/>
                                <w:sz w:val="18"/>
                              </w:rPr>
                              <w:t>Acquisition</w:t>
                            </w:r>
                            <w:r>
                              <w:rPr>
                                <w:rFonts w:ascii="Calibri" w:hAnsi="Calibri"/>
                                <w:color w:val="585858"/>
                                <w:spacing w:val="-7"/>
                                <w:sz w:val="18"/>
                              </w:rPr>
                              <w:t> </w:t>
                            </w:r>
                            <w:r>
                              <w:rPr>
                                <w:rFonts w:ascii="Calibri" w:hAnsi="Calibri"/>
                                <w:color w:val="585858"/>
                                <w:spacing w:val="-4"/>
                                <w:sz w:val="18"/>
                              </w:rPr>
                              <w:t>for…</w:t>
                            </w:r>
                          </w:p>
                          <w:p>
                            <w:pPr>
                              <w:spacing w:line="249" w:lineRule="auto" w:before="8"/>
                              <w:ind w:left="748" w:right="138" w:hanging="121"/>
                              <w:jc w:val="left"/>
                              <w:rPr>
                                <w:rFonts w:ascii="Calibri"/>
                                <w:sz w:val="18"/>
                              </w:rPr>
                            </w:pPr>
                            <w:r>
                              <w:rPr>
                                <w:rFonts w:ascii="Calibri"/>
                                <w:color w:val="585858"/>
                                <w:sz w:val="18"/>
                              </w:rPr>
                              <w:t>Bridge</w:t>
                            </w:r>
                            <w:r>
                              <w:rPr>
                                <w:rFonts w:ascii="Calibri"/>
                                <w:color w:val="585858"/>
                                <w:spacing w:val="-11"/>
                                <w:sz w:val="18"/>
                              </w:rPr>
                              <w:t> </w:t>
                            </w:r>
                            <w:r>
                              <w:rPr>
                                <w:rFonts w:ascii="Calibri"/>
                                <w:color w:val="585858"/>
                                <w:sz w:val="18"/>
                              </w:rPr>
                              <w:t>Loan </w:t>
                            </w:r>
                            <w:r>
                              <w:rPr>
                                <w:rFonts w:ascii="Calibri"/>
                                <w:color w:val="585858"/>
                                <w:spacing w:val="-2"/>
                                <w:sz w:val="18"/>
                              </w:rPr>
                              <w:t>Expansion</w:t>
                            </w:r>
                          </w:p>
                          <w:p>
                            <w:pPr>
                              <w:spacing w:line="249" w:lineRule="auto" w:before="0"/>
                              <w:ind w:left="1120" w:right="142" w:firstLine="78"/>
                              <w:jc w:val="both"/>
                              <w:rPr>
                                <w:rFonts w:ascii="Calibri"/>
                                <w:sz w:val="18"/>
                              </w:rPr>
                            </w:pPr>
                            <w:r>
                              <w:rPr>
                                <w:rFonts w:ascii="Calibri"/>
                                <w:color w:val="585858"/>
                                <w:spacing w:val="-4"/>
                                <w:sz w:val="18"/>
                              </w:rPr>
                              <w:t>LBO</w:t>
                            </w:r>
                            <w:r>
                              <w:rPr>
                                <w:rFonts w:ascii="Calibri"/>
                                <w:color w:val="585858"/>
                                <w:sz w:val="18"/>
                              </w:rPr>
                              <w:t> </w:t>
                            </w:r>
                            <w:r>
                              <w:rPr>
                                <w:rFonts w:ascii="Calibri"/>
                                <w:color w:val="585858"/>
                                <w:spacing w:val="-4"/>
                                <w:sz w:val="18"/>
                              </w:rPr>
                              <w:t>MBI</w:t>
                            </w:r>
                            <w:r>
                              <w:rPr>
                                <w:rFonts w:ascii="Calibri"/>
                                <w:color w:val="585858"/>
                                <w:sz w:val="18"/>
                              </w:rPr>
                              <w:t> </w:t>
                            </w:r>
                            <w:r>
                              <w:rPr>
                                <w:rFonts w:ascii="Calibri"/>
                                <w:color w:val="585858"/>
                                <w:spacing w:val="-5"/>
                                <w:sz w:val="18"/>
                              </w:rPr>
                              <w:t>MBO</w:t>
                            </w:r>
                          </w:p>
                          <w:p>
                            <w:pPr>
                              <w:spacing w:line="217" w:lineRule="exact" w:before="0"/>
                              <w:ind w:left="554" w:right="0" w:firstLine="0"/>
                              <w:jc w:val="center"/>
                              <w:rPr>
                                <w:rFonts w:ascii="Calibri"/>
                                <w:sz w:val="18"/>
                              </w:rPr>
                            </w:pPr>
                            <w:r>
                              <w:rPr>
                                <w:rFonts w:ascii="Calibri"/>
                                <w:color w:val="585858"/>
                                <w:spacing w:val="-2"/>
                                <w:sz w:val="18"/>
                              </w:rPr>
                              <w:t>Mezzanine</w:t>
                            </w:r>
                          </w:p>
                          <w:p>
                            <w:pPr>
                              <w:spacing w:before="6"/>
                              <w:ind w:left="497" w:right="0" w:firstLine="0"/>
                              <w:jc w:val="center"/>
                              <w:rPr>
                                <w:rFonts w:ascii="Calibri" w:hAnsi="Calibri"/>
                                <w:sz w:val="18"/>
                              </w:rPr>
                            </w:pPr>
                            <w:r>
                              <w:rPr>
                                <w:rFonts w:ascii="Calibri" w:hAnsi="Calibri"/>
                                <w:color w:val="585858"/>
                                <w:sz w:val="18"/>
                              </w:rPr>
                              <w:t>Open</w:t>
                            </w:r>
                            <w:r>
                              <w:rPr>
                                <w:rFonts w:ascii="Calibri" w:hAnsi="Calibri"/>
                                <w:color w:val="585858"/>
                                <w:spacing w:val="-1"/>
                                <w:sz w:val="18"/>
                              </w:rPr>
                              <w:t> </w:t>
                            </w:r>
                            <w:r>
                              <w:rPr>
                                <w:rFonts w:ascii="Calibri" w:hAnsi="Calibri"/>
                                <w:color w:val="585858"/>
                                <w:spacing w:val="-2"/>
                                <w:sz w:val="18"/>
                              </w:rPr>
                              <w:t>Market…</w:t>
                            </w:r>
                          </w:p>
                          <w:p>
                            <w:pPr>
                              <w:spacing w:before="9"/>
                              <w:ind w:left="0" w:right="99" w:firstLine="0"/>
                              <w:jc w:val="center"/>
                              <w:rPr>
                                <w:rFonts w:ascii="Calibri"/>
                                <w:sz w:val="18"/>
                              </w:rPr>
                            </w:pPr>
                            <w:r>
                              <w:rPr>
                                <w:rFonts w:ascii="Calibri"/>
                                <w:color w:val="585858"/>
                                <w:sz w:val="18"/>
                              </w:rPr>
                              <w:t>Pending</w:t>
                            </w:r>
                            <w:r>
                              <w:rPr>
                                <w:rFonts w:ascii="Calibri"/>
                                <w:color w:val="585858"/>
                                <w:spacing w:val="-3"/>
                                <w:sz w:val="18"/>
                              </w:rPr>
                              <w:t> </w:t>
                            </w:r>
                            <w:r>
                              <w:rPr>
                                <w:rFonts w:ascii="Calibri"/>
                                <w:color w:val="585858"/>
                                <w:spacing w:val="-2"/>
                                <w:sz w:val="18"/>
                              </w:rPr>
                              <w:t>Acquisition</w:t>
                            </w:r>
                          </w:p>
                          <w:p>
                            <w:pPr>
                              <w:spacing w:before="7"/>
                              <w:ind w:left="0" w:right="143" w:firstLine="0"/>
                              <w:jc w:val="right"/>
                              <w:rPr>
                                <w:rFonts w:ascii="Calibri"/>
                                <w:sz w:val="18"/>
                              </w:rPr>
                            </w:pPr>
                            <w:r>
                              <w:rPr>
                                <w:rFonts w:ascii="Calibri"/>
                                <w:color w:val="585858"/>
                                <w:spacing w:val="-4"/>
                                <w:sz w:val="18"/>
                              </w:rPr>
                              <w:t>PIPE</w:t>
                            </w:r>
                          </w:p>
                          <w:p>
                            <w:pPr>
                              <w:spacing w:line="249" w:lineRule="auto" w:before="9"/>
                              <w:ind w:left="20" w:right="142" w:firstLine="661"/>
                              <w:jc w:val="both"/>
                              <w:rPr>
                                <w:rFonts w:ascii="Calibri"/>
                                <w:sz w:val="18"/>
                              </w:rPr>
                            </w:pPr>
                            <w:r>
                              <w:rPr>
                                <w:rFonts w:ascii="Calibri"/>
                                <w:color w:val="585858"/>
                                <w:sz w:val="18"/>
                              </w:rPr>
                              <w:t>Real</w:t>
                            </w:r>
                            <w:r>
                              <w:rPr>
                                <w:rFonts w:ascii="Calibri"/>
                                <w:color w:val="585858"/>
                                <w:spacing w:val="-11"/>
                                <w:sz w:val="18"/>
                              </w:rPr>
                              <w:t> </w:t>
                            </w:r>
                            <w:r>
                              <w:rPr>
                                <w:rFonts w:ascii="Calibri"/>
                                <w:color w:val="585858"/>
                                <w:sz w:val="18"/>
                              </w:rPr>
                              <w:t>Estate </w:t>
                            </w:r>
                            <w:r>
                              <w:rPr>
                                <w:rFonts w:ascii="Calibri"/>
                                <w:color w:val="585858"/>
                                <w:spacing w:val="-2"/>
                                <w:sz w:val="18"/>
                              </w:rPr>
                              <w:t>Recap/Turnaround</w:t>
                            </w:r>
                            <w:r>
                              <w:rPr>
                                <w:rFonts w:ascii="Calibri"/>
                                <w:color w:val="585858"/>
                                <w:sz w:val="18"/>
                              </w:rPr>
                              <w:t> Secondary Buyout Secondary</w:t>
                            </w:r>
                            <w:r>
                              <w:rPr>
                                <w:rFonts w:ascii="Calibri"/>
                                <w:color w:val="585858"/>
                                <w:spacing w:val="-3"/>
                                <w:sz w:val="18"/>
                              </w:rPr>
                              <w:t> </w:t>
                            </w:r>
                            <w:r>
                              <w:rPr>
                                <w:rFonts w:ascii="Calibri"/>
                                <w:color w:val="585858"/>
                                <w:spacing w:val="-2"/>
                                <w:sz w:val="18"/>
                              </w:rPr>
                              <w:t>Purchase</w:t>
                            </w:r>
                          </w:p>
                        </w:txbxContent>
                      </wps:txbx>
                      <wps:bodyPr wrap="square" lIns="0" tIns="0" rIns="0" bIns="0" rtlCol="0" vert="vert270">
                        <a:noAutofit/>
                      </wps:bodyPr>
                    </wps:wsp>
                  </a:graphicData>
                </a:graphic>
              </wp:anchor>
            </w:drawing>
          </mc:Choice>
          <mc:Fallback>
            <w:pict>
              <v:shape style="position:absolute;margin-left:177.509995pt;margin-top:127.777016pt;width:181.8pt;height:81.850pt;mso-position-horizontal-relative:page;mso-position-vertical-relative:paragraph;z-index:15739904" type="#_x0000_t202" id="docshape225" filled="false" stroked="false">
                <v:textbox inset="0,0,0,0" style="layout-flow:vertical;mso-layout-flow-alt:bottom-to-top">
                  <w:txbxContent>
                    <w:p>
                      <w:pPr>
                        <w:spacing w:line="203" w:lineRule="exact" w:before="0"/>
                        <w:ind w:left="0" w:right="142" w:firstLine="0"/>
                        <w:jc w:val="right"/>
                        <w:rPr>
                          <w:rFonts w:ascii="Calibri"/>
                          <w:sz w:val="18"/>
                        </w:rPr>
                      </w:pPr>
                      <w:r>
                        <w:rPr>
                          <w:rFonts w:ascii="Calibri"/>
                          <w:color w:val="585858"/>
                          <w:spacing w:val="-10"/>
                          <w:sz w:val="18"/>
                        </w:rPr>
                        <w:t>0</w:t>
                      </w:r>
                    </w:p>
                    <w:p>
                      <w:pPr>
                        <w:spacing w:before="8"/>
                        <w:ind w:left="0" w:right="142" w:firstLine="0"/>
                        <w:jc w:val="right"/>
                        <w:rPr>
                          <w:rFonts w:ascii="Calibri"/>
                          <w:sz w:val="18"/>
                        </w:rPr>
                      </w:pPr>
                      <w:r>
                        <w:rPr>
                          <w:rFonts w:ascii="Calibri"/>
                          <w:color w:val="585858"/>
                          <w:spacing w:val="-2"/>
                          <w:sz w:val="18"/>
                        </w:rPr>
                        <w:t>Acquisition</w:t>
                      </w:r>
                    </w:p>
                    <w:p>
                      <w:pPr>
                        <w:spacing w:before="8"/>
                        <w:ind w:left="424" w:right="0" w:firstLine="0"/>
                        <w:jc w:val="left"/>
                        <w:rPr>
                          <w:rFonts w:ascii="Calibri" w:hAnsi="Calibri"/>
                          <w:sz w:val="18"/>
                        </w:rPr>
                      </w:pPr>
                      <w:r>
                        <w:rPr>
                          <w:rFonts w:ascii="Calibri" w:hAnsi="Calibri"/>
                          <w:color w:val="585858"/>
                          <w:sz w:val="18"/>
                        </w:rPr>
                        <w:t>Acquisition</w:t>
                      </w:r>
                      <w:r>
                        <w:rPr>
                          <w:rFonts w:ascii="Calibri" w:hAnsi="Calibri"/>
                          <w:color w:val="585858"/>
                          <w:spacing w:val="-7"/>
                          <w:sz w:val="18"/>
                        </w:rPr>
                        <w:t> </w:t>
                      </w:r>
                      <w:r>
                        <w:rPr>
                          <w:rFonts w:ascii="Calibri" w:hAnsi="Calibri"/>
                          <w:color w:val="585858"/>
                          <w:spacing w:val="-4"/>
                          <w:sz w:val="18"/>
                        </w:rPr>
                        <w:t>for…</w:t>
                      </w:r>
                    </w:p>
                    <w:p>
                      <w:pPr>
                        <w:spacing w:line="249" w:lineRule="auto" w:before="8"/>
                        <w:ind w:left="748" w:right="138" w:hanging="121"/>
                        <w:jc w:val="left"/>
                        <w:rPr>
                          <w:rFonts w:ascii="Calibri"/>
                          <w:sz w:val="18"/>
                        </w:rPr>
                      </w:pPr>
                      <w:r>
                        <w:rPr>
                          <w:rFonts w:ascii="Calibri"/>
                          <w:color w:val="585858"/>
                          <w:sz w:val="18"/>
                        </w:rPr>
                        <w:t>Bridge</w:t>
                      </w:r>
                      <w:r>
                        <w:rPr>
                          <w:rFonts w:ascii="Calibri"/>
                          <w:color w:val="585858"/>
                          <w:spacing w:val="-11"/>
                          <w:sz w:val="18"/>
                        </w:rPr>
                        <w:t> </w:t>
                      </w:r>
                      <w:r>
                        <w:rPr>
                          <w:rFonts w:ascii="Calibri"/>
                          <w:color w:val="585858"/>
                          <w:sz w:val="18"/>
                        </w:rPr>
                        <w:t>Loan </w:t>
                      </w:r>
                      <w:r>
                        <w:rPr>
                          <w:rFonts w:ascii="Calibri"/>
                          <w:color w:val="585858"/>
                          <w:spacing w:val="-2"/>
                          <w:sz w:val="18"/>
                        </w:rPr>
                        <w:t>Expansion</w:t>
                      </w:r>
                    </w:p>
                    <w:p>
                      <w:pPr>
                        <w:spacing w:line="249" w:lineRule="auto" w:before="0"/>
                        <w:ind w:left="1120" w:right="142" w:firstLine="78"/>
                        <w:jc w:val="both"/>
                        <w:rPr>
                          <w:rFonts w:ascii="Calibri"/>
                          <w:sz w:val="18"/>
                        </w:rPr>
                      </w:pPr>
                      <w:r>
                        <w:rPr>
                          <w:rFonts w:ascii="Calibri"/>
                          <w:color w:val="585858"/>
                          <w:spacing w:val="-4"/>
                          <w:sz w:val="18"/>
                        </w:rPr>
                        <w:t>LBO</w:t>
                      </w:r>
                      <w:r>
                        <w:rPr>
                          <w:rFonts w:ascii="Calibri"/>
                          <w:color w:val="585858"/>
                          <w:sz w:val="18"/>
                        </w:rPr>
                        <w:t> </w:t>
                      </w:r>
                      <w:r>
                        <w:rPr>
                          <w:rFonts w:ascii="Calibri"/>
                          <w:color w:val="585858"/>
                          <w:spacing w:val="-4"/>
                          <w:sz w:val="18"/>
                        </w:rPr>
                        <w:t>MBI</w:t>
                      </w:r>
                      <w:r>
                        <w:rPr>
                          <w:rFonts w:ascii="Calibri"/>
                          <w:color w:val="585858"/>
                          <w:sz w:val="18"/>
                        </w:rPr>
                        <w:t> </w:t>
                      </w:r>
                      <w:r>
                        <w:rPr>
                          <w:rFonts w:ascii="Calibri"/>
                          <w:color w:val="585858"/>
                          <w:spacing w:val="-5"/>
                          <w:sz w:val="18"/>
                        </w:rPr>
                        <w:t>MBO</w:t>
                      </w:r>
                    </w:p>
                    <w:p>
                      <w:pPr>
                        <w:spacing w:line="217" w:lineRule="exact" w:before="0"/>
                        <w:ind w:left="554" w:right="0" w:firstLine="0"/>
                        <w:jc w:val="center"/>
                        <w:rPr>
                          <w:rFonts w:ascii="Calibri"/>
                          <w:sz w:val="18"/>
                        </w:rPr>
                      </w:pPr>
                      <w:r>
                        <w:rPr>
                          <w:rFonts w:ascii="Calibri"/>
                          <w:color w:val="585858"/>
                          <w:spacing w:val="-2"/>
                          <w:sz w:val="18"/>
                        </w:rPr>
                        <w:t>Mezzanine</w:t>
                      </w:r>
                    </w:p>
                    <w:p>
                      <w:pPr>
                        <w:spacing w:before="6"/>
                        <w:ind w:left="497" w:right="0" w:firstLine="0"/>
                        <w:jc w:val="center"/>
                        <w:rPr>
                          <w:rFonts w:ascii="Calibri" w:hAnsi="Calibri"/>
                          <w:sz w:val="18"/>
                        </w:rPr>
                      </w:pPr>
                      <w:r>
                        <w:rPr>
                          <w:rFonts w:ascii="Calibri" w:hAnsi="Calibri"/>
                          <w:color w:val="585858"/>
                          <w:sz w:val="18"/>
                        </w:rPr>
                        <w:t>Open</w:t>
                      </w:r>
                      <w:r>
                        <w:rPr>
                          <w:rFonts w:ascii="Calibri" w:hAnsi="Calibri"/>
                          <w:color w:val="585858"/>
                          <w:spacing w:val="-1"/>
                          <w:sz w:val="18"/>
                        </w:rPr>
                        <w:t> </w:t>
                      </w:r>
                      <w:r>
                        <w:rPr>
                          <w:rFonts w:ascii="Calibri" w:hAnsi="Calibri"/>
                          <w:color w:val="585858"/>
                          <w:spacing w:val="-2"/>
                          <w:sz w:val="18"/>
                        </w:rPr>
                        <w:t>Market…</w:t>
                      </w:r>
                    </w:p>
                    <w:p>
                      <w:pPr>
                        <w:spacing w:before="9"/>
                        <w:ind w:left="0" w:right="99" w:firstLine="0"/>
                        <w:jc w:val="center"/>
                        <w:rPr>
                          <w:rFonts w:ascii="Calibri"/>
                          <w:sz w:val="18"/>
                        </w:rPr>
                      </w:pPr>
                      <w:r>
                        <w:rPr>
                          <w:rFonts w:ascii="Calibri"/>
                          <w:color w:val="585858"/>
                          <w:sz w:val="18"/>
                        </w:rPr>
                        <w:t>Pending</w:t>
                      </w:r>
                      <w:r>
                        <w:rPr>
                          <w:rFonts w:ascii="Calibri"/>
                          <w:color w:val="585858"/>
                          <w:spacing w:val="-3"/>
                          <w:sz w:val="18"/>
                        </w:rPr>
                        <w:t> </w:t>
                      </w:r>
                      <w:r>
                        <w:rPr>
                          <w:rFonts w:ascii="Calibri"/>
                          <w:color w:val="585858"/>
                          <w:spacing w:val="-2"/>
                          <w:sz w:val="18"/>
                        </w:rPr>
                        <w:t>Acquisition</w:t>
                      </w:r>
                    </w:p>
                    <w:p>
                      <w:pPr>
                        <w:spacing w:before="7"/>
                        <w:ind w:left="0" w:right="143" w:firstLine="0"/>
                        <w:jc w:val="right"/>
                        <w:rPr>
                          <w:rFonts w:ascii="Calibri"/>
                          <w:sz w:val="18"/>
                        </w:rPr>
                      </w:pPr>
                      <w:r>
                        <w:rPr>
                          <w:rFonts w:ascii="Calibri"/>
                          <w:color w:val="585858"/>
                          <w:spacing w:val="-4"/>
                          <w:sz w:val="18"/>
                        </w:rPr>
                        <w:t>PIPE</w:t>
                      </w:r>
                    </w:p>
                    <w:p>
                      <w:pPr>
                        <w:spacing w:line="249" w:lineRule="auto" w:before="9"/>
                        <w:ind w:left="20" w:right="142" w:firstLine="661"/>
                        <w:jc w:val="both"/>
                        <w:rPr>
                          <w:rFonts w:ascii="Calibri"/>
                          <w:sz w:val="18"/>
                        </w:rPr>
                      </w:pPr>
                      <w:r>
                        <w:rPr>
                          <w:rFonts w:ascii="Calibri"/>
                          <w:color w:val="585858"/>
                          <w:sz w:val="18"/>
                        </w:rPr>
                        <w:t>Real</w:t>
                      </w:r>
                      <w:r>
                        <w:rPr>
                          <w:rFonts w:ascii="Calibri"/>
                          <w:color w:val="585858"/>
                          <w:spacing w:val="-11"/>
                          <w:sz w:val="18"/>
                        </w:rPr>
                        <w:t> </w:t>
                      </w:r>
                      <w:r>
                        <w:rPr>
                          <w:rFonts w:ascii="Calibri"/>
                          <w:color w:val="585858"/>
                          <w:sz w:val="18"/>
                        </w:rPr>
                        <w:t>Estate </w:t>
                      </w:r>
                      <w:r>
                        <w:rPr>
                          <w:rFonts w:ascii="Calibri"/>
                          <w:color w:val="585858"/>
                          <w:spacing w:val="-2"/>
                          <w:sz w:val="18"/>
                        </w:rPr>
                        <w:t>Recap/Turnaround</w:t>
                      </w:r>
                      <w:r>
                        <w:rPr>
                          <w:rFonts w:ascii="Calibri"/>
                          <w:color w:val="585858"/>
                          <w:sz w:val="18"/>
                        </w:rPr>
                        <w:t> Secondary Buyout Secondary</w:t>
                      </w:r>
                      <w:r>
                        <w:rPr>
                          <w:rFonts w:ascii="Calibri"/>
                          <w:color w:val="585858"/>
                          <w:spacing w:val="-3"/>
                          <w:sz w:val="18"/>
                        </w:rPr>
                        <w:t> </w:t>
                      </w:r>
                      <w:r>
                        <w:rPr>
                          <w:rFonts w:ascii="Calibri"/>
                          <w:color w:val="585858"/>
                          <w:spacing w:val="-2"/>
                          <w:sz w:val="18"/>
                        </w:rPr>
                        <w:t>Purchase</w:t>
                      </w:r>
                    </w:p>
                  </w:txbxContent>
                </v:textbox>
                <w10:wrap type="none"/>
              </v:shape>
            </w:pict>
          </mc:Fallback>
        </mc:AlternateContent>
      </w:r>
      <w:r>
        <w:rPr>
          <w:i/>
          <w:color w:val="44536A"/>
          <w:sz w:val="18"/>
        </w:rPr>
        <w:t>Figure</w:t>
      </w:r>
      <w:r>
        <w:rPr>
          <w:i/>
          <w:color w:val="44536A"/>
          <w:spacing w:val="-5"/>
          <w:sz w:val="18"/>
        </w:rPr>
        <w:t> </w:t>
      </w:r>
      <w:r>
        <w:rPr>
          <w:i/>
          <w:color w:val="44536A"/>
          <w:sz w:val="18"/>
        </w:rPr>
        <w:t>8:</w:t>
      </w:r>
      <w:r>
        <w:rPr>
          <w:i/>
          <w:color w:val="44536A"/>
          <w:spacing w:val="-4"/>
          <w:sz w:val="18"/>
        </w:rPr>
        <w:t> </w:t>
      </w:r>
      <w:r>
        <w:rPr>
          <w:i/>
          <w:color w:val="44536A"/>
          <w:sz w:val="18"/>
        </w:rPr>
        <w:t>Investment</w:t>
      </w:r>
      <w:r>
        <w:rPr>
          <w:i/>
          <w:color w:val="44536A"/>
          <w:spacing w:val="-2"/>
          <w:sz w:val="18"/>
        </w:rPr>
        <w:t> </w:t>
      </w:r>
      <w:r>
        <w:rPr>
          <w:i/>
          <w:color w:val="44536A"/>
          <w:spacing w:val="-4"/>
          <w:sz w:val="18"/>
        </w:rPr>
        <w:t>stage</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59"/>
        <w:rPr>
          <w:i/>
          <w:sz w:val="18"/>
        </w:rPr>
      </w:pPr>
    </w:p>
    <w:p>
      <w:pPr>
        <w:spacing w:before="0"/>
        <w:ind w:left="4" w:right="4" w:firstLine="0"/>
        <w:jc w:val="center"/>
        <w:rPr>
          <w:i/>
          <w:sz w:val="18"/>
        </w:rPr>
      </w:pPr>
      <w:r>
        <w:rPr>
          <w:i/>
          <w:color w:val="44536A"/>
          <w:sz w:val="18"/>
        </w:rPr>
        <w:t>Figure</w:t>
      </w:r>
      <w:r>
        <w:rPr>
          <w:i/>
          <w:color w:val="44536A"/>
          <w:spacing w:val="-4"/>
          <w:sz w:val="18"/>
        </w:rPr>
        <w:t> </w:t>
      </w:r>
      <w:r>
        <w:rPr>
          <w:i/>
          <w:color w:val="44536A"/>
          <w:sz w:val="18"/>
        </w:rPr>
        <w:t>9:Investment</w:t>
      </w:r>
      <w:r>
        <w:rPr>
          <w:i/>
          <w:color w:val="44536A"/>
          <w:spacing w:val="-3"/>
          <w:sz w:val="18"/>
        </w:rPr>
        <w:t> </w:t>
      </w:r>
      <w:r>
        <w:rPr>
          <w:i/>
          <w:color w:val="44536A"/>
          <w:sz w:val="18"/>
        </w:rPr>
        <w:t>Stage</w:t>
      </w:r>
      <w:r>
        <w:rPr>
          <w:i/>
          <w:color w:val="44536A"/>
          <w:spacing w:val="-5"/>
          <w:sz w:val="18"/>
        </w:rPr>
        <w:t> </w:t>
      </w:r>
      <w:r>
        <w:rPr>
          <w:i/>
          <w:color w:val="44536A"/>
          <w:spacing w:val="-2"/>
          <w:sz w:val="18"/>
        </w:rPr>
        <w:t>analysis</w:t>
      </w:r>
    </w:p>
    <w:p>
      <w:pPr>
        <w:pStyle w:val="BodyText"/>
        <w:spacing w:line="360" w:lineRule="auto" w:before="195"/>
        <w:ind w:left="23" w:right="21"/>
        <w:jc w:val="both"/>
      </w:pPr>
      <w:r>
        <w:rPr/>
        <w:t>Investment stages provide insight into how private equity capital is deployed across business lifecycles and how investor behaviour evolves in response to institutional reforms. The distribution</w:t>
      </w:r>
      <w:r>
        <w:rPr>
          <w:spacing w:val="-3"/>
        </w:rPr>
        <w:t> </w:t>
      </w:r>
      <w:r>
        <w:rPr/>
        <w:t>of</w:t>
      </w:r>
      <w:r>
        <w:rPr>
          <w:spacing w:val="-4"/>
        </w:rPr>
        <w:t> </w:t>
      </w:r>
      <w:r>
        <w:rPr/>
        <w:t>stages</w:t>
      </w:r>
      <w:r>
        <w:rPr>
          <w:spacing w:val="-4"/>
        </w:rPr>
        <w:t> </w:t>
      </w:r>
      <w:r>
        <w:rPr/>
        <w:t>in</w:t>
      </w:r>
      <w:r>
        <w:rPr>
          <w:spacing w:val="-3"/>
        </w:rPr>
        <w:t> </w:t>
      </w:r>
      <w:r>
        <w:rPr/>
        <w:t>the</w:t>
      </w:r>
      <w:r>
        <w:rPr>
          <w:spacing w:val="-4"/>
        </w:rPr>
        <w:t> </w:t>
      </w:r>
      <w:r>
        <w:rPr/>
        <w:t>dataset</w:t>
      </w:r>
      <w:r>
        <w:rPr>
          <w:spacing w:val="-3"/>
        </w:rPr>
        <w:t> </w:t>
      </w:r>
      <w:r>
        <w:rPr/>
        <w:t>reflects</w:t>
      </w:r>
      <w:r>
        <w:rPr>
          <w:spacing w:val="-4"/>
        </w:rPr>
        <w:t> </w:t>
      </w:r>
      <w:r>
        <w:rPr/>
        <w:t>a</w:t>
      </w:r>
      <w:r>
        <w:rPr>
          <w:spacing w:val="-3"/>
        </w:rPr>
        <w:t> </w:t>
      </w:r>
      <w:r>
        <w:rPr/>
        <w:t>transition</w:t>
      </w:r>
      <w:r>
        <w:rPr>
          <w:spacing w:val="-3"/>
        </w:rPr>
        <w:t> </w:t>
      </w:r>
      <w:r>
        <w:rPr/>
        <w:t>from</w:t>
      </w:r>
      <w:r>
        <w:rPr>
          <w:spacing w:val="-3"/>
        </w:rPr>
        <w:t> </w:t>
      </w:r>
      <w:r>
        <w:rPr/>
        <w:t>minority-focused</w:t>
      </w:r>
      <w:r>
        <w:rPr>
          <w:spacing w:val="-3"/>
        </w:rPr>
        <w:t> </w:t>
      </w:r>
      <w:r>
        <w:rPr/>
        <w:t>growth</w:t>
      </w:r>
      <w:r>
        <w:rPr>
          <w:spacing w:val="-3"/>
        </w:rPr>
        <w:t> </w:t>
      </w:r>
      <w:r>
        <w:rPr/>
        <w:t>funding to</w:t>
      </w:r>
      <w:r>
        <w:rPr>
          <w:spacing w:val="29"/>
        </w:rPr>
        <w:t> </w:t>
      </w:r>
      <w:r>
        <w:rPr/>
        <w:t>increasing</w:t>
      </w:r>
      <w:r>
        <w:rPr>
          <w:spacing w:val="35"/>
        </w:rPr>
        <w:t> </w:t>
      </w:r>
      <w:r>
        <w:rPr/>
        <w:t>interest</w:t>
      </w:r>
      <w:r>
        <w:rPr>
          <w:spacing w:val="32"/>
        </w:rPr>
        <w:t> </w:t>
      </w:r>
      <w:r>
        <w:rPr/>
        <w:t>in</w:t>
      </w:r>
      <w:r>
        <w:rPr>
          <w:spacing w:val="37"/>
        </w:rPr>
        <w:t> </w:t>
      </w:r>
      <w:r>
        <w:rPr/>
        <w:t>control-oriented</w:t>
      </w:r>
      <w:r>
        <w:rPr>
          <w:spacing w:val="34"/>
        </w:rPr>
        <w:t> </w:t>
      </w:r>
      <w:r>
        <w:rPr/>
        <w:t>transactions.</w:t>
      </w:r>
      <w:r>
        <w:rPr>
          <w:spacing w:val="26"/>
        </w:rPr>
        <w:t> </w:t>
      </w:r>
      <w:r>
        <w:rPr/>
        <w:t>This</w:t>
      </w:r>
      <w:r>
        <w:rPr>
          <w:spacing w:val="32"/>
        </w:rPr>
        <w:t> </w:t>
      </w:r>
      <w:r>
        <w:rPr/>
        <w:t>evolution</w:t>
      </w:r>
      <w:r>
        <w:rPr>
          <w:spacing w:val="32"/>
        </w:rPr>
        <w:t> </w:t>
      </w:r>
      <w:r>
        <w:rPr/>
        <w:t>is</w:t>
      </w:r>
      <w:r>
        <w:rPr>
          <w:spacing w:val="32"/>
        </w:rPr>
        <w:t> </w:t>
      </w:r>
      <w:r>
        <w:rPr/>
        <w:t>consistent</w:t>
      </w:r>
      <w:r>
        <w:rPr>
          <w:spacing w:val="32"/>
        </w:rPr>
        <w:t> </w:t>
      </w:r>
      <w:r>
        <w:rPr/>
        <w:t>with</w:t>
      </w:r>
      <w:r>
        <w:rPr>
          <w:spacing w:val="32"/>
        </w:rPr>
        <w:t> </w:t>
      </w:r>
      <w:r>
        <w:rPr>
          <w:spacing w:val="-5"/>
        </w:rPr>
        <w:t>the</w:t>
      </w:r>
    </w:p>
    <w:p>
      <w:pPr>
        <w:pStyle w:val="BodyText"/>
        <w:spacing w:after="0" w:line="360" w:lineRule="auto"/>
        <w:jc w:val="both"/>
        <w:sectPr>
          <w:pgSz w:w="11910" w:h="16840"/>
          <w:pgMar w:header="0" w:footer="1009" w:top="1360" w:bottom="1200" w:left="1417" w:right="1417"/>
        </w:sectPr>
      </w:pPr>
    </w:p>
    <w:p>
      <w:pPr>
        <w:pStyle w:val="BodyText"/>
        <w:spacing w:line="360" w:lineRule="auto" w:before="61"/>
        <w:ind w:left="23" w:right="21"/>
        <w:jc w:val="both"/>
      </w:pPr>
      <w:r>
        <w:rPr/>
        <w:t>maturation</w:t>
      </w:r>
      <w:r>
        <w:rPr>
          <w:spacing w:val="-15"/>
        </w:rPr>
        <w:t> </w:t>
      </w:r>
      <w:r>
        <w:rPr/>
        <w:t>of</w:t>
      </w:r>
      <w:r>
        <w:rPr>
          <w:spacing w:val="-15"/>
        </w:rPr>
        <w:t> </w:t>
      </w:r>
      <w:r>
        <w:rPr/>
        <w:t>India’s</w:t>
      </w:r>
      <w:r>
        <w:rPr>
          <w:spacing w:val="-15"/>
        </w:rPr>
        <w:t> </w:t>
      </w:r>
      <w:r>
        <w:rPr/>
        <w:t>PE</w:t>
      </w:r>
      <w:r>
        <w:rPr>
          <w:spacing w:val="-15"/>
        </w:rPr>
        <w:t> </w:t>
      </w:r>
      <w:r>
        <w:rPr/>
        <w:t>ecosystem,</w:t>
      </w:r>
      <w:r>
        <w:rPr>
          <w:spacing w:val="-15"/>
        </w:rPr>
        <w:t> </w:t>
      </w:r>
      <w:r>
        <w:rPr/>
        <w:t>supported</w:t>
      </w:r>
      <w:r>
        <w:rPr>
          <w:spacing w:val="-15"/>
        </w:rPr>
        <w:t> </w:t>
      </w:r>
      <w:r>
        <w:rPr/>
        <w:t>by</w:t>
      </w:r>
      <w:r>
        <w:rPr>
          <w:spacing w:val="-15"/>
        </w:rPr>
        <w:t> </w:t>
      </w:r>
      <w:r>
        <w:rPr/>
        <w:t>regulatory</w:t>
      </w:r>
      <w:r>
        <w:rPr>
          <w:spacing w:val="-15"/>
        </w:rPr>
        <w:t> </w:t>
      </w:r>
      <w:r>
        <w:rPr/>
        <w:t>developments</w:t>
      </w:r>
      <w:r>
        <w:rPr>
          <w:spacing w:val="-15"/>
        </w:rPr>
        <w:t> </w:t>
      </w:r>
      <w:r>
        <w:rPr/>
        <w:t>aimed</w:t>
      </w:r>
      <w:r>
        <w:rPr>
          <w:spacing w:val="-15"/>
        </w:rPr>
        <w:t> </w:t>
      </w:r>
      <w:r>
        <w:rPr/>
        <w:t>at</w:t>
      </w:r>
      <w:r>
        <w:rPr>
          <w:spacing w:val="-15"/>
        </w:rPr>
        <w:t> </w:t>
      </w:r>
      <w:r>
        <w:rPr/>
        <w:t>improving recovery</w:t>
      </w:r>
      <w:r>
        <w:rPr>
          <w:spacing w:val="-7"/>
        </w:rPr>
        <w:t> </w:t>
      </w:r>
      <w:r>
        <w:rPr/>
        <w:t>pathways</w:t>
      </w:r>
      <w:r>
        <w:rPr>
          <w:spacing w:val="-6"/>
        </w:rPr>
        <w:t> </w:t>
      </w:r>
      <w:r>
        <w:rPr/>
        <w:t>and</w:t>
      </w:r>
      <w:r>
        <w:rPr>
          <w:spacing w:val="-6"/>
        </w:rPr>
        <w:t> </w:t>
      </w:r>
      <w:r>
        <w:rPr/>
        <w:t>investor</w:t>
      </w:r>
      <w:r>
        <w:rPr>
          <w:spacing w:val="-6"/>
        </w:rPr>
        <w:t> </w:t>
      </w:r>
      <w:r>
        <w:rPr/>
        <w:t>protection.</w:t>
      </w:r>
      <w:r>
        <w:rPr>
          <w:spacing w:val="-11"/>
        </w:rPr>
        <w:t> </w:t>
      </w:r>
      <w:r>
        <w:rPr/>
        <w:t>The</w:t>
      </w:r>
      <w:r>
        <w:rPr>
          <w:spacing w:val="-7"/>
        </w:rPr>
        <w:t> </w:t>
      </w:r>
      <w:r>
        <w:rPr/>
        <w:t>empirical</w:t>
      </w:r>
      <w:r>
        <w:rPr>
          <w:spacing w:val="-5"/>
        </w:rPr>
        <w:t> </w:t>
      </w:r>
      <w:r>
        <w:rPr/>
        <w:t>patterns</w:t>
      </w:r>
      <w:r>
        <w:rPr>
          <w:spacing w:val="-6"/>
        </w:rPr>
        <w:t> </w:t>
      </w:r>
      <w:r>
        <w:rPr/>
        <w:t>presented</w:t>
      </w:r>
      <w:r>
        <w:rPr>
          <w:spacing w:val="-4"/>
        </w:rPr>
        <w:t> </w:t>
      </w:r>
      <w:r>
        <w:rPr/>
        <w:t>here</w:t>
      </w:r>
      <w:r>
        <w:rPr>
          <w:spacing w:val="-8"/>
        </w:rPr>
        <w:t> </w:t>
      </w:r>
      <w:r>
        <w:rPr/>
        <w:t>are</w:t>
      </w:r>
      <w:r>
        <w:rPr>
          <w:spacing w:val="-8"/>
        </w:rPr>
        <w:t> </w:t>
      </w:r>
      <w:r>
        <w:rPr/>
        <w:t>based</w:t>
      </w:r>
      <w:r>
        <w:rPr>
          <w:spacing w:val="-6"/>
        </w:rPr>
        <w:t> </w:t>
      </w:r>
      <w:r>
        <w:rPr/>
        <w:t>on the pivot outputs and stage distribution chart.</w:t>
      </w:r>
    </w:p>
    <w:p>
      <w:pPr>
        <w:pStyle w:val="Heading3"/>
        <w:numPr>
          <w:ilvl w:val="2"/>
          <w:numId w:val="5"/>
        </w:numPr>
        <w:tabs>
          <w:tab w:pos="563" w:val="left" w:leader="none"/>
        </w:tabs>
        <w:spacing w:line="240" w:lineRule="auto" w:before="160" w:after="0"/>
        <w:ind w:left="563" w:right="0" w:hanging="540"/>
        <w:jc w:val="both"/>
      </w:pPr>
      <w:bookmarkStart w:name="_bookmark51" w:id="52"/>
      <w:bookmarkEnd w:id="52"/>
      <w:r>
        <w:rPr>
          <w:b w:val="0"/>
        </w:rPr>
      </w:r>
      <w:r>
        <w:rPr/>
        <w:t>Deal</w:t>
      </w:r>
      <w:r>
        <w:rPr>
          <w:spacing w:val="-1"/>
        </w:rPr>
        <w:t> </w:t>
      </w:r>
      <w:r>
        <w:rPr/>
        <w:t>Stage</w:t>
      </w:r>
      <w:r>
        <w:rPr>
          <w:spacing w:val="-2"/>
        </w:rPr>
        <w:t> Distribution</w:t>
      </w:r>
    </w:p>
    <w:p>
      <w:pPr>
        <w:pStyle w:val="BodyText"/>
        <w:spacing w:line="360" w:lineRule="auto" w:before="218"/>
        <w:ind w:left="23" w:right="19"/>
        <w:jc w:val="both"/>
      </w:pPr>
      <w:r>
        <w:rPr/>
        <w:t>The</w:t>
      </w:r>
      <w:r>
        <w:rPr>
          <w:spacing w:val="-15"/>
        </w:rPr>
        <w:t> </w:t>
      </w:r>
      <w:r>
        <w:rPr/>
        <w:t>total</w:t>
      </w:r>
      <w:r>
        <w:rPr>
          <w:spacing w:val="-14"/>
        </w:rPr>
        <w:t> </w:t>
      </w:r>
      <w:r>
        <w:rPr/>
        <w:t>number</w:t>
      </w:r>
      <w:r>
        <w:rPr>
          <w:spacing w:val="-14"/>
        </w:rPr>
        <w:t> </w:t>
      </w:r>
      <w:r>
        <w:rPr/>
        <w:t>of</w:t>
      </w:r>
      <w:r>
        <w:rPr>
          <w:spacing w:val="-15"/>
        </w:rPr>
        <w:t> </w:t>
      </w:r>
      <w:r>
        <w:rPr/>
        <w:t>investments</w:t>
      </w:r>
      <w:r>
        <w:rPr>
          <w:spacing w:val="-14"/>
        </w:rPr>
        <w:t> </w:t>
      </w:r>
      <w:r>
        <w:rPr/>
        <w:t>recorded</w:t>
      </w:r>
      <w:r>
        <w:rPr>
          <w:spacing w:val="-14"/>
        </w:rPr>
        <w:t> </w:t>
      </w:r>
      <w:r>
        <w:rPr/>
        <w:t>in</w:t>
      </w:r>
      <w:r>
        <w:rPr>
          <w:spacing w:val="-14"/>
        </w:rPr>
        <w:t> </w:t>
      </w:r>
      <w:r>
        <w:rPr/>
        <w:t>the</w:t>
      </w:r>
      <w:r>
        <w:rPr>
          <w:spacing w:val="-13"/>
        </w:rPr>
        <w:t> </w:t>
      </w:r>
      <w:r>
        <w:rPr/>
        <w:t>dataset</w:t>
      </w:r>
      <w:r>
        <w:rPr>
          <w:spacing w:val="-14"/>
        </w:rPr>
        <w:t> </w:t>
      </w:r>
      <w:r>
        <w:rPr/>
        <w:t>is</w:t>
      </w:r>
      <w:r>
        <w:rPr>
          <w:spacing w:val="-14"/>
        </w:rPr>
        <w:t> </w:t>
      </w:r>
      <w:r>
        <w:rPr/>
        <w:t>5,967,</w:t>
      </w:r>
      <w:r>
        <w:rPr>
          <w:spacing w:val="-14"/>
        </w:rPr>
        <w:t> </w:t>
      </w:r>
      <w:r>
        <w:rPr/>
        <w:t>with</w:t>
      </w:r>
      <w:r>
        <w:rPr>
          <w:spacing w:val="-14"/>
        </w:rPr>
        <w:t> </w:t>
      </w:r>
      <w:r>
        <w:rPr/>
        <w:t>Expansion</w:t>
      </w:r>
      <w:r>
        <w:rPr>
          <w:spacing w:val="-14"/>
        </w:rPr>
        <w:t> </w:t>
      </w:r>
      <w:r>
        <w:rPr/>
        <w:t>Stage</w:t>
      </w:r>
      <w:r>
        <w:rPr>
          <w:spacing w:val="-15"/>
        </w:rPr>
        <w:t> </w:t>
      </w:r>
      <w:r>
        <w:rPr/>
        <w:t>funding being the largest (3,054 deals) and Acquisition/Buyout-linked investments (1,003 deals) dominating.</w:t>
      </w:r>
      <w:r>
        <w:rPr>
          <w:spacing w:val="-3"/>
        </w:rPr>
        <w:t> </w:t>
      </w:r>
      <w:r>
        <w:rPr/>
        <w:t>Expansion</w:t>
      </w:r>
      <w:r>
        <w:rPr>
          <w:spacing w:val="-3"/>
        </w:rPr>
        <w:t> </w:t>
      </w:r>
      <w:r>
        <w:rPr/>
        <w:t>rounds</w:t>
      </w:r>
      <w:r>
        <w:rPr>
          <w:spacing w:val="-4"/>
        </w:rPr>
        <w:t> </w:t>
      </w:r>
      <w:r>
        <w:rPr/>
        <w:t>indicate</w:t>
      </w:r>
      <w:r>
        <w:rPr>
          <w:spacing w:val="-3"/>
        </w:rPr>
        <w:t> </w:t>
      </w:r>
      <w:r>
        <w:rPr/>
        <w:t>the</w:t>
      </w:r>
      <w:r>
        <w:rPr>
          <w:spacing w:val="-4"/>
        </w:rPr>
        <w:t> </w:t>
      </w:r>
      <w:r>
        <w:rPr/>
        <w:t>presence</w:t>
      </w:r>
      <w:r>
        <w:rPr>
          <w:spacing w:val="-4"/>
        </w:rPr>
        <w:t> </w:t>
      </w:r>
      <w:r>
        <w:rPr/>
        <w:t>of</w:t>
      </w:r>
      <w:r>
        <w:rPr>
          <w:spacing w:val="-2"/>
        </w:rPr>
        <w:t> </w:t>
      </w:r>
      <w:r>
        <w:rPr/>
        <w:t>revenue</w:t>
      </w:r>
      <w:r>
        <w:rPr>
          <w:spacing w:val="-4"/>
        </w:rPr>
        <w:t> </w:t>
      </w:r>
      <w:r>
        <w:rPr/>
        <w:t>generating companies</w:t>
      </w:r>
      <w:r>
        <w:rPr>
          <w:spacing w:val="-4"/>
        </w:rPr>
        <w:t> </w:t>
      </w:r>
      <w:r>
        <w:rPr/>
        <w:t>that</w:t>
      </w:r>
      <w:r>
        <w:rPr>
          <w:spacing w:val="-3"/>
        </w:rPr>
        <w:t> </w:t>
      </w:r>
      <w:r>
        <w:rPr/>
        <w:t>are in</w:t>
      </w:r>
      <w:r>
        <w:rPr>
          <w:spacing w:val="-8"/>
        </w:rPr>
        <w:t> </w:t>
      </w:r>
      <w:r>
        <w:rPr/>
        <w:t>need</w:t>
      </w:r>
      <w:r>
        <w:rPr>
          <w:spacing w:val="-8"/>
        </w:rPr>
        <w:t> </w:t>
      </w:r>
      <w:r>
        <w:rPr/>
        <w:t>of</w:t>
      </w:r>
      <w:r>
        <w:rPr>
          <w:spacing w:val="-9"/>
        </w:rPr>
        <w:t> </w:t>
      </w:r>
      <w:r>
        <w:rPr/>
        <w:t>scale</w:t>
      </w:r>
      <w:r>
        <w:rPr>
          <w:spacing w:val="-6"/>
        </w:rPr>
        <w:t> </w:t>
      </w:r>
      <w:r>
        <w:rPr/>
        <w:t>capital,</w:t>
      </w:r>
      <w:r>
        <w:rPr>
          <w:spacing w:val="-5"/>
        </w:rPr>
        <w:t> </w:t>
      </w:r>
      <w:r>
        <w:rPr/>
        <w:t>while</w:t>
      </w:r>
      <w:r>
        <w:rPr>
          <w:spacing w:val="-9"/>
        </w:rPr>
        <w:t> </w:t>
      </w:r>
      <w:r>
        <w:rPr/>
        <w:t>acquisitions</w:t>
      </w:r>
      <w:r>
        <w:rPr>
          <w:spacing w:val="-8"/>
        </w:rPr>
        <w:t> </w:t>
      </w:r>
      <w:r>
        <w:rPr/>
        <w:t>reflect</w:t>
      </w:r>
      <w:r>
        <w:rPr>
          <w:spacing w:val="-6"/>
        </w:rPr>
        <w:t> </w:t>
      </w:r>
      <w:r>
        <w:rPr/>
        <w:t>the</w:t>
      </w:r>
      <w:r>
        <w:rPr>
          <w:spacing w:val="-9"/>
        </w:rPr>
        <w:t> </w:t>
      </w:r>
      <w:r>
        <w:rPr/>
        <w:t>investor</w:t>
      </w:r>
      <w:r>
        <w:rPr>
          <w:spacing w:val="-9"/>
        </w:rPr>
        <w:t> </w:t>
      </w:r>
      <w:r>
        <w:rPr/>
        <w:t>appetite</w:t>
      </w:r>
      <w:r>
        <w:rPr>
          <w:spacing w:val="-9"/>
        </w:rPr>
        <w:t> </w:t>
      </w:r>
      <w:r>
        <w:rPr/>
        <w:t>for</w:t>
      </w:r>
      <w:r>
        <w:rPr>
          <w:spacing w:val="-7"/>
        </w:rPr>
        <w:t> </w:t>
      </w:r>
      <w:r>
        <w:rPr/>
        <w:t>strategic</w:t>
      </w:r>
      <w:r>
        <w:rPr>
          <w:spacing w:val="-9"/>
        </w:rPr>
        <w:t> </w:t>
      </w:r>
      <w:r>
        <w:rPr/>
        <w:t>control</w:t>
      </w:r>
      <w:r>
        <w:rPr>
          <w:spacing w:val="-8"/>
        </w:rPr>
        <w:t> </w:t>
      </w:r>
      <w:r>
        <w:rPr/>
        <w:t>and </w:t>
      </w:r>
      <w:r>
        <w:rPr>
          <w:spacing w:val="-2"/>
        </w:rPr>
        <w:t>consolidation</w:t>
      </w:r>
      <w:r>
        <w:rPr>
          <w:spacing w:val="-4"/>
        </w:rPr>
        <w:t> </w:t>
      </w:r>
      <w:r>
        <w:rPr>
          <w:spacing w:val="-2"/>
        </w:rPr>
        <w:t>opportunities.</w:t>
      </w:r>
      <w:r>
        <w:rPr>
          <w:spacing w:val="-13"/>
        </w:rPr>
        <w:t> </w:t>
      </w:r>
      <w:r>
        <w:rPr>
          <w:spacing w:val="-2"/>
        </w:rPr>
        <w:t>Additional stages such as Bridge</w:t>
      </w:r>
      <w:r>
        <w:rPr>
          <w:spacing w:val="-3"/>
        </w:rPr>
        <w:t> </w:t>
      </w:r>
      <w:r>
        <w:rPr>
          <w:spacing w:val="-2"/>
        </w:rPr>
        <w:t>Loans, PIPEs (Private Investment </w:t>
      </w:r>
      <w:r>
        <w:rPr/>
        <w:t>in</w:t>
      </w:r>
      <w:r>
        <w:rPr>
          <w:spacing w:val="-15"/>
        </w:rPr>
        <w:t> </w:t>
      </w:r>
      <w:r>
        <w:rPr/>
        <w:t>Public</w:t>
      </w:r>
      <w:r>
        <w:rPr>
          <w:spacing w:val="-15"/>
        </w:rPr>
        <w:t> </w:t>
      </w:r>
      <w:r>
        <w:rPr/>
        <w:t>Equity),</w:t>
      </w:r>
      <w:r>
        <w:rPr>
          <w:spacing w:val="-15"/>
        </w:rPr>
        <w:t> </w:t>
      </w:r>
      <w:r>
        <w:rPr/>
        <w:t>Mezzanine</w:t>
      </w:r>
      <w:r>
        <w:rPr>
          <w:spacing w:val="-15"/>
        </w:rPr>
        <w:t> </w:t>
      </w:r>
      <w:r>
        <w:rPr/>
        <w:t>financing,</w:t>
      </w:r>
      <w:r>
        <w:rPr>
          <w:spacing w:val="-15"/>
        </w:rPr>
        <w:t> </w:t>
      </w:r>
      <w:r>
        <w:rPr/>
        <w:t>and</w:t>
      </w:r>
      <w:r>
        <w:rPr>
          <w:spacing w:val="-15"/>
        </w:rPr>
        <w:t> </w:t>
      </w:r>
      <w:r>
        <w:rPr/>
        <w:t>LBOs</w:t>
      </w:r>
      <w:r>
        <w:rPr>
          <w:spacing w:val="-15"/>
        </w:rPr>
        <w:t> </w:t>
      </w:r>
      <w:r>
        <w:rPr/>
        <w:t>occur</w:t>
      </w:r>
      <w:r>
        <w:rPr>
          <w:spacing w:val="-15"/>
        </w:rPr>
        <w:t> </w:t>
      </w:r>
      <w:r>
        <w:rPr/>
        <w:t>less</w:t>
      </w:r>
      <w:r>
        <w:rPr>
          <w:spacing w:val="-15"/>
        </w:rPr>
        <w:t> </w:t>
      </w:r>
      <w:r>
        <w:rPr/>
        <w:t>often</w:t>
      </w:r>
      <w:r>
        <w:rPr>
          <w:spacing w:val="-15"/>
        </w:rPr>
        <w:t> </w:t>
      </w:r>
      <w:r>
        <w:rPr/>
        <w:t>but</w:t>
      </w:r>
      <w:r>
        <w:rPr>
          <w:spacing w:val="-15"/>
        </w:rPr>
        <w:t> </w:t>
      </w:r>
      <w:r>
        <w:rPr/>
        <w:t>indicate</w:t>
      </w:r>
      <w:r>
        <w:rPr>
          <w:spacing w:val="-15"/>
        </w:rPr>
        <w:t> </w:t>
      </w:r>
      <w:r>
        <w:rPr/>
        <w:t>deal</w:t>
      </w:r>
      <w:r>
        <w:rPr>
          <w:spacing w:val="-15"/>
        </w:rPr>
        <w:t> </w:t>
      </w:r>
      <w:r>
        <w:rPr/>
        <w:t>structuring diversity. The share of later-stage structures versus buyout-related structures have been increasing steadily after 2016, while the share of purely early-stage rounds is smaller than developed venture markets.</w:t>
      </w:r>
    </w:p>
    <w:p>
      <w:pPr>
        <w:pStyle w:val="Heading3"/>
        <w:numPr>
          <w:ilvl w:val="2"/>
          <w:numId w:val="5"/>
        </w:numPr>
        <w:tabs>
          <w:tab w:pos="563" w:val="left" w:leader="none"/>
        </w:tabs>
        <w:spacing w:line="240" w:lineRule="auto" w:before="160" w:after="0"/>
        <w:ind w:left="563" w:right="0" w:hanging="540"/>
        <w:jc w:val="both"/>
      </w:pPr>
      <w:bookmarkStart w:name="_bookmark52" w:id="53"/>
      <w:bookmarkEnd w:id="53"/>
      <w:r>
        <w:rPr>
          <w:b w:val="0"/>
        </w:rPr>
      </w:r>
      <w:r>
        <w:rPr/>
        <w:t>Control</w:t>
      </w:r>
      <w:r>
        <w:rPr>
          <w:spacing w:val="-3"/>
        </w:rPr>
        <w:t> </w:t>
      </w:r>
      <w:r>
        <w:rPr/>
        <w:t>vs</w:t>
      </w:r>
      <w:r>
        <w:rPr>
          <w:spacing w:val="-3"/>
        </w:rPr>
        <w:t> </w:t>
      </w:r>
      <w:r>
        <w:rPr/>
        <w:t>Minority</w:t>
      </w:r>
      <w:r>
        <w:rPr>
          <w:spacing w:val="-3"/>
        </w:rPr>
        <w:t> </w:t>
      </w:r>
      <w:r>
        <w:rPr>
          <w:spacing w:val="-2"/>
        </w:rPr>
        <w:t>Shift</w:t>
      </w:r>
    </w:p>
    <w:p>
      <w:pPr>
        <w:pStyle w:val="BodyText"/>
        <w:spacing w:line="360" w:lineRule="auto" w:before="219"/>
        <w:ind w:left="23" w:right="19"/>
        <w:jc w:val="both"/>
      </w:pPr>
      <w:r>
        <w:rPr/>
        <w:t>A clear move towards control-oriented investments is evident after the Insolvency and Bankruptcy Code (IBC) came into play in 2016. Pre-IBC eras are characterised by minority positions being held in the majority, especially through expansion rounds and growth equity placements. Following the introduction of IBC, investors receive better visibility of recovery and this leads to a boom in LBOs and PIPEs, distressed acquisitions and recapitalisation transactions, structures which are often associated with control or shared governance. This is in line with the higher usage of acquisition stages, as you can see in the dataset where buyout linked rounds accelerate post-2016. The post-2016 period of the dataset is also reflective of increased sponsor activity in operational turnarounds, especially within Industrials and Healthcare, industries that are a direct beneficiary of structured insolvency resolution.</w:t>
      </w:r>
    </w:p>
    <w:p>
      <w:pPr>
        <w:pStyle w:val="Heading3"/>
        <w:numPr>
          <w:ilvl w:val="2"/>
          <w:numId w:val="5"/>
        </w:numPr>
        <w:tabs>
          <w:tab w:pos="563" w:val="left" w:leader="none"/>
        </w:tabs>
        <w:spacing w:line="240" w:lineRule="auto" w:before="160" w:after="0"/>
        <w:ind w:left="563" w:right="0" w:hanging="540"/>
        <w:jc w:val="both"/>
      </w:pPr>
      <w:bookmarkStart w:name="_bookmark53" w:id="54"/>
      <w:bookmarkEnd w:id="54"/>
      <w:r>
        <w:rPr>
          <w:b w:val="0"/>
        </w:rPr>
      </w:r>
      <w:r>
        <w:rPr/>
        <w:t>Interpretation:</w:t>
      </w:r>
      <w:r>
        <w:rPr>
          <w:spacing w:val="-7"/>
        </w:rPr>
        <w:t> </w:t>
      </w:r>
      <w:r>
        <w:rPr/>
        <w:t>Governance,</w:t>
      </w:r>
      <w:r>
        <w:rPr>
          <w:spacing w:val="-5"/>
        </w:rPr>
        <w:t> </w:t>
      </w:r>
      <w:r>
        <w:rPr/>
        <w:t>Control,</w:t>
      </w:r>
      <w:r>
        <w:rPr>
          <w:spacing w:val="-5"/>
        </w:rPr>
        <w:t> </w:t>
      </w:r>
      <w:r>
        <w:rPr/>
        <w:t>and</w:t>
      </w:r>
      <w:r>
        <w:rPr>
          <w:spacing w:val="-5"/>
        </w:rPr>
        <w:t> </w:t>
      </w:r>
      <w:r>
        <w:rPr/>
        <w:t>Market</w:t>
      </w:r>
      <w:r>
        <w:rPr>
          <w:spacing w:val="-5"/>
        </w:rPr>
        <w:t> </w:t>
      </w:r>
      <w:r>
        <w:rPr>
          <w:spacing w:val="-2"/>
        </w:rPr>
        <w:t>Maturity</w:t>
      </w:r>
    </w:p>
    <w:p>
      <w:pPr>
        <w:pStyle w:val="BodyText"/>
        <w:spacing w:line="360" w:lineRule="auto" w:before="218"/>
        <w:ind w:left="23" w:right="19"/>
        <w:jc w:val="both"/>
      </w:pPr>
      <w:r>
        <w:rPr/>
        <w:t>The rise in the number of control structures is an indication of governance maturity in the PE </w:t>
      </w:r>
      <w:r>
        <w:rPr>
          <w:spacing w:val="-2"/>
        </w:rPr>
        <w:t>environment of</w:t>
      </w:r>
      <w:r>
        <w:rPr>
          <w:spacing w:val="-3"/>
        </w:rPr>
        <w:t> </w:t>
      </w:r>
      <w:r>
        <w:rPr>
          <w:spacing w:val="-2"/>
        </w:rPr>
        <w:t>India. Control transactions increase</w:t>
      </w:r>
      <w:r>
        <w:rPr>
          <w:spacing w:val="-3"/>
        </w:rPr>
        <w:t> </w:t>
      </w:r>
      <w:r>
        <w:rPr>
          <w:spacing w:val="-2"/>
        </w:rPr>
        <w:t>investor control over</w:t>
      </w:r>
      <w:r>
        <w:rPr>
          <w:spacing w:val="-3"/>
        </w:rPr>
        <w:t> </w:t>
      </w:r>
      <w:r>
        <w:rPr>
          <w:spacing w:val="-2"/>
        </w:rPr>
        <w:t>the strategic</w:t>
      </w:r>
      <w:r>
        <w:rPr>
          <w:spacing w:val="-3"/>
        </w:rPr>
        <w:t> </w:t>
      </w:r>
      <w:r>
        <w:rPr>
          <w:spacing w:val="-2"/>
        </w:rPr>
        <w:t>direction, </w:t>
      </w:r>
      <w:r>
        <w:rPr/>
        <w:t>overseen</w:t>
      </w:r>
      <w:r>
        <w:rPr>
          <w:spacing w:val="-12"/>
        </w:rPr>
        <w:t> </w:t>
      </w:r>
      <w:r>
        <w:rPr/>
        <w:t>management,</w:t>
      </w:r>
      <w:r>
        <w:rPr>
          <w:spacing w:val="-14"/>
        </w:rPr>
        <w:t> </w:t>
      </w:r>
      <w:r>
        <w:rPr/>
        <w:t>and</w:t>
      </w:r>
      <w:r>
        <w:rPr>
          <w:spacing w:val="-14"/>
        </w:rPr>
        <w:t> </w:t>
      </w:r>
      <w:r>
        <w:rPr/>
        <w:t>capital</w:t>
      </w:r>
      <w:r>
        <w:rPr>
          <w:spacing w:val="-14"/>
        </w:rPr>
        <w:t> </w:t>
      </w:r>
      <w:r>
        <w:rPr/>
        <w:t>distribution</w:t>
      </w:r>
      <w:r>
        <w:rPr>
          <w:spacing w:val="-14"/>
        </w:rPr>
        <w:t> </w:t>
      </w:r>
      <w:r>
        <w:rPr/>
        <w:t>to</w:t>
      </w:r>
      <w:r>
        <w:rPr>
          <w:spacing w:val="-11"/>
        </w:rPr>
        <w:t> </w:t>
      </w:r>
      <w:r>
        <w:rPr/>
        <w:t>decrease</w:t>
      </w:r>
      <w:r>
        <w:rPr>
          <w:spacing w:val="-13"/>
        </w:rPr>
        <w:t> </w:t>
      </w:r>
      <w:r>
        <w:rPr/>
        <w:t>information</w:t>
      </w:r>
      <w:r>
        <w:rPr>
          <w:spacing w:val="-14"/>
        </w:rPr>
        <w:t> </w:t>
      </w:r>
      <w:r>
        <w:rPr/>
        <w:t>asymmetry,</w:t>
      </w:r>
      <w:r>
        <w:rPr>
          <w:spacing w:val="-14"/>
        </w:rPr>
        <w:t> </w:t>
      </w:r>
      <w:r>
        <w:rPr/>
        <w:t>in</w:t>
      </w:r>
      <w:r>
        <w:rPr>
          <w:spacing w:val="-14"/>
        </w:rPr>
        <w:t> </w:t>
      </w:r>
      <w:r>
        <w:rPr/>
        <w:t>line</w:t>
      </w:r>
      <w:r>
        <w:rPr>
          <w:spacing w:val="-15"/>
        </w:rPr>
        <w:t> </w:t>
      </w:r>
      <w:r>
        <w:rPr/>
        <w:t>with the concept of Agency Theory, which focuses on surveillance to prevent opportunism from management. Moreover, an increase in control-based deals shows greater institutional confidence</w:t>
      </w:r>
      <w:r>
        <w:rPr>
          <w:spacing w:val="-5"/>
        </w:rPr>
        <w:t> </w:t>
      </w:r>
      <w:r>
        <w:rPr/>
        <w:t>in</w:t>
      </w:r>
      <w:r>
        <w:rPr>
          <w:spacing w:val="-4"/>
        </w:rPr>
        <w:t> </w:t>
      </w:r>
      <w:r>
        <w:rPr/>
        <w:t>legal</w:t>
      </w:r>
      <w:r>
        <w:rPr>
          <w:spacing w:val="-4"/>
        </w:rPr>
        <w:t> </w:t>
      </w:r>
      <w:r>
        <w:rPr/>
        <w:t>enforcement</w:t>
      </w:r>
      <w:r>
        <w:rPr>
          <w:spacing w:val="-4"/>
        </w:rPr>
        <w:t> </w:t>
      </w:r>
      <w:r>
        <w:rPr/>
        <w:t>and</w:t>
      </w:r>
      <w:r>
        <w:rPr>
          <w:spacing w:val="-4"/>
        </w:rPr>
        <w:t> </w:t>
      </w:r>
      <w:r>
        <w:rPr/>
        <w:t>exit</w:t>
      </w:r>
      <w:r>
        <w:rPr>
          <w:spacing w:val="-4"/>
        </w:rPr>
        <w:t> </w:t>
      </w:r>
      <w:r>
        <w:rPr/>
        <w:t>visibility,</w:t>
      </w:r>
      <w:r>
        <w:rPr>
          <w:spacing w:val="-4"/>
        </w:rPr>
        <w:t> </w:t>
      </w:r>
      <w:r>
        <w:rPr/>
        <w:t>consistent</w:t>
      </w:r>
      <w:r>
        <w:rPr>
          <w:spacing w:val="-4"/>
        </w:rPr>
        <w:t> </w:t>
      </w:r>
      <w:r>
        <w:rPr/>
        <w:t>with</w:t>
      </w:r>
      <w:r>
        <w:rPr>
          <w:spacing w:val="-4"/>
        </w:rPr>
        <w:t> </w:t>
      </w:r>
      <w:r>
        <w:rPr/>
        <w:t>institutional</w:t>
      </w:r>
      <w:r>
        <w:rPr>
          <w:spacing w:val="-8"/>
        </w:rPr>
        <w:t> </w:t>
      </w:r>
      <w:r>
        <w:rPr/>
        <w:t>Theory.</w:t>
      </w:r>
      <w:r>
        <w:rPr>
          <w:spacing w:val="-9"/>
        </w:rPr>
        <w:t> </w:t>
      </w:r>
      <w:r>
        <w:rPr/>
        <w:t>These developments</w:t>
      </w:r>
      <w:r>
        <w:rPr>
          <w:spacing w:val="-12"/>
        </w:rPr>
        <w:t> </w:t>
      </w:r>
      <w:r>
        <w:rPr/>
        <w:t>indicate</w:t>
      </w:r>
      <w:r>
        <w:rPr>
          <w:spacing w:val="-10"/>
        </w:rPr>
        <w:t> </w:t>
      </w:r>
      <w:r>
        <w:rPr/>
        <w:t>that</w:t>
      </w:r>
      <w:r>
        <w:rPr>
          <w:spacing w:val="-10"/>
        </w:rPr>
        <w:t> </w:t>
      </w:r>
      <w:r>
        <w:rPr/>
        <w:t>India's</w:t>
      </w:r>
      <w:r>
        <w:rPr>
          <w:spacing w:val="-9"/>
        </w:rPr>
        <w:t> </w:t>
      </w:r>
      <w:r>
        <w:rPr/>
        <w:t>market</w:t>
      </w:r>
      <w:r>
        <w:rPr>
          <w:spacing w:val="-9"/>
        </w:rPr>
        <w:t> </w:t>
      </w:r>
      <w:r>
        <w:rPr/>
        <w:t>is</w:t>
      </w:r>
      <w:r>
        <w:rPr>
          <w:spacing w:val="-9"/>
        </w:rPr>
        <w:t> </w:t>
      </w:r>
      <w:r>
        <w:rPr/>
        <w:t>evolving</w:t>
      </w:r>
      <w:r>
        <w:rPr>
          <w:spacing w:val="-11"/>
        </w:rPr>
        <w:t> </w:t>
      </w:r>
      <w:r>
        <w:rPr/>
        <w:t>from</w:t>
      </w:r>
      <w:r>
        <w:rPr>
          <w:spacing w:val="-9"/>
        </w:rPr>
        <w:t> </w:t>
      </w:r>
      <w:r>
        <w:rPr/>
        <w:t>a</w:t>
      </w:r>
      <w:r>
        <w:rPr>
          <w:spacing w:val="-11"/>
        </w:rPr>
        <w:t> </w:t>
      </w:r>
      <w:r>
        <w:rPr/>
        <w:t>growth</w:t>
      </w:r>
      <w:r>
        <w:rPr>
          <w:spacing w:val="-9"/>
        </w:rPr>
        <w:t> </w:t>
      </w:r>
      <w:r>
        <w:rPr/>
        <w:t>capital</w:t>
      </w:r>
      <w:r>
        <w:rPr>
          <w:spacing w:val="-9"/>
        </w:rPr>
        <w:t> </w:t>
      </w:r>
      <w:r>
        <w:rPr/>
        <w:t>model</w:t>
      </w:r>
      <w:r>
        <w:rPr>
          <w:spacing w:val="-10"/>
        </w:rPr>
        <w:t> </w:t>
      </w:r>
      <w:r>
        <w:rPr/>
        <w:t>towards</w:t>
      </w:r>
      <w:r>
        <w:rPr>
          <w:spacing w:val="-10"/>
        </w:rPr>
        <w:t> </w:t>
      </w:r>
      <w:r>
        <w:rPr>
          <w:spacing w:val="-5"/>
        </w:rPr>
        <w:t>one</w:t>
      </w:r>
    </w:p>
    <w:p>
      <w:pPr>
        <w:pStyle w:val="BodyText"/>
        <w:spacing w:after="0" w:line="360" w:lineRule="auto"/>
        <w:jc w:val="both"/>
        <w:sectPr>
          <w:pgSz w:w="11910" w:h="16840"/>
          <w:pgMar w:header="0" w:footer="1009" w:top="1360" w:bottom="1280" w:left="1417" w:right="1417"/>
        </w:sectPr>
      </w:pPr>
    </w:p>
    <w:p>
      <w:pPr>
        <w:pStyle w:val="BodyText"/>
        <w:spacing w:line="360" w:lineRule="auto" w:before="61"/>
        <w:ind w:left="23" w:right="24"/>
        <w:jc w:val="both"/>
      </w:pPr>
      <w:r>
        <w:rPr/>
        <w:t>that</w:t>
      </w:r>
      <w:r>
        <w:rPr>
          <w:spacing w:val="-7"/>
        </w:rPr>
        <w:t> </w:t>
      </w:r>
      <w:r>
        <w:rPr/>
        <w:t>involves</w:t>
      </w:r>
      <w:r>
        <w:rPr>
          <w:spacing w:val="-7"/>
        </w:rPr>
        <w:t> </w:t>
      </w:r>
      <w:r>
        <w:rPr/>
        <w:t>value</w:t>
      </w:r>
      <w:r>
        <w:rPr>
          <w:spacing w:val="-8"/>
        </w:rPr>
        <w:t> </w:t>
      </w:r>
      <w:r>
        <w:rPr/>
        <w:t>creation</w:t>
      </w:r>
      <w:r>
        <w:rPr>
          <w:spacing w:val="-7"/>
        </w:rPr>
        <w:t> </w:t>
      </w:r>
      <w:r>
        <w:rPr/>
        <w:t>and</w:t>
      </w:r>
      <w:r>
        <w:rPr>
          <w:spacing w:val="-7"/>
        </w:rPr>
        <w:t> </w:t>
      </w:r>
      <w:r>
        <w:rPr/>
        <w:t>turnaround</w:t>
      </w:r>
      <w:r>
        <w:rPr>
          <w:spacing w:val="-8"/>
        </w:rPr>
        <w:t> </w:t>
      </w:r>
      <w:r>
        <w:rPr/>
        <w:t>strategies,</w:t>
      </w:r>
      <w:r>
        <w:rPr>
          <w:spacing w:val="-8"/>
        </w:rPr>
        <w:t> </w:t>
      </w:r>
      <w:r>
        <w:rPr/>
        <w:t>just</w:t>
      </w:r>
      <w:r>
        <w:rPr>
          <w:spacing w:val="-6"/>
        </w:rPr>
        <w:t> </w:t>
      </w:r>
      <w:r>
        <w:rPr/>
        <w:t>as</w:t>
      </w:r>
      <w:r>
        <w:rPr>
          <w:spacing w:val="-7"/>
        </w:rPr>
        <w:t> </w:t>
      </w:r>
      <w:r>
        <w:rPr/>
        <w:t>is</w:t>
      </w:r>
      <w:r>
        <w:rPr>
          <w:spacing w:val="-7"/>
        </w:rPr>
        <w:t> </w:t>
      </w:r>
      <w:r>
        <w:rPr/>
        <w:t>the</w:t>
      </w:r>
      <w:r>
        <w:rPr>
          <w:spacing w:val="-8"/>
        </w:rPr>
        <w:t> </w:t>
      </w:r>
      <w:r>
        <w:rPr/>
        <w:t>case</w:t>
      </w:r>
      <w:r>
        <w:rPr>
          <w:spacing w:val="-8"/>
        </w:rPr>
        <w:t> </w:t>
      </w:r>
      <w:r>
        <w:rPr/>
        <w:t>in</w:t>
      </w:r>
      <w:r>
        <w:rPr>
          <w:spacing w:val="-4"/>
        </w:rPr>
        <w:t> </w:t>
      </w:r>
      <w:r>
        <w:rPr/>
        <w:t>more</w:t>
      </w:r>
      <w:r>
        <w:rPr>
          <w:spacing w:val="-8"/>
        </w:rPr>
        <w:t> </w:t>
      </w:r>
      <w:r>
        <w:rPr/>
        <w:t>developed</w:t>
      </w:r>
      <w:r>
        <w:rPr>
          <w:spacing w:val="-7"/>
        </w:rPr>
        <w:t> </w:t>
      </w:r>
      <w:r>
        <w:rPr/>
        <w:t>PE </w:t>
      </w:r>
      <w:r>
        <w:rPr>
          <w:spacing w:val="-2"/>
        </w:rPr>
        <w:t>ecosystem.</w:t>
      </w:r>
    </w:p>
    <w:p>
      <w:pPr>
        <w:pStyle w:val="Heading2"/>
        <w:numPr>
          <w:ilvl w:val="1"/>
          <w:numId w:val="5"/>
        </w:numPr>
        <w:tabs>
          <w:tab w:pos="397" w:val="left" w:leader="none"/>
        </w:tabs>
        <w:spacing w:line="240" w:lineRule="auto" w:before="161" w:after="0"/>
        <w:ind w:left="397" w:right="0" w:hanging="374"/>
        <w:jc w:val="both"/>
      </w:pPr>
      <w:bookmarkStart w:name="_bookmark54" w:id="55"/>
      <w:bookmarkEnd w:id="55"/>
      <w:r>
        <w:rPr>
          <w:b w:val="0"/>
        </w:rPr>
      </w:r>
      <w:r>
        <w:rPr/>
        <w:t>Analysis</w:t>
      </w:r>
      <w:r>
        <w:rPr>
          <w:spacing w:val="-7"/>
        </w:rPr>
        <w:t> </w:t>
      </w:r>
      <w:r>
        <w:rPr/>
        <w:t>of</w:t>
      </w:r>
      <w:r>
        <w:rPr>
          <w:spacing w:val="-5"/>
        </w:rPr>
        <w:t> </w:t>
      </w:r>
      <w:r>
        <w:rPr>
          <w:spacing w:val="-2"/>
        </w:rPr>
        <w:t>Exits</w:t>
      </w:r>
    </w:p>
    <w:p>
      <w:pPr>
        <w:pStyle w:val="BodyText"/>
        <w:spacing w:line="360" w:lineRule="auto" w:before="229"/>
        <w:ind w:left="23" w:right="18"/>
        <w:jc w:val="both"/>
      </w:pPr>
      <w:r>
        <w:rPr/>
        <w:t>This section assesses exit activity in India's private equity market from 2005 to 2024 in terms of exit frequency and mechanisms of exit dominating the market and their sectoral exit performance. Exit patterns provide an indication of the market liquidity, investor confidence and</w:t>
      </w:r>
      <w:r>
        <w:rPr>
          <w:spacing w:val="-14"/>
        </w:rPr>
        <w:t> </w:t>
      </w:r>
      <w:r>
        <w:rPr/>
        <w:t>ability</w:t>
      </w:r>
      <w:r>
        <w:rPr>
          <w:spacing w:val="-12"/>
        </w:rPr>
        <w:t> </w:t>
      </w:r>
      <w:r>
        <w:rPr/>
        <w:t>of</w:t>
      </w:r>
      <w:r>
        <w:rPr>
          <w:spacing w:val="-13"/>
        </w:rPr>
        <w:t> </w:t>
      </w:r>
      <w:r>
        <w:rPr/>
        <w:t>the</w:t>
      </w:r>
      <w:r>
        <w:rPr>
          <w:spacing w:val="-13"/>
        </w:rPr>
        <w:t> </w:t>
      </w:r>
      <w:r>
        <w:rPr/>
        <w:t>ecosystem</w:t>
      </w:r>
      <w:r>
        <w:rPr>
          <w:spacing w:val="-12"/>
        </w:rPr>
        <w:t> </w:t>
      </w:r>
      <w:r>
        <w:rPr/>
        <w:t>to</w:t>
      </w:r>
      <w:r>
        <w:rPr>
          <w:spacing w:val="-12"/>
        </w:rPr>
        <w:t> </w:t>
      </w:r>
      <w:r>
        <w:rPr/>
        <w:t>recycle</w:t>
      </w:r>
      <w:r>
        <w:rPr>
          <w:spacing w:val="-13"/>
        </w:rPr>
        <w:t> </w:t>
      </w:r>
      <w:r>
        <w:rPr/>
        <w:t>capital</w:t>
      </w:r>
      <w:r>
        <w:rPr>
          <w:spacing w:val="-12"/>
        </w:rPr>
        <w:t> </w:t>
      </w:r>
      <w:r>
        <w:rPr/>
        <w:t>into</w:t>
      </w:r>
      <w:r>
        <w:rPr>
          <w:spacing w:val="-10"/>
        </w:rPr>
        <w:t> </w:t>
      </w:r>
      <w:r>
        <w:rPr/>
        <w:t>new</w:t>
      </w:r>
      <w:r>
        <w:rPr>
          <w:spacing w:val="-13"/>
        </w:rPr>
        <w:t> </w:t>
      </w:r>
      <w:r>
        <w:rPr/>
        <w:t>opportunities.</w:t>
      </w:r>
      <w:r>
        <w:rPr>
          <w:spacing w:val="-15"/>
        </w:rPr>
        <w:t> </w:t>
      </w:r>
      <w:r>
        <w:rPr/>
        <w:t>The</w:t>
      </w:r>
      <w:r>
        <w:rPr>
          <w:spacing w:val="-11"/>
        </w:rPr>
        <w:t> </w:t>
      </w:r>
      <w:r>
        <w:rPr/>
        <w:t>analysis</w:t>
      </w:r>
      <w:r>
        <w:rPr>
          <w:spacing w:val="-12"/>
        </w:rPr>
        <w:t> </w:t>
      </w:r>
      <w:r>
        <w:rPr/>
        <w:t>is</w:t>
      </w:r>
      <w:r>
        <w:rPr>
          <w:spacing w:val="-11"/>
        </w:rPr>
        <w:t> </w:t>
      </w:r>
      <w:r>
        <w:rPr/>
        <w:t>supported by summary charts and is based on 715 recorded exits from the LSEG Private Equity Exits module. Exit data</w:t>
      </w:r>
      <w:r>
        <w:rPr>
          <w:spacing w:val="-1"/>
        </w:rPr>
        <w:t> </w:t>
      </w:r>
      <w:r>
        <w:rPr/>
        <w:t>speak to a</w:t>
      </w:r>
      <w:r>
        <w:rPr>
          <w:spacing w:val="-1"/>
        </w:rPr>
        <w:t> </w:t>
      </w:r>
      <w:r>
        <w:rPr/>
        <w:t>market that is increasingly able</w:t>
      </w:r>
      <w:r>
        <w:rPr>
          <w:spacing w:val="-1"/>
        </w:rPr>
        <w:t> </w:t>
      </w:r>
      <w:r>
        <w:rPr/>
        <w:t>to create</w:t>
      </w:r>
      <w:r>
        <w:rPr>
          <w:spacing w:val="-1"/>
        </w:rPr>
        <w:t> </w:t>
      </w:r>
      <w:r>
        <w:rPr/>
        <w:t>liquidity events, though distribution</w:t>
      </w:r>
      <w:r>
        <w:rPr>
          <w:spacing w:val="-15"/>
        </w:rPr>
        <w:t> </w:t>
      </w:r>
      <w:r>
        <w:rPr/>
        <w:t>of</w:t>
      </w:r>
      <w:r>
        <w:rPr>
          <w:spacing w:val="-15"/>
        </w:rPr>
        <w:t> </w:t>
      </w:r>
      <w:r>
        <w:rPr/>
        <w:t>exit</w:t>
      </w:r>
      <w:r>
        <w:rPr>
          <w:spacing w:val="-15"/>
        </w:rPr>
        <w:t> </w:t>
      </w:r>
      <w:r>
        <w:rPr/>
        <w:t>mechanisms</w:t>
      </w:r>
      <w:r>
        <w:rPr>
          <w:spacing w:val="-15"/>
        </w:rPr>
        <w:t> </w:t>
      </w:r>
      <w:r>
        <w:rPr/>
        <w:t>signal</w:t>
      </w:r>
      <w:r>
        <w:rPr>
          <w:spacing w:val="-15"/>
        </w:rPr>
        <w:t> </w:t>
      </w:r>
      <w:r>
        <w:rPr/>
        <w:t>continued</w:t>
      </w:r>
      <w:r>
        <w:rPr>
          <w:spacing w:val="-15"/>
        </w:rPr>
        <w:t> </w:t>
      </w:r>
      <w:r>
        <w:rPr/>
        <w:t>reliance</w:t>
      </w:r>
      <w:r>
        <w:rPr>
          <w:spacing w:val="-15"/>
        </w:rPr>
        <w:t> </w:t>
      </w:r>
      <w:r>
        <w:rPr/>
        <w:t>on</w:t>
      </w:r>
      <w:r>
        <w:rPr>
          <w:spacing w:val="-15"/>
        </w:rPr>
        <w:t> </w:t>
      </w:r>
      <w:r>
        <w:rPr/>
        <w:t>negotiated</w:t>
      </w:r>
      <w:r>
        <w:rPr>
          <w:spacing w:val="-15"/>
        </w:rPr>
        <w:t> </w:t>
      </w:r>
      <w:r>
        <w:rPr/>
        <w:t>transactions</w:t>
      </w:r>
      <w:r>
        <w:rPr>
          <w:spacing w:val="-15"/>
        </w:rPr>
        <w:t> </w:t>
      </w:r>
      <w:r>
        <w:rPr/>
        <w:t>as</w:t>
      </w:r>
      <w:r>
        <w:rPr>
          <w:spacing w:val="-15"/>
        </w:rPr>
        <w:t> </w:t>
      </w:r>
      <w:r>
        <w:rPr/>
        <w:t>opposed to public market pathways.</w:t>
      </w:r>
    </w:p>
    <w:p>
      <w:pPr>
        <w:pStyle w:val="Heading3"/>
        <w:numPr>
          <w:ilvl w:val="2"/>
          <w:numId w:val="5"/>
        </w:numPr>
        <w:tabs>
          <w:tab w:pos="548" w:val="left" w:leader="none"/>
        </w:tabs>
        <w:spacing w:line="240" w:lineRule="auto" w:before="159" w:after="0"/>
        <w:ind w:left="548" w:right="0" w:hanging="525"/>
        <w:jc w:val="both"/>
      </w:pPr>
      <w:bookmarkStart w:name="_bookmark55" w:id="56"/>
      <w:bookmarkEnd w:id="56"/>
      <w:r>
        <w:rPr>
          <w:b w:val="0"/>
        </w:rPr>
      </w:r>
      <w:r>
        <w:rPr/>
        <w:t>Annual</w:t>
      </w:r>
      <w:r>
        <w:rPr>
          <w:spacing w:val="-1"/>
        </w:rPr>
        <w:t> </w:t>
      </w:r>
      <w:r>
        <w:rPr/>
        <w:t>Exit</w:t>
      </w:r>
      <w:r>
        <w:rPr>
          <w:spacing w:val="-15"/>
        </w:rPr>
        <w:t> </w:t>
      </w:r>
      <w:r>
        <w:rPr>
          <w:spacing w:val="-2"/>
        </w:rPr>
        <w:t>Activity</w:t>
      </w:r>
    </w:p>
    <w:p>
      <w:pPr>
        <w:pStyle w:val="BodyText"/>
        <w:spacing w:line="360" w:lineRule="auto" w:before="218"/>
        <w:ind w:left="23" w:right="18"/>
        <w:jc w:val="both"/>
      </w:pPr>
      <w:r>
        <w:rPr/>
        <w:t>Exit activity is a cyclical growth activity depending on the macroeconomic activity and the sentiment of the public markets. A total of 715 exits took place during the period of 2005 - 2024, with year-on-year progression suggesting market expansion after 2012, corresponding with</w:t>
      </w:r>
      <w:r>
        <w:rPr>
          <w:spacing w:val="-15"/>
        </w:rPr>
        <w:t> </w:t>
      </w:r>
      <w:r>
        <w:rPr/>
        <w:t>strengthening</w:t>
      </w:r>
      <w:r>
        <w:rPr>
          <w:spacing w:val="-10"/>
        </w:rPr>
        <w:t> </w:t>
      </w:r>
      <w:r>
        <w:rPr/>
        <w:t>of</w:t>
      </w:r>
      <w:r>
        <w:rPr>
          <w:spacing w:val="-8"/>
        </w:rPr>
        <w:t> </w:t>
      </w:r>
      <w:r>
        <w:rPr/>
        <w:t>regulation.</w:t>
      </w:r>
      <w:r>
        <w:rPr>
          <w:spacing w:val="-15"/>
        </w:rPr>
        <w:t> </w:t>
      </w:r>
      <w:r>
        <w:rPr/>
        <w:t>Activity</w:t>
      </w:r>
      <w:r>
        <w:rPr>
          <w:spacing w:val="-10"/>
        </w:rPr>
        <w:t> </w:t>
      </w:r>
      <w:r>
        <w:rPr/>
        <w:t>increases</w:t>
      </w:r>
      <w:r>
        <w:rPr>
          <w:spacing w:val="-9"/>
        </w:rPr>
        <w:t> </w:t>
      </w:r>
      <w:r>
        <w:rPr/>
        <w:t>from</w:t>
      </w:r>
      <w:r>
        <w:rPr>
          <w:spacing w:val="-9"/>
        </w:rPr>
        <w:t> </w:t>
      </w:r>
      <w:r>
        <w:rPr/>
        <w:t>low</w:t>
      </w:r>
      <w:r>
        <w:rPr>
          <w:spacing w:val="-8"/>
        </w:rPr>
        <w:t> </w:t>
      </w:r>
      <w:r>
        <w:rPr/>
        <w:t>annual</w:t>
      </w:r>
      <w:r>
        <w:rPr>
          <w:spacing w:val="-7"/>
        </w:rPr>
        <w:t> </w:t>
      </w:r>
      <w:r>
        <w:rPr/>
        <w:t>numbers</w:t>
      </w:r>
      <w:r>
        <w:rPr>
          <w:spacing w:val="-10"/>
        </w:rPr>
        <w:t> </w:t>
      </w:r>
      <w:r>
        <w:rPr/>
        <w:t>in</w:t>
      </w:r>
      <w:r>
        <w:rPr>
          <w:spacing w:val="-9"/>
        </w:rPr>
        <w:t> </w:t>
      </w:r>
      <w:r>
        <w:rPr/>
        <w:t>the</w:t>
      </w:r>
      <w:r>
        <w:rPr>
          <w:spacing w:val="-8"/>
        </w:rPr>
        <w:t> </w:t>
      </w:r>
      <w:r>
        <w:rPr/>
        <w:t>post-crisis period (2008-2010) to sustained improvement following the AIF framework (2012) and the Insolvency and Bankruptcy Code (2016). Due to post-pandemic liquidity, favourable public valuations and increased institutional participation in technology listings, the dataset exhibits a peak in 2021 with 91 recorded exits.</w:t>
      </w:r>
    </w:p>
    <w:p>
      <w:pPr>
        <w:pStyle w:val="BodyText"/>
        <w:spacing w:line="360" w:lineRule="auto" w:before="162"/>
        <w:ind w:left="23" w:right="18"/>
        <w:jc w:val="both"/>
      </w:pPr>
      <w:r>
        <w:rPr/>
        <w:t>Exit volume seeing moderate decline in 2022-2024 reflecting the valuation reset and global monetary tightening - but annual activity still remains structurally higher than (pre-2016) averages.</w:t>
      </w:r>
      <w:r>
        <w:rPr>
          <w:spacing w:val="-15"/>
        </w:rPr>
        <w:t> </w:t>
      </w:r>
      <w:r>
        <w:rPr/>
        <w:t>Exit</w:t>
      </w:r>
      <w:r>
        <w:rPr>
          <w:spacing w:val="-15"/>
        </w:rPr>
        <w:t> </w:t>
      </w:r>
      <w:r>
        <w:rPr/>
        <w:t>values</w:t>
      </w:r>
      <w:r>
        <w:rPr>
          <w:spacing w:val="-15"/>
        </w:rPr>
        <w:t> </w:t>
      </w:r>
      <w:r>
        <w:rPr/>
        <w:t>are</w:t>
      </w:r>
      <w:r>
        <w:rPr>
          <w:spacing w:val="-15"/>
        </w:rPr>
        <w:t> </w:t>
      </w:r>
      <w:r>
        <w:rPr/>
        <w:t>not</w:t>
      </w:r>
      <w:r>
        <w:rPr>
          <w:spacing w:val="-15"/>
        </w:rPr>
        <w:t> </w:t>
      </w:r>
      <w:r>
        <w:rPr/>
        <w:t>always</w:t>
      </w:r>
      <w:r>
        <w:rPr>
          <w:spacing w:val="-15"/>
        </w:rPr>
        <w:t> </w:t>
      </w:r>
      <w:r>
        <w:rPr/>
        <w:t>made</w:t>
      </w:r>
      <w:r>
        <w:rPr>
          <w:spacing w:val="-15"/>
        </w:rPr>
        <w:t> </w:t>
      </w:r>
      <w:r>
        <w:rPr/>
        <w:t>public</w:t>
      </w:r>
      <w:r>
        <w:rPr>
          <w:spacing w:val="-15"/>
        </w:rPr>
        <w:t> </w:t>
      </w:r>
      <w:r>
        <w:rPr/>
        <w:t>between</w:t>
      </w:r>
      <w:r>
        <w:rPr>
          <w:spacing w:val="-15"/>
        </w:rPr>
        <w:t> </w:t>
      </w:r>
      <w:r>
        <w:rPr/>
        <w:t>observations</w:t>
      </w:r>
      <w:r>
        <w:rPr>
          <w:spacing w:val="-15"/>
        </w:rPr>
        <w:t> </w:t>
      </w:r>
      <w:r>
        <w:rPr/>
        <w:t>and</w:t>
      </w:r>
      <w:r>
        <w:rPr>
          <w:spacing w:val="-15"/>
        </w:rPr>
        <w:t> </w:t>
      </w:r>
      <w:r>
        <w:rPr/>
        <w:t>restrict</w:t>
      </w:r>
      <w:r>
        <w:rPr>
          <w:spacing w:val="-15"/>
        </w:rPr>
        <w:t> </w:t>
      </w:r>
      <w:r>
        <w:rPr/>
        <w:t>quantitative valuation analysis.</w:t>
      </w:r>
    </w:p>
    <w:p>
      <w:pPr>
        <w:pStyle w:val="BodyText"/>
        <w:spacing w:after="0" w:line="360" w:lineRule="auto"/>
        <w:jc w:val="both"/>
        <w:sectPr>
          <w:pgSz w:w="11910" w:h="16840"/>
          <w:pgMar w:header="0" w:footer="1009" w:top="1360" w:bottom="1200" w:left="1417" w:right="1417"/>
        </w:sectPr>
      </w:pPr>
    </w:p>
    <w:p>
      <w:pPr>
        <w:pStyle w:val="Heading3"/>
        <w:numPr>
          <w:ilvl w:val="2"/>
          <w:numId w:val="5"/>
        </w:numPr>
        <w:tabs>
          <w:tab w:pos="563" w:val="left" w:leader="none"/>
        </w:tabs>
        <w:spacing w:line="240" w:lineRule="auto" w:before="61" w:after="0"/>
        <w:ind w:left="563" w:right="0" w:hanging="540"/>
        <w:jc w:val="left"/>
      </w:pPr>
      <w:r>
        <w:rPr/>
        <mc:AlternateContent>
          <mc:Choice Requires="wps">
            <w:drawing>
              <wp:anchor distT="0" distB="0" distL="0" distR="0" allowOverlap="1" layoutInCell="1" locked="0" behindDoc="0" simplePos="0" relativeHeight="15740416">
                <wp:simplePos x="0" y="0"/>
                <wp:positionH relativeFrom="page">
                  <wp:posOffset>1489392</wp:posOffset>
                </wp:positionH>
                <wp:positionV relativeFrom="paragraph">
                  <wp:posOffset>348043</wp:posOffset>
                </wp:positionV>
                <wp:extent cx="4581525" cy="2752725"/>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4581525" cy="2752725"/>
                          <a:chExt cx="4581525" cy="2752725"/>
                        </a:xfrm>
                      </wpg:grpSpPr>
                      <wps:wsp>
                        <wps:cNvPr id="237" name="Graphic 237"/>
                        <wps:cNvSpPr/>
                        <wps:spPr>
                          <a:xfrm>
                            <a:off x="4762" y="4762"/>
                            <a:ext cx="4572000" cy="2743200"/>
                          </a:xfrm>
                          <a:custGeom>
                            <a:avLst/>
                            <a:gdLst/>
                            <a:ahLst/>
                            <a:cxnLst/>
                            <a:rect l="l" t="t" r="r" b="b"/>
                            <a:pathLst>
                              <a:path w="4572000" h="2743200">
                                <a:moveTo>
                                  <a:pt x="4572000" y="0"/>
                                </a:moveTo>
                                <a:lnTo>
                                  <a:pt x="0" y="0"/>
                                </a:lnTo>
                                <a:lnTo>
                                  <a:pt x="0" y="2743200"/>
                                </a:lnTo>
                                <a:lnTo>
                                  <a:pt x="4572000" y="2743200"/>
                                </a:lnTo>
                                <a:lnTo>
                                  <a:pt x="4572000" y="0"/>
                                </a:lnTo>
                                <a:close/>
                              </a:path>
                            </a:pathLst>
                          </a:custGeom>
                          <a:solidFill>
                            <a:srgbClr val="4471C4"/>
                          </a:solidFill>
                        </wps:spPr>
                        <wps:bodyPr wrap="square" lIns="0" tIns="0" rIns="0" bIns="0" rtlCol="0">
                          <a:prstTxWarp prst="textNoShape">
                            <a:avLst/>
                          </a:prstTxWarp>
                          <a:noAutofit/>
                        </wps:bodyPr>
                      </wps:wsp>
                      <wps:wsp>
                        <wps:cNvPr id="238" name="Graphic 238"/>
                        <wps:cNvSpPr/>
                        <wps:spPr>
                          <a:xfrm>
                            <a:off x="620839" y="1920430"/>
                            <a:ext cx="3124200" cy="1270"/>
                          </a:xfrm>
                          <a:custGeom>
                            <a:avLst/>
                            <a:gdLst/>
                            <a:ahLst/>
                            <a:cxnLst/>
                            <a:rect l="l" t="t" r="r" b="b"/>
                            <a:pathLst>
                              <a:path w="3124200" h="635">
                                <a:moveTo>
                                  <a:pt x="0" y="0"/>
                                </a:moveTo>
                                <a:lnTo>
                                  <a:pt x="3123819" y="126"/>
                                </a:lnTo>
                              </a:path>
                            </a:pathLst>
                          </a:custGeom>
                          <a:ln w="12700">
                            <a:solidFill>
                              <a:srgbClr val="FFFFFF"/>
                            </a:solidFill>
                            <a:prstDash val="solid"/>
                          </a:ln>
                        </wps:spPr>
                        <wps:bodyPr wrap="square" lIns="0" tIns="0" rIns="0" bIns="0" rtlCol="0">
                          <a:prstTxWarp prst="textNoShape">
                            <a:avLst/>
                          </a:prstTxWarp>
                          <a:noAutofit/>
                        </wps:bodyPr>
                      </wps:wsp>
                      <wps:wsp>
                        <wps:cNvPr id="239" name="Graphic 239"/>
                        <wps:cNvSpPr/>
                        <wps:spPr>
                          <a:xfrm>
                            <a:off x="934033" y="681164"/>
                            <a:ext cx="2534285" cy="1249045"/>
                          </a:xfrm>
                          <a:custGeom>
                            <a:avLst/>
                            <a:gdLst/>
                            <a:ahLst/>
                            <a:cxnLst/>
                            <a:rect l="l" t="t" r="r" b="b"/>
                            <a:pathLst>
                              <a:path w="2534285" h="1249045">
                                <a:moveTo>
                                  <a:pt x="1273766" y="0"/>
                                </a:moveTo>
                                <a:lnTo>
                                  <a:pt x="1264908" y="0"/>
                                </a:lnTo>
                                <a:lnTo>
                                  <a:pt x="1262622" y="508"/>
                                </a:lnTo>
                                <a:lnTo>
                                  <a:pt x="1260590" y="1397"/>
                                </a:lnTo>
                                <a:lnTo>
                                  <a:pt x="635750" y="266065"/>
                                </a:lnTo>
                                <a:lnTo>
                                  <a:pt x="632575" y="267335"/>
                                </a:lnTo>
                                <a:lnTo>
                                  <a:pt x="629781" y="269621"/>
                                </a:lnTo>
                                <a:lnTo>
                                  <a:pt x="2528" y="1226566"/>
                                </a:lnTo>
                                <a:lnTo>
                                  <a:pt x="0" y="1233033"/>
                                </a:lnTo>
                                <a:lnTo>
                                  <a:pt x="115" y="1239726"/>
                                </a:lnTo>
                                <a:lnTo>
                                  <a:pt x="2652" y="1245743"/>
                                </a:lnTo>
                                <a:lnTo>
                                  <a:pt x="2706" y="1245871"/>
                                </a:lnTo>
                                <a:lnTo>
                                  <a:pt x="5543" y="1248664"/>
                                </a:lnTo>
                                <a:lnTo>
                                  <a:pt x="28862" y="1248664"/>
                                </a:lnTo>
                                <a:lnTo>
                                  <a:pt x="31611" y="1245871"/>
                                </a:lnTo>
                                <a:lnTo>
                                  <a:pt x="31738" y="1245743"/>
                                </a:lnTo>
                                <a:lnTo>
                                  <a:pt x="654292" y="296164"/>
                                </a:lnTo>
                                <a:lnTo>
                                  <a:pt x="1259193" y="39877"/>
                                </a:lnTo>
                                <a:lnTo>
                                  <a:pt x="1298417" y="39877"/>
                                </a:lnTo>
                                <a:lnTo>
                                  <a:pt x="1282942" y="9525"/>
                                </a:lnTo>
                                <a:lnTo>
                                  <a:pt x="1279767" y="3428"/>
                                </a:lnTo>
                                <a:lnTo>
                                  <a:pt x="1273766" y="0"/>
                                </a:lnTo>
                                <a:close/>
                              </a:path>
                              <a:path w="2534285" h="1249045">
                                <a:moveTo>
                                  <a:pt x="1298417" y="39877"/>
                                </a:moveTo>
                                <a:lnTo>
                                  <a:pt x="1259193" y="39877"/>
                                </a:lnTo>
                                <a:lnTo>
                                  <a:pt x="1875501" y="1248664"/>
                                </a:lnTo>
                                <a:lnTo>
                                  <a:pt x="1921477" y="1248664"/>
                                </a:lnTo>
                                <a:lnTo>
                                  <a:pt x="1983214" y="1220089"/>
                                </a:lnTo>
                                <a:lnTo>
                                  <a:pt x="1900162" y="1220089"/>
                                </a:lnTo>
                                <a:lnTo>
                                  <a:pt x="1298417" y="39877"/>
                                </a:lnTo>
                                <a:close/>
                              </a:path>
                              <a:path w="2534285" h="1249045">
                                <a:moveTo>
                                  <a:pt x="2515629" y="936785"/>
                                </a:moveTo>
                                <a:lnTo>
                                  <a:pt x="2508873" y="938402"/>
                                </a:lnTo>
                                <a:lnTo>
                                  <a:pt x="1900162" y="1220089"/>
                                </a:lnTo>
                                <a:lnTo>
                                  <a:pt x="1983214" y="1220089"/>
                                </a:lnTo>
                                <a:lnTo>
                                  <a:pt x="2523478" y="970026"/>
                                </a:lnTo>
                                <a:lnTo>
                                  <a:pt x="2529077" y="965932"/>
                                </a:lnTo>
                                <a:lnTo>
                                  <a:pt x="2532558" y="960231"/>
                                </a:lnTo>
                                <a:lnTo>
                                  <a:pt x="2533657" y="953648"/>
                                </a:lnTo>
                                <a:lnTo>
                                  <a:pt x="2532114" y="946912"/>
                                </a:lnTo>
                                <a:lnTo>
                                  <a:pt x="2528000" y="941314"/>
                                </a:lnTo>
                                <a:lnTo>
                                  <a:pt x="2522255" y="937847"/>
                                </a:lnTo>
                                <a:lnTo>
                                  <a:pt x="2515629" y="936785"/>
                                </a:lnTo>
                                <a:close/>
                              </a:path>
                            </a:pathLst>
                          </a:custGeom>
                          <a:solidFill>
                            <a:srgbClr val="4471C4"/>
                          </a:solidFill>
                        </wps:spPr>
                        <wps:bodyPr wrap="square" lIns="0" tIns="0" rIns="0" bIns="0" rtlCol="0">
                          <a:prstTxWarp prst="textNoShape">
                            <a:avLst/>
                          </a:prstTxWarp>
                          <a:noAutofit/>
                        </wps:bodyPr>
                      </wps:wsp>
                      <wps:wsp>
                        <wps:cNvPr id="240" name="Graphic 240"/>
                        <wps:cNvSpPr/>
                        <wps:spPr>
                          <a:xfrm>
                            <a:off x="933259" y="680656"/>
                            <a:ext cx="2499360" cy="1225550"/>
                          </a:xfrm>
                          <a:custGeom>
                            <a:avLst/>
                            <a:gdLst/>
                            <a:ahLst/>
                            <a:cxnLst/>
                            <a:rect l="l" t="t" r="r" b="b"/>
                            <a:pathLst>
                              <a:path w="2499360" h="1225550">
                                <a:moveTo>
                                  <a:pt x="0" y="1218692"/>
                                </a:moveTo>
                                <a:lnTo>
                                  <a:pt x="625348" y="264668"/>
                                </a:lnTo>
                                <a:lnTo>
                                  <a:pt x="1250188" y="0"/>
                                </a:lnTo>
                                <a:lnTo>
                                  <a:pt x="1875027" y="1225550"/>
                                </a:lnTo>
                                <a:lnTo>
                                  <a:pt x="2498979" y="936751"/>
                                </a:lnTo>
                              </a:path>
                            </a:pathLst>
                          </a:custGeom>
                          <a:ln w="34925">
                            <a:solidFill>
                              <a:srgbClr val="FFFFFF"/>
                            </a:solidFill>
                            <a:prstDash val="solid"/>
                          </a:ln>
                        </wps:spPr>
                        <wps:bodyPr wrap="square" lIns="0" tIns="0" rIns="0" bIns="0" rtlCol="0">
                          <a:prstTxWarp prst="textNoShape">
                            <a:avLst/>
                          </a:prstTxWarp>
                          <a:noAutofit/>
                        </wps:bodyPr>
                      </wps:wsp>
                      <pic:pic>
                        <pic:nvPicPr>
                          <pic:cNvPr id="241" name="Image 241"/>
                          <pic:cNvPicPr/>
                        </pic:nvPicPr>
                        <pic:blipFill>
                          <a:blip r:embed="rId40" cstate="print"/>
                          <a:stretch>
                            <a:fillRect/>
                          </a:stretch>
                        </pic:blipFill>
                        <pic:spPr>
                          <a:xfrm>
                            <a:off x="890524" y="1855216"/>
                            <a:ext cx="84708" cy="84708"/>
                          </a:xfrm>
                          <a:prstGeom prst="rect">
                            <a:avLst/>
                          </a:prstGeom>
                        </pic:spPr>
                      </pic:pic>
                      <pic:pic>
                        <pic:nvPicPr>
                          <pic:cNvPr id="242" name="Image 242"/>
                          <pic:cNvPicPr/>
                        </pic:nvPicPr>
                        <pic:blipFill>
                          <a:blip r:embed="rId40" cstate="print"/>
                          <a:stretch>
                            <a:fillRect/>
                          </a:stretch>
                        </pic:blipFill>
                        <pic:spPr>
                          <a:xfrm>
                            <a:off x="1515363" y="901191"/>
                            <a:ext cx="84708" cy="84708"/>
                          </a:xfrm>
                          <a:prstGeom prst="rect">
                            <a:avLst/>
                          </a:prstGeom>
                        </pic:spPr>
                      </pic:pic>
                      <pic:pic>
                        <pic:nvPicPr>
                          <pic:cNvPr id="243" name="Image 243"/>
                          <pic:cNvPicPr/>
                        </pic:nvPicPr>
                        <pic:blipFill>
                          <a:blip r:embed="rId41" cstate="print"/>
                          <a:stretch>
                            <a:fillRect/>
                          </a:stretch>
                        </pic:blipFill>
                        <pic:spPr>
                          <a:xfrm>
                            <a:off x="2140204" y="637540"/>
                            <a:ext cx="84708" cy="84708"/>
                          </a:xfrm>
                          <a:prstGeom prst="rect">
                            <a:avLst/>
                          </a:prstGeom>
                        </pic:spPr>
                      </pic:pic>
                      <pic:pic>
                        <pic:nvPicPr>
                          <pic:cNvPr id="244" name="Image 244"/>
                          <pic:cNvPicPr/>
                        </pic:nvPicPr>
                        <pic:blipFill>
                          <a:blip r:embed="rId40" cstate="print"/>
                          <a:stretch>
                            <a:fillRect/>
                          </a:stretch>
                        </pic:blipFill>
                        <pic:spPr>
                          <a:xfrm>
                            <a:off x="2765044" y="1862835"/>
                            <a:ext cx="84709" cy="84708"/>
                          </a:xfrm>
                          <a:prstGeom prst="rect">
                            <a:avLst/>
                          </a:prstGeom>
                        </pic:spPr>
                      </pic:pic>
                      <pic:pic>
                        <pic:nvPicPr>
                          <pic:cNvPr id="245" name="Image 245"/>
                          <pic:cNvPicPr/>
                        </pic:nvPicPr>
                        <pic:blipFill>
                          <a:blip r:embed="rId42" cstate="print"/>
                          <a:stretch>
                            <a:fillRect/>
                          </a:stretch>
                        </pic:blipFill>
                        <pic:spPr>
                          <a:xfrm>
                            <a:off x="3389884" y="1573275"/>
                            <a:ext cx="84709" cy="84709"/>
                          </a:xfrm>
                          <a:prstGeom prst="rect">
                            <a:avLst/>
                          </a:prstGeom>
                        </pic:spPr>
                      </pic:pic>
                      <pic:pic>
                        <pic:nvPicPr>
                          <pic:cNvPr id="246" name="Image 246"/>
                          <pic:cNvPicPr/>
                        </pic:nvPicPr>
                        <pic:blipFill>
                          <a:blip r:embed="rId43" cstate="print"/>
                          <a:stretch>
                            <a:fillRect/>
                          </a:stretch>
                        </pic:blipFill>
                        <pic:spPr>
                          <a:xfrm>
                            <a:off x="1553273" y="945070"/>
                            <a:ext cx="9525" cy="975359"/>
                          </a:xfrm>
                          <a:prstGeom prst="rect">
                            <a:avLst/>
                          </a:prstGeom>
                        </pic:spPr>
                      </pic:pic>
                      <pic:pic>
                        <pic:nvPicPr>
                          <pic:cNvPr id="247" name="Image 247"/>
                          <pic:cNvPicPr/>
                        </pic:nvPicPr>
                        <pic:blipFill>
                          <a:blip r:embed="rId44" cstate="print"/>
                          <a:stretch>
                            <a:fillRect/>
                          </a:stretch>
                        </pic:blipFill>
                        <pic:spPr>
                          <a:xfrm>
                            <a:off x="2177986" y="680656"/>
                            <a:ext cx="9525" cy="1239774"/>
                          </a:xfrm>
                          <a:prstGeom prst="rect">
                            <a:avLst/>
                          </a:prstGeom>
                        </pic:spPr>
                      </pic:pic>
                      <pic:pic>
                        <pic:nvPicPr>
                          <pic:cNvPr id="248" name="Image 248"/>
                          <pic:cNvPicPr/>
                        </pic:nvPicPr>
                        <pic:blipFill>
                          <a:blip r:embed="rId45" cstate="print"/>
                          <a:stretch>
                            <a:fillRect/>
                          </a:stretch>
                        </pic:blipFill>
                        <pic:spPr>
                          <a:xfrm>
                            <a:off x="3427539" y="1616773"/>
                            <a:ext cx="9525" cy="303656"/>
                          </a:xfrm>
                          <a:prstGeom prst="rect">
                            <a:avLst/>
                          </a:prstGeom>
                        </pic:spPr>
                      </pic:pic>
                      <pic:pic>
                        <pic:nvPicPr>
                          <pic:cNvPr id="249" name="Image 249"/>
                          <pic:cNvPicPr/>
                        </pic:nvPicPr>
                        <pic:blipFill>
                          <a:blip r:embed="rId46" cstate="print"/>
                          <a:stretch>
                            <a:fillRect/>
                          </a:stretch>
                        </pic:blipFill>
                        <pic:spPr>
                          <a:xfrm>
                            <a:off x="2802826" y="1906206"/>
                            <a:ext cx="9525" cy="14224"/>
                          </a:xfrm>
                          <a:prstGeom prst="rect">
                            <a:avLst/>
                          </a:prstGeom>
                        </pic:spPr>
                      </pic:pic>
                      <pic:pic>
                        <pic:nvPicPr>
                          <pic:cNvPr id="250" name="Image 250"/>
                          <pic:cNvPicPr/>
                        </pic:nvPicPr>
                        <pic:blipFill>
                          <a:blip r:embed="rId47" cstate="print"/>
                          <a:stretch>
                            <a:fillRect/>
                          </a:stretch>
                        </pic:blipFill>
                        <pic:spPr>
                          <a:xfrm>
                            <a:off x="3943413" y="1506474"/>
                            <a:ext cx="243840" cy="84709"/>
                          </a:xfrm>
                          <a:prstGeom prst="rect">
                            <a:avLst/>
                          </a:prstGeom>
                        </pic:spPr>
                      </pic:pic>
                      <wps:wsp>
                        <wps:cNvPr id="251" name="Graphic 251"/>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4471C4"/>
                            </a:solidFill>
                            <a:prstDash val="solid"/>
                          </a:ln>
                        </wps:spPr>
                        <wps:bodyPr wrap="square" lIns="0" tIns="0" rIns="0" bIns="0" rtlCol="0">
                          <a:prstTxWarp prst="textNoShape">
                            <a:avLst/>
                          </a:prstTxWarp>
                          <a:noAutofit/>
                        </wps:bodyPr>
                      </wps:wsp>
                      <wps:wsp>
                        <wps:cNvPr id="252" name="Textbox 252"/>
                        <wps:cNvSpPr txBox="1"/>
                        <wps:spPr>
                          <a:xfrm>
                            <a:off x="1175829" y="138391"/>
                            <a:ext cx="2228215" cy="191135"/>
                          </a:xfrm>
                          <a:prstGeom prst="rect">
                            <a:avLst/>
                          </a:prstGeom>
                        </wps:spPr>
                        <wps:txbx>
                          <w:txbxContent>
                            <w:p>
                              <w:pPr>
                                <w:spacing w:line="300" w:lineRule="exact" w:before="0"/>
                                <w:ind w:left="0" w:right="0" w:firstLine="0"/>
                                <w:jc w:val="left"/>
                                <w:rPr>
                                  <w:rFonts w:ascii="Calibri"/>
                                  <w:b/>
                                  <w:sz w:val="30"/>
                                </w:rPr>
                              </w:pPr>
                              <w:r>
                                <w:rPr>
                                  <w:rFonts w:ascii="Calibri"/>
                                  <w:b/>
                                  <w:color w:val="FFFFFF"/>
                                  <w:spacing w:val="13"/>
                                  <w:sz w:val="30"/>
                                </w:rPr>
                                <w:t>EXIT</w:t>
                              </w:r>
                              <w:r>
                                <w:rPr>
                                  <w:rFonts w:ascii="Calibri"/>
                                  <w:b/>
                                  <w:color w:val="FFFFFF"/>
                                  <w:spacing w:val="41"/>
                                  <w:sz w:val="30"/>
                                </w:rPr>
                                <w:t> </w:t>
                              </w:r>
                              <w:r>
                                <w:rPr>
                                  <w:rFonts w:ascii="Calibri"/>
                                  <w:b/>
                                  <w:color w:val="FFFFFF"/>
                                  <w:spacing w:val="13"/>
                                  <w:sz w:val="30"/>
                                </w:rPr>
                                <w:t>TYPE</w:t>
                              </w:r>
                              <w:r>
                                <w:rPr>
                                  <w:rFonts w:ascii="Calibri"/>
                                  <w:b/>
                                  <w:color w:val="FFFFFF"/>
                                  <w:spacing w:val="41"/>
                                  <w:sz w:val="30"/>
                                </w:rPr>
                                <w:t> </w:t>
                              </w:r>
                              <w:r>
                                <w:rPr>
                                  <w:rFonts w:ascii="Calibri"/>
                                  <w:b/>
                                  <w:color w:val="FFFFFF"/>
                                  <w:spacing w:val="14"/>
                                  <w:sz w:val="30"/>
                                </w:rPr>
                                <w:t>DISTRIBUTION</w:t>
                              </w:r>
                            </w:p>
                          </w:txbxContent>
                        </wps:txbx>
                        <wps:bodyPr wrap="square" lIns="0" tIns="0" rIns="0" bIns="0" rtlCol="0">
                          <a:noAutofit/>
                        </wps:bodyPr>
                      </wps:wsp>
                      <wps:wsp>
                        <wps:cNvPr id="253" name="Textbox 253"/>
                        <wps:cNvSpPr txBox="1"/>
                        <wps:spPr>
                          <a:xfrm>
                            <a:off x="341566" y="438086"/>
                            <a:ext cx="186690" cy="1543685"/>
                          </a:xfrm>
                          <a:prstGeom prst="rect">
                            <a:avLst/>
                          </a:prstGeom>
                        </wps:spPr>
                        <wps:txbx>
                          <w:txbxContent>
                            <w:p>
                              <w:pPr>
                                <w:spacing w:line="183" w:lineRule="exact" w:before="0"/>
                                <w:ind w:left="0" w:right="18" w:firstLine="0"/>
                                <w:jc w:val="right"/>
                                <w:rPr>
                                  <w:rFonts w:ascii="Calibri"/>
                                  <w:sz w:val="18"/>
                                </w:rPr>
                              </w:pPr>
                              <w:r>
                                <w:rPr>
                                  <w:rFonts w:ascii="Calibri"/>
                                  <w:color w:val="FFFFFF"/>
                                  <w:spacing w:val="-5"/>
                                  <w:sz w:val="18"/>
                                </w:rPr>
                                <w:t>400</w:t>
                              </w:r>
                            </w:p>
                            <w:p>
                              <w:pPr>
                                <w:spacing w:before="61"/>
                                <w:ind w:left="0" w:right="18" w:firstLine="0"/>
                                <w:jc w:val="right"/>
                                <w:rPr>
                                  <w:rFonts w:ascii="Calibri"/>
                                  <w:sz w:val="18"/>
                                </w:rPr>
                              </w:pPr>
                              <w:r>
                                <w:rPr>
                                  <w:rFonts w:ascii="Calibri"/>
                                  <w:color w:val="FFFFFF"/>
                                  <w:spacing w:val="-5"/>
                                  <w:sz w:val="18"/>
                                </w:rPr>
                                <w:t>350</w:t>
                              </w:r>
                            </w:p>
                            <w:p>
                              <w:pPr>
                                <w:spacing w:before="62"/>
                                <w:ind w:left="0" w:right="18" w:firstLine="0"/>
                                <w:jc w:val="right"/>
                                <w:rPr>
                                  <w:rFonts w:ascii="Calibri"/>
                                  <w:sz w:val="18"/>
                                </w:rPr>
                              </w:pPr>
                              <w:r>
                                <w:rPr>
                                  <w:rFonts w:ascii="Calibri"/>
                                  <w:color w:val="FFFFFF"/>
                                  <w:spacing w:val="-5"/>
                                  <w:sz w:val="18"/>
                                </w:rPr>
                                <w:t>300</w:t>
                              </w:r>
                            </w:p>
                            <w:p>
                              <w:pPr>
                                <w:spacing w:before="61"/>
                                <w:ind w:left="0" w:right="18" w:firstLine="0"/>
                                <w:jc w:val="right"/>
                                <w:rPr>
                                  <w:rFonts w:ascii="Calibri"/>
                                  <w:sz w:val="18"/>
                                </w:rPr>
                              </w:pPr>
                              <w:r>
                                <w:rPr>
                                  <w:rFonts w:ascii="Calibri"/>
                                  <w:color w:val="FFFFFF"/>
                                  <w:spacing w:val="-5"/>
                                  <w:sz w:val="18"/>
                                </w:rPr>
                                <w:t>250</w:t>
                              </w:r>
                            </w:p>
                            <w:p>
                              <w:pPr>
                                <w:spacing w:before="62"/>
                                <w:ind w:left="0" w:right="18" w:firstLine="0"/>
                                <w:jc w:val="right"/>
                                <w:rPr>
                                  <w:rFonts w:ascii="Calibri"/>
                                  <w:sz w:val="18"/>
                                </w:rPr>
                              </w:pPr>
                              <w:r>
                                <w:rPr>
                                  <w:rFonts w:ascii="Calibri"/>
                                  <w:color w:val="FFFFFF"/>
                                  <w:spacing w:val="-5"/>
                                  <w:sz w:val="18"/>
                                </w:rPr>
                                <w:t>200</w:t>
                              </w:r>
                            </w:p>
                            <w:p>
                              <w:pPr>
                                <w:spacing w:before="62"/>
                                <w:ind w:left="0" w:right="18" w:firstLine="0"/>
                                <w:jc w:val="right"/>
                                <w:rPr>
                                  <w:rFonts w:ascii="Calibri"/>
                                  <w:sz w:val="18"/>
                                </w:rPr>
                              </w:pPr>
                              <w:r>
                                <w:rPr>
                                  <w:rFonts w:ascii="Calibri"/>
                                  <w:color w:val="FFFFFF"/>
                                  <w:spacing w:val="-5"/>
                                  <w:sz w:val="18"/>
                                </w:rPr>
                                <w:t>150</w:t>
                              </w:r>
                            </w:p>
                            <w:p>
                              <w:pPr>
                                <w:spacing w:before="62"/>
                                <w:ind w:left="0" w:right="18" w:firstLine="0"/>
                                <w:jc w:val="right"/>
                                <w:rPr>
                                  <w:rFonts w:ascii="Calibri"/>
                                  <w:sz w:val="18"/>
                                </w:rPr>
                              </w:pPr>
                              <w:r>
                                <w:rPr>
                                  <w:rFonts w:ascii="Calibri"/>
                                  <w:color w:val="FFFFFF"/>
                                  <w:spacing w:val="-5"/>
                                  <w:sz w:val="18"/>
                                </w:rPr>
                                <w:t>100</w:t>
                              </w:r>
                            </w:p>
                            <w:p>
                              <w:pPr>
                                <w:spacing w:before="61"/>
                                <w:ind w:left="0" w:right="18" w:firstLine="0"/>
                                <w:jc w:val="right"/>
                                <w:rPr>
                                  <w:rFonts w:ascii="Calibri"/>
                                  <w:sz w:val="18"/>
                                </w:rPr>
                              </w:pPr>
                              <w:r>
                                <w:rPr>
                                  <w:rFonts w:ascii="Calibri"/>
                                  <w:color w:val="FFFFFF"/>
                                  <w:spacing w:val="-5"/>
                                  <w:sz w:val="18"/>
                                </w:rPr>
                                <w:t>50</w:t>
                              </w:r>
                            </w:p>
                            <w:p>
                              <w:pPr>
                                <w:spacing w:line="217" w:lineRule="exact" w:before="61"/>
                                <w:ind w:left="0" w:right="18" w:firstLine="0"/>
                                <w:jc w:val="right"/>
                                <w:rPr>
                                  <w:rFonts w:ascii="Calibri"/>
                                  <w:sz w:val="18"/>
                                </w:rPr>
                              </w:pPr>
                              <w:r>
                                <w:rPr>
                                  <w:rFonts w:ascii="Calibri"/>
                                  <w:color w:val="FFFFFF"/>
                                  <w:spacing w:val="-10"/>
                                  <w:sz w:val="18"/>
                                </w:rPr>
                                <w:t>0</w:t>
                              </w:r>
                            </w:p>
                          </w:txbxContent>
                        </wps:txbx>
                        <wps:bodyPr wrap="square" lIns="0" tIns="0" rIns="0" bIns="0" rtlCol="0">
                          <a:noAutofit/>
                        </wps:bodyPr>
                      </wps:wsp>
                      <wps:wsp>
                        <wps:cNvPr id="254" name="Textbox 254"/>
                        <wps:cNvSpPr txBox="1"/>
                        <wps:spPr>
                          <a:xfrm>
                            <a:off x="4214050" y="1496631"/>
                            <a:ext cx="248285" cy="114300"/>
                          </a:xfrm>
                          <a:prstGeom prst="rect">
                            <a:avLst/>
                          </a:prstGeom>
                        </wps:spPr>
                        <wps:txbx>
                          <w:txbxContent>
                            <w:p>
                              <w:pPr>
                                <w:spacing w:line="180" w:lineRule="exact" w:before="0"/>
                                <w:ind w:left="0" w:right="0" w:firstLine="0"/>
                                <w:jc w:val="left"/>
                                <w:rPr>
                                  <w:rFonts w:ascii="Calibri"/>
                                  <w:sz w:val="18"/>
                                </w:rPr>
                              </w:pPr>
                              <w:r>
                                <w:rPr>
                                  <w:rFonts w:ascii="Calibri"/>
                                  <w:color w:val="FFFFFF"/>
                                  <w:spacing w:val="-2"/>
                                  <w:sz w:val="18"/>
                                </w:rPr>
                                <w:t>Total</w:t>
                              </w:r>
                            </w:p>
                          </w:txbxContent>
                        </wps:txbx>
                        <wps:bodyPr wrap="square" lIns="0" tIns="0" rIns="0" bIns="0" rtlCol="0">
                          <a:noAutofit/>
                        </wps:bodyPr>
                      </wps:wsp>
                      <wps:wsp>
                        <wps:cNvPr id="255" name="Textbox 255"/>
                        <wps:cNvSpPr txBox="1"/>
                        <wps:spPr>
                          <a:xfrm>
                            <a:off x="696023" y="2016061"/>
                            <a:ext cx="3032760" cy="571500"/>
                          </a:xfrm>
                          <a:prstGeom prst="rect">
                            <a:avLst/>
                          </a:prstGeom>
                        </wps:spPr>
                        <wps:txbx>
                          <w:txbxContent>
                            <w:p>
                              <w:pPr>
                                <w:tabs>
                                  <w:tab w:pos="1199" w:val="left" w:leader="none"/>
                                  <w:tab w:pos="2013" w:val="left" w:leader="none"/>
                                  <w:tab w:pos="2968" w:val="left" w:leader="none"/>
                                </w:tabs>
                                <w:spacing w:line="183" w:lineRule="exact" w:before="0"/>
                                <w:ind w:left="0" w:right="0" w:firstLine="0"/>
                                <w:jc w:val="left"/>
                                <w:rPr>
                                  <w:rFonts w:ascii="Calibri"/>
                                  <w:sz w:val="18"/>
                                </w:rPr>
                              </w:pPr>
                              <w:r>
                                <w:rPr>
                                  <w:rFonts w:ascii="Calibri"/>
                                  <w:color w:val="FFFFFF"/>
                                  <w:spacing w:val="14"/>
                                  <w:sz w:val="18"/>
                                </w:rPr>
                                <w:t>Buyback</w:t>
                              </w:r>
                              <w:r>
                                <w:rPr>
                                  <w:rFonts w:ascii="Calibri"/>
                                  <w:color w:val="FFFFFF"/>
                                  <w:sz w:val="18"/>
                                </w:rPr>
                                <w:tab/>
                              </w:r>
                              <w:r>
                                <w:rPr>
                                  <w:rFonts w:ascii="Calibri"/>
                                  <w:color w:val="FFFFFF"/>
                                  <w:spacing w:val="7"/>
                                  <w:sz w:val="18"/>
                                </w:rPr>
                                <w:t>IPO</w:t>
                              </w:r>
                              <w:r>
                                <w:rPr>
                                  <w:rFonts w:ascii="Calibri"/>
                                  <w:color w:val="FFFFFF"/>
                                  <w:sz w:val="18"/>
                                </w:rPr>
                                <w:tab/>
                              </w:r>
                              <w:r>
                                <w:rPr>
                                  <w:rFonts w:ascii="Calibri"/>
                                  <w:color w:val="FFFFFF"/>
                                  <w:spacing w:val="13"/>
                                  <w:sz w:val="18"/>
                                </w:rPr>
                                <w:t>Merger</w:t>
                              </w:r>
                              <w:r>
                                <w:rPr>
                                  <w:rFonts w:ascii="Calibri"/>
                                  <w:color w:val="FFFFFF"/>
                                  <w:sz w:val="18"/>
                                </w:rPr>
                                <w:tab/>
                              </w:r>
                              <w:r>
                                <w:rPr>
                                  <w:rFonts w:ascii="Calibri"/>
                                  <w:color w:val="FFFFFF"/>
                                  <w:spacing w:val="15"/>
                                  <w:sz w:val="18"/>
                                </w:rPr>
                                <w:t>Reverse</w:t>
                              </w:r>
                              <w:r>
                                <w:rPr>
                                  <w:rFonts w:ascii="Calibri"/>
                                  <w:color w:val="FFFFFF"/>
                                  <w:spacing w:val="52"/>
                                  <w:sz w:val="18"/>
                                </w:rPr>
                                <w:t>  </w:t>
                              </w:r>
                              <w:r>
                                <w:rPr>
                                  <w:rFonts w:ascii="Calibri"/>
                                  <w:color w:val="FFFFFF"/>
                                  <w:spacing w:val="14"/>
                                  <w:sz w:val="18"/>
                                </w:rPr>
                                <w:t>Secondary</w:t>
                              </w:r>
                            </w:p>
                            <w:p>
                              <w:pPr>
                                <w:tabs>
                                  <w:tab w:pos="4077" w:val="left" w:leader="none"/>
                                </w:tabs>
                                <w:spacing w:before="1"/>
                                <w:ind w:left="3069" w:right="251" w:hanging="159"/>
                                <w:jc w:val="left"/>
                                <w:rPr>
                                  <w:rFonts w:ascii="Calibri"/>
                                  <w:sz w:val="18"/>
                                </w:rPr>
                              </w:pPr>
                              <w:r>
                                <w:rPr>
                                  <w:rFonts w:ascii="Calibri"/>
                                  <w:color w:val="FFFFFF"/>
                                  <w:spacing w:val="14"/>
                                  <w:sz w:val="18"/>
                                </w:rPr>
                                <w:t>Takeover</w:t>
                              </w:r>
                              <w:r>
                                <w:rPr>
                                  <w:rFonts w:ascii="Calibri"/>
                                  <w:color w:val="FFFFFF"/>
                                  <w:sz w:val="18"/>
                                </w:rPr>
                                <w:tab/>
                              </w:r>
                              <w:r>
                                <w:rPr>
                                  <w:rFonts w:ascii="Calibri"/>
                                  <w:color w:val="FFFFFF"/>
                                  <w:spacing w:val="7"/>
                                  <w:sz w:val="18"/>
                                </w:rPr>
                                <w:t>Sales </w:t>
                              </w:r>
                              <w:r>
                                <w:rPr>
                                  <w:rFonts w:ascii="Calibri"/>
                                  <w:color w:val="FFFFFF"/>
                                  <w:sz w:val="18"/>
                                </w:rPr>
                                <w:t>(</w:t>
                              </w:r>
                              <w:r>
                                <w:rPr>
                                  <w:rFonts w:ascii="Calibri"/>
                                  <w:color w:val="FFFFFF"/>
                                  <w:spacing w:val="-22"/>
                                  <w:sz w:val="18"/>
                                </w:rPr>
                                <w:t> </w:t>
                              </w:r>
                              <w:r>
                                <w:rPr>
                                  <w:rFonts w:ascii="Calibri"/>
                                  <w:color w:val="FFFFFF"/>
                                  <w:spacing w:val="14"/>
                                  <w:sz w:val="18"/>
                                </w:rPr>
                                <w:t>RTO)</w:t>
                              </w:r>
                            </w:p>
                            <w:p>
                              <w:pPr>
                                <w:spacing w:line="217" w:lineRule="exact" w:before="59"/>
                                <w:ind w:left="0" w:right="89" w:firstLine="0"/>
                                <w:jc w:val="center"/>
                                <w:rPr>
                                  <w:rFonts w:ascii="Calibri"/>
                                  <w:b/>
                                  <w:sz w:val="18"/>
                                </w:rPr>
                              </w:pPr>
                              <w:r>
                                <w:rPr>
                                  <w:rFonts w:ascii="Calibri"/>
                                  <w:b/>
                                  <w:color w:val="FFFFFF"/>
                                  <w:spacing w:val="-2"/>
                                  <w:sz w:val="18"/>
                                </w:rPr>
                                <w:t>Catogery</w:t>
                              </w:r>
                            </w:p>
                          </w:txbxContent>
                        </wps:txbx>
                        <wps:bodyPr wrap="square" lIns="0" tIns="0" rIns="0" bIns="0" rtlCol="0">
                          <a:noAutofit/>
                        </wps:bodyPr>
                      </wps:wsp>
                    </wpg:wgp>
                  </a:graphicData>
                </a:graphic>
              </wp:anchor>
            </w:drawing>
          </mc:Choice>
          <mc:Fallback>
            <w:pict>
              <v:group style="position:absolute;margin-left:117.275002pt;margin-top:27.405001pt;width:360.75pt;height:216.75pt;mso-position-horizontal-relative:page;mso-position-vertical-relative:paragraph;z-index:15740416" id="docshapegroup226" coordorigin="2346,548" coordsize="7215,4335">
                <v:rect style="position:absolute;left:2353;top:555;width:7200;height:4320" id="docshape227" filled="true" fillcolor="#4471c4" stroked="false">
                  <v:fill type="solid"/>
                </v:rect>
                <v:line style="position:absolute" from="3323,3572" to="8243,3573" stroked="true" strokeweight="1pt" strokecolor="#ffffff">
                  <v:stroke dashstyle="solid"/>
                </v:line>
                <v:shape style="position:absolute;left:3816;top:1620;width:3991;height:1967" id="docshape228" coordorigin="3816,1621" coordsize="3991,1967" path="m5822,1621l5808,1621,5805,1622,5802,1623,4818,2040,4813,2042,4808,2045,3820,3552,3816,3563,3817,3573,3821,3583,3821,3583,3825,3587,3862,3587,3866,3583,3866,3583,4847,2087,5799,1684,5861,1684,5837,1636,5832,1626,5822,1621xm5861,1684l5799,1684,6770,3587,6842,3587,6940,3542,6809,3542,5861,1684xm7778,3096l7767,3099,6809,3542,6940,3542,7790,3148,7799,3142,7805,3133,7806,3123,7804,3112,7798,3103,7788,3098,7778,3096xe" filled="true" fillcolor="#4471c4" stroked="false">
                  <v:path arrowok="t"/>
                  <v:fill type="solid"/>
                </v:shape>
                <v:shape style="position:absolute;left:3815;top:1620;width:3936;height:1930" id="docshape229" coordorigin="3815,1620" coordsize="3936,1930" path="m3815,3539l4800,2037,5784,1620,6768,3550,7751,3095e" filled="false" stroked="true" strokeweight="2.75pt" strokecolor="#ffffff">
                  <v:path arrowok="t"/>
                  <v:stroke dashstyle="solid"/>
                </v:shape>
                <v:shape style="position:absolute;left:3747;top:3469;width:134;height:134" type="#_x0000_t75" id="docshape230" stroked="false">
                  <v:imagedata r:id="rId40" o:title=""/>
                </v:shape>
                <v:shape style="position:absolute;left:4731;top:1967;width:134;height:134" type="#_x0000_t75" id="docshape231" stroked="false">
                  <v:imagedata r:id="rId40" o:title=""/>
                </v:shape>
                <v:shape style="position:absolute;left:5715;top:1552;width:134;height:134" type="#_x0000_t75" id="docshape232" stroked="false">
                  <v:imagedata r:id="rId41" o:title=""/>
                </v:shape>
                <v:shape style="position:absolute;left:6699;top:3481;width:134;height:134" type="#_x0000_t75" id="docshape233" stroked="false">
                  <v:imagedata r:id="rId40" o:title=""/>
                </v:shape>
                <v:shape style="position:absolute;left:7683;top:3025;width:134;height:134" type="#_x0000_t75" id="docshape234" stroked="false">
                  <v:imagedata r:id="rId42" o:title=""/>
                </v:shape>
                <v:shape style="position:absolute;left:4791;top:2036;width:15;height:1536" type="#_x0000_t75" id="docshape235" stroked="false">
                  <v:imagedata r:id="rId43" o:title=""/>
                </v:shape>
                <v:shape style="position:absolute;left:5775;top:1620;width:15;height:1953" type="#_x0000_t75" id="docshape236" stroked="false">
                  <v:imagedata r:id="rId44" o:title=""/>
                </v:shape>
                <v:shape style="position:absolute;left:7743;top:3094;width:15;height:479" type="#_x0000_t75" id="docshape237" stroked="false">
                  <v:imagedata r:id="rId45" o:title=""/>
                </v:shape>
                <v:shape style="position:absolute;left:6759;top:3550;width:15;height:23" type="#_x0000_t75" id="docshape238" stroked="false">
                  <v:imagedata r:id="rId46" o:title=""/>
                </v:shape>
                <v:shape style="position:absolute;left:8555;top:2920;width:384;height:134" type="#_x0000_t75" id="docshape239" stroked="false">
                  <v:imagedata r:id="rId47" o:title=""/>
                </v:shape>
                <v:rect style="position:absolute;left:2353;top:555;width:7200;height:4320" id="docshape240" filled="false" stroked="true" strokeweight=".75pt" strokecolor="#4471c4">
                  <v:stroke dashstyle="solid"/>
                </v:rect>
                <v:shape style="position:absolute;left:4197;top:766;width:3509;height:301" type="#_x0000_t202" id="docshape241" filled="false" stroked="false">
                  <v:textbox inset="0,0,0,0">
                    <w:txbxContent>
                      <w:p>
                        <w:pPr>
                          <w:spacing w:line="300" w:lineRule="exact" w:before="0"/>
                          <w:ind w:left="0" w:right="0" w:firstLine="0"/>
                          <w:jc w:val="left"/>
                          <w:rPr>
                            <w:rFonts w:ascii="Calibri"/>
                            <w:b/>
                            <w:sz w:val="30"/>
                          </w:rPr>
                        </w:pPr>
                        <w:r>
                          <w:rPr>
                            <w:rFonts w:ascii="Calibri"/>
                            <w:b/>
                            <w:color w:val="FFFFFF"/>
                            <w:spacing w:val="13"/>
                            <w:sz w:val="30"/>
                          </w:rPr>
                          <w:t>EXIT</w:t>
                        </w:r>
                        <w:r>
                          <w:rPr>
                            <w:rFonts w:ascii="Calibri"/>
                            <w:b/>
                            <w:color w:val="FFFFFF"/>
                            <w:spacing w:val="41"/>
                            <w:sz w:val="30"/>
                          </w:rPr>
                          <w:t> </w:t>
                        </w:r>
                        <w:r>
                          <w:rPr>
                            <w:rFonts w:ascii="Calibri"/>
                            <w:b/>
                            <w:color w:val="FFFFFF"/>
                            <w:spacing w:val="13"/>
                            <w:sz w:val="30"/>
                          </w:rPr>
                          <w:t>TYPE</w:t>
                        </w:r>
                        <w:r>
                          <w:rPr>
                            <w:rFonts w:ascii="Calibri"/>
                            <w:b/>
                            <w:color w:val="FFFFFF"/>
                            <w:spacing w:val="41"/>
                            <w:sz w:val="30"/>
                          </w:rPr>
                          <w:t> </w:t>
                        </w:r>
                        <w:r>
                          <w:rPr>
                            <w:rFonts w:ascii="Calibri"/>
                            <w:b/>
                            <w:color w:val="FFFFFF"/>
                            <w:spacing w:val="14"/>
                            <w:sz w:val="30"/>
                          </w:rPr>
                          <w:t>DISTRIBUTION</w:t>
                        </w:r>
                      </w:p>
                    </w:txbxContent>
                  </v:textbox>
                  <w10:wrap type="none"/>
                </v:shape>
                <v:shape style="position:absolute;left:2883;top:1238;width:294;height:2431" type="#_x0000_t202" id="docshape242" filled="false" stroked="false">
                  <v:textbox inset="0,0,0,0">
                    <w:txbxContent>
                      <w:p>
                        <w:pPr>
                          <w:spacing w:line="183" w:lineRule="exact" w:before="0"/>
                          <w:ind w:left="0" w:right="18" w:firstLine="0"/>
                          <w:jc w:val="right"/>
                          <w:rPr>
                            <w:rFonts w:ascii="Calibri"/>
                            <w:sz w:val="18"/>
                          </w:rPr>
                        </w:pPr>
                        <w:r>
                          <w:rPr>
                            <w:rFonts w:ascii="Calibri"/>
                            <w:color w:val="FFFFFF"/>
                            <w:spacing w:val="-5"/>
                            <w:sz w:val="18"/>
                          </w:rPr>
                          <w:t>400</w:t>
                        </w:r>
                      </w:p>
                      <w:p>
                        <w:pPr>
                          <w:spacing w:before="61"/>
                          <w:ind w:left="0" w:right="18" w:firstLine="0"/>
                          <w:jc w:val="right"/>
                          <w:rPr>
                            <w:rFonts w:ascii="Calibri"/>
                            <w:sz w:val="18"/>
                          </w:rPr>
                        </w:pPr>
                        <w:r>
                          <w:rPr>
                            <w:rFonts w:ascii="Calibri"/>
                            <w:color w:val="FFFFFF"/>
                            <w:spacing w:val="-5"/>
                            <w:sz w:val="18"/>
                          </w:rPr>
                          <w:t>350</w:t>
                        </w:r>
                      </w:p>
                      <w:p>
                        <w:pPr>
                          <w:spacing w:before="62"/>
                          <w:ind w:left="0" w:right="18" w:firstLine="0"/>
                          <w:jc w:val="right"/>
                          <w:rPr>
                            <w:rFonts w:ascii="Calibri"/>
                            <w:sz w:val="18"/>
                          </w:rPr>
                        </w:pPr>
                        <w:r>
                          <w:rPr>
                            <w:rFonts w:ascii="Calibri"/>
                            <w:color w:val="FFFFFF"/>
                            <w:spacing w:val="-5"/>
                            <w:sz w:val="18"/>
                          </w:rPr>
                          <w:t>300</w:t>
                        </w:r>
                      </w:p>
                      <w:p>
                        <w:pPr>
                          <w:spacing w:before="61"/>
                          <w:ind w:left="0" w:right="18" w:firstLine="0"/>
                          <w:jc w:val="right"/>
                          <w:rPr>
                            <w:rFonts w:ascii="Calibri"/>
                            <w:sz w:val="18"/>
                          </w:rPr>
                        </w:pPr>
                        <w:r>
                          <w:rPr>
                            <w:rFonts w:ascii="Calibri"/>
                            <w:color w:val="FFFFFF"/>
                            <w:spacing w:val="-5"/>
                            <w:sz w:val="18"/>
                          </w:rPr>
                          <w:t>250</w:t>
                        </w:r>
                      </w:p>
                      <w:p>
                        <w:pPr>
                          <w:spacing w:before="62"/>
                          <w:ind w:left="0" w:right="18" w:firstLine="0"/>
                          <w:jc w:val="right"/>
                          <w:rPr>
                            <w:rFonts w:ascii="Calibri"/>
                            <w:sz w:val="18"/>
                          </w:rPr>
                        </w:pPr>
                        <w:r>
                          <w:rPr>
                            <w:rFonts w:ascii="Calibri"/>
                            <w:color w:val="FFFFFF"/>
                            <w:spacing w:val="-5"/>
                            <w:sz w:val="18"/>
                          </w:rPr>
                          <w:t>200</w:t>
                        </w:r>
                      </w:p>
                      <w:p>
                        <w:pPr>
                          <w:spacing w:before="62"/>
                          <w:ind w:left="0" w:right="18" w:firstLine="0"/>
                          <w:jc w:val="right"/>
                          <w:rPr>
                            <w:rFonts w:ascii="Calibri"/>
                            <w:sz w:val="18"/>
                          </w:rPr>
                        </w:pPr>
                        <w:r>
                          <w:rPr>
                            <w:rFonts w:ascii="Calibri"/>
                            <w:color w:val="FFFFFF"/>
                            <w:spacing w:val="-5"/>
                            <w:sz w:val="18"/>
                          </w:rPr>
                          <w:t>150</w:t>
                        </w:r>
                      </w:p>
                      <w:p>
                        <w:pPr>
                          <w:spacing w:before="62"/>
                          <w:ind w:left="0" w:right="18" w:firstLine="0"/>
                          <w:jc w:val="right"/>
                          <w:rPr>
                            <w:rFonts w:ascii="Calibri"/>
                            <w:sz w:val="18"/>
                          </w:rPr>
                        </w:pPr>
                        <w:r>
                          <w:rPr>
                            <w:rFonts w:ascii="Calibri"/>
                            <w:color w:val="FFFFFF"/>
                            <w:spacing w:val="-5"/>
                            <w:sz w:val="18"/>
                          </w:rPr>
                          <w:t>100</w:t>
                        </w:r>
                      </w:p>
                      <w:p>
                        <w:pPr>
                          <w:spacing w:before="61"/>
                          <w:ind w:left="0" w:right="18" w:firstLine="0"/>
                          <w:jc w:val="right"/>
                          <w:rPr>
                            <w:rFonts w:ascii="Calibri"/>
                            <w:sz w:val="18"/>
                          </w:rPr>
                        </w:pPr>
                        <w:r>
                          <w:rPr>
                            <w:rFonts w:ascii="Calibri"/>
                            <w:color w:val="FFFFFF"/>
                            <w:spacing w:val="-5"/>
                            <w:sz w:val="18"/>
                          </w:rPr>
                          <w:t>50</w:t>
                        </w:r>
                      </w:p>
                      <w:p>
                        <w:pPr>
                          <w:spacing w:line="217" w:lineRule="exact" w:before="61"/>
                          <w:ind w:left="0" w:right="18" w:firstLine="0"/>
                          <w:jc w:val="right"/>
                          <w:rPr>
                            <w:rFonts w:ascii="Calibri"/>
                            <w:sz w:val="18"/>
                          </w:rPr>
                        </w:pPr>
                        <w:r>
                          <w:rPr>
                            <w:rFonts w:ascii="Calibri"/>
                            <w:color w:val="FFFFFF"/>
                            <w:spacing w:val="-10"/>
                            <w:sz w:val="18"/>
                          </w:rPr>
                          <w:t>0</w:t>
                        </w:r>
                      </w:p>
                    </w:txbxContent>
                  </v:textbox>
                  <w10:wrap type="none"/>
                </v:shape>
                <v:shape style="position:absolute;left:8981;top:2905;width:391;height:180" type="#_x0000_t202" id="docshape243" filled="false" stroked="false">
                  <v:textbox inset="0,0,0,0">
                    <w:txbxContent>
                      <w:p>
                        <w:pPr>
                          <w:spacing w:line="180" w:lineRule="exact" w:before="0"/>
                          <w:ind w:left="0" w:right="0" w:firstLine="0"/>
                          <w:jc w:val="left"/>
                          <w:rPr>
                            <w:rFonts w:ascii="Calibri"/>
                            <w:sz w:val="18"/>
                          </w:rPr>
                        </w:pPr>
                        <w:r>
                          <w:rPr>
                            <w:rFonts w:ascii="Calibri"/>
                            <w:color w:val="FFFFFF"/>
                            <w:spacing w:val="-2"/>
                            <w:sz w:val="18"/>
                          </w:rPr>
                          <w:t>Total</w:t>
                        </w:r>
                      </w:p>
                    </w:txbxContent>
                  </v:textbox>
                  <w10:wrap type="none"/>
                </v:shape>
                <v:shape style="position:absolute;left:3441;top:3723;width:4776;height:900" type="#_x0000_t202" id="docshape244" filled="false" stroked="false">
                  <v:textbox inset="0,0,0,0">
                    <w:txbxContent>
                      <w:p>
                        <w:pPr>
                          <w:tabs>
                            <w:tab w:pos="1199" w:val="left" w:leader="none"/>
                            <w:tab w:pos="2013" w:val="left" w:leader="none"/>
                            <w:tab w:pos="2968" w:val="left" w:leader="none"/>
                          </w:tabs>
                          <w:spacing w:line="183" w:lineRule="exact" w:before="0"/>
                          <w:ind w:left="0" w:right="0" w:firstLine="0"/>
                          <w:jc w:val="left"/>
                          <w:rPr>
                            <w:rFonts w:ascii="Calibri"/>
                            <w:sz w:val="18"/>
                          </w:rPr>
                        </w:pPr>
                        <w:r>
                          <w:rPr>
                            <w:rFonts w:ascii="Calibri"/>
                            <w:color w:val="FFFFFF"/>
                            <w:spacing w:val="14"/>
                            <w:sz w:val="18"/>
                          </w:rPr>
                          <w:t>Buyback</w:t>
                        </w:r>
                        <w:r>
                          <w:rPr>
                            <w:rFonts w:ascii="Calibri"/>
                            <w:color w:val="FFFFFF"/>
                            <w:sz w:val="18"/>
                          </w:rPr>
                          <w:tab/>
                        </w:r>
                        <w:r>
                          <w:rPr>
                            <w:rFonts w:ascii="Calibri"/>
                            <w:color w:val="FFFFFF"/>
                            <w:spacing w:val="7"/>
                            <w:sz w:val="18"/>
                          </w:rPr>
                          <w:t>IPO</w:t>
                        </w:r>
                        <w:r>
                          <w:rPr>
                            <w:rFonts w:ascii="Calibri"/>
                            <w:color w:val="FFFFFF"/>
                            <w:sz w:val="18"/>
                          </w:rPr>
                          <w:tab/>
                        </w:r>
                        <w:r>
                          <w:rPr>
                            <w:rFonts w:ascii="Calibri"/>
                            <w:color w:val="FFFFFF"/>
                            <w:spacing w:val="13"/>
                            <w:sz w:val="18"/>
                          </w:rPr>
                          <w:t>Merger</w:t>
                        </w:r>
                        <w:r>
                          <w:rPr>
                            <w:rFonts w:ascii="Calibri"/>
                            <w:color w:val="FFFFFF"/>
                            <w:sz w:val="18"/>
                          </w:rPr>
                          <w:tab/>
                        </w:r>
                        <w:r>
                          <w:rPr>
                            <w:rFonts w:ascii="Calibri"/>
                            <w:color w:val="FFFFFF"/>
                            <w:spacing w:val="15"/>
                            <w:sz w:val="18"/>
                          </w:rPr>
                          <w:t>Reverse</w:t>
                        </w:r>
                        <w:r>
                          <w:rPr>
                            <w:rFonts w:ascii="Calibri"/>
                            <w:color w:val="FFFFFF"/>
                            <w:spacing w:val="52"/>
                            <w:sz w:val="18"/>
                          </w:rPr>
                          <w:t>  </w:t>
                        </w:r>
                        <w:r>
                          <w:rPr>
                            <w:rFonts w:ascii="Calibri"/>
                            <w:color w:val="FFFFFF"/>
                            <w:spacing w:val="14"/>
                            <w:sz w:val="18"/>
                          </w:rPr>
                          <w:t>Secondary</w:t>
                        </w:r>
                      </w:p>
                      <w:p>
                        <w:pPr>
                          <w:tabs>
                            <w:tab w:pos="4077" w:val="left" w:leader="none"/>
                          </w:tabs>
                          <w:spacing w:before="1"/>
                          <w:ind w:left="3069" w:right="251" w:hanging="159"/>
                          <w:jc w:val="left"/>
                          <w:rPr>
                            <w:rFonts w:ascii="Calibri"/>
                            <w:sz w:val="18"/>
                          </w:rPr>
                        </w:pPr>
                        <w:r>
                          <w:rPr>
                            <w:rFonts w:ascii="Calibri"/>
                            <w:color w:val="FFFFFF"/>
                            <w:spacing w:val="14"/>
                            <w:sz w:val="18"/>
                          </w:rPr>
                          <w:t>Takeover</w:t>
                        </w:r>
                        <w:r>
                          <w:rPr>
                            <w:rFonts w:ascii="Calibri"/>
                            <w:color w:val="FFFFFF"/>
                            <w:sz w:val="18"/>
                          </w:rPr>
                          <w:tab/>
                        </w:r>
                        <w:r>
                          <w:rPr>
                            <w:rFonts w:ascii="Calibri"/>
                            <w:color w:val="FFFFFF"/>
                            <w:spacing w:val="7"/>
                            <w:sz w:val="18"/>
                          </w:rPr>
                          <w:t>Sales </w:t>
                        </w:r>
                        <w:r>
                          <w:rPr>
                            <w:rFonts w:ascii="Calibri"/>
                            <w:color w:val="FFFFFF"/>
                            <w:sz w:val="18"/>
                          </w:rPr>
                          <w:t>(</w:t>
                        </w:r>
                        <w:r>
                          <w:rPr>
                            <w:rFonts w:ascii="Calibri"/>
                            <w:color w:val="FFFFFF"/>
                            <w:spacing w:val="-22"/>
                            <w:sz w:val="18"/>
                          </w:rPr>
                          <w:t> </w:t>
                        </w:r>
                        <w:r>
                          <w:rPr>
                            <w:rFonts w:ascii="Calibri"/>
                            <w:color w:val="FFFFFF"/>
                            <w:spacing w:val="14"/>
                            <w:sz w:val="18"/>
                          </w:rPr>
                          <w:t>RTO)</w:t>
                        </w:r>
                      </w:p>
                      <w:p>
                        <w:pPr>
                          <w:spacing w:line="217" w:lineRule="exact" w:before="59"/>
                          <w:ind w:left="0" w:right="89" w:firstLine="0"/>
                          <w:jc w:val="center"/>
                          <w:rPr>
                            <w:rFonts w:ascii="Calibri"/>
                            <w:b/>
                            <w:sz w:val="18"/>
                          </w:rPr>
                        </w:pPr>
                        <w:r>
                          <w:rPr>
                            <w:rFonts w:ascii="Calibri"/>
                            <w:b/>
                            <w:color w:val="FFFFFF"/>
                            <w:spacing w:val="-2"/>
                            <w:sz w:val="18"/>
                          </w:rPr>
                          <w:t>Catogery</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0928">
                <wp:simplePos x="0" y="0"/>
                <wp:positionH relativeFrom="page">
                  <wp:posOffset>1663064</wp:posOffset>
                </wp:positionH>
                <wp:positionV relativeFrom="paragraph">
                  <wp:posOffset>1310885</wp:posOffset>
                </wp:positionV>
                <wp:extent cx="139700" cy="43624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39700" cy="436245"/>
                        </a:xfrm>
                        <a:prstGeom prst="rect">
                          <a:avLst/>
                        </a:prstGeom>
                      </wps:spPr>
                      <wps:txbx>
                        <w:txbxContent>
                          <w:p>
                            <w:pPr>
                              <w:spacing w:line="203" w:lineRule="exact" w:before="0"/>
                              <w:ind w:left="20" w:right="0" w:firstLine="0"/>
                              <w:jc w:val="left"/>
                              <w:rPr>
                                <w:rFonts w:ascii="Calibri"/>
                                <w:b/>
                                <w:sz w:val="18"/>
                              </w:rPr>
                            </w:pPr>
                            <w:r>
                              <w:rPr>
                                <w:rFonts w:ascii="Calibri"/>
                                <w:b/>
                                <w:color w:val="FFFFFF"/>
                                <w:sz w:val="18"/>
                              </w:rPr>
                              <w:t>Exit</w:t>
                            </w:r>
                            <w:r>
                              <w:rPr>
                                <w:rFonts w:ascii="Calibri"/>
                                <w:b/>
                                <w:color w:val="FFFFFF"/>
                                <w:spacing w:val="-3"/>
                                <w:sz w:val="18"/>
                              </w:rPr>
                              <w:t> </w:t>
                            </w:r>
                            <w:r>
                              <w:rPr>
                                <w:rFonts w:ascii="Calibri"/>
                                <w:b/>
                                <w:color w:val="FFFFFF"/>
                                <w:spacing w:val="-4"/>
                                <w:sz w:val="18"/>
                              </w:rPr>
                              <w:t>year</w:t>
                            </w:r>
                          </w:p>
                        </w:txbxContent>
                      </wps:txbx>
                      <wps:bodyPr wrap="square" lIns="0" tIns="0" rIns="0" bIns="0" rtlCol="0" vert="vert270">
                        <a:noAutofit/>
                      </wps:bodyPr>
                    </wps:wsp>
                  </a:graphicData>
                </a:graphic>
              </wp:anchor>
            </w:drawing>
          </mc:Choice>
          <mc:Fallback>
            <w:pict>
              <v:shape style="position:absolute;margin-left:130.949997pt;margin-top:103.219345pt;width:11pt;height:34.35pt;mso-position-horizontal-relative:page;mso-position-vertical-relative:paragraph;z-index:15740928" type="#_x0000_t202" id="docshape245" filled="false" stroked="false">
                <v:textbox inset="0,0,0,0" style="layout-flow:vertical;mso-layout-flow-alt:bottom-to-top">
                  <w:txbxContent>
                    <w:p>
                      <w:pPr>
                        <w:spacing w:line="203" w:lineRule="exact" w:before="0"/>
                        <w:ind w:left="20" w:right="0" w:firstLine="0"/>
                        <w:jc w:val="left"/>
                        <w:rPr>
                          <w:rFonts w:ascii="Calibri"/>
                          <w:b/>
                          <w:sz w:val="18"/>
                        </w:rPr>
                      </w:pPr>
                      <w:r>
                        <w:rPr>
                          <w:rFonts w:ascii="Calibri"/>
                          <w:b/>
                          <w:color w:val="FFFFFF"/>
                          <w:sz w:val="18"/>
                        </w:rPr>
                        <w:t>Exit</w:t>
                      </w:r>
                      <w:r>
                        <w:rPr>
                          <w:rFonts w:ascii="Calibri"/>
                          <w:b/>
                          <w:color w:val="FFFFFF"/>
                          <w:spacing w:val="-3"/>
                          <w:sz w:val="18"/>
                        </w:rPr>
                        <w:t> </w:t>
                      </w:r>
                      <w:r>
                        <w:rPr>
                          <w:rFonts w:ascii="Calibri"/>
                          <w:b/>
                          <w:color w:val="FFFFFF"/>
                          <w:spacing w:val="-4"/>
                          <w:sz w:val="18"/>
                        </w:rPr>
                        <w:t>year</w:t>
                      </w:r>
                    </w:p>
                  </w:txbxContent>
                </v:textbox>
                <w10:wrap type="none"/>
              </v:shape>
            </w:pict>
          </mc:Fallback>
        </mc:AlternateContent>
      </w:r>
      <w:bookmarkStart w:name="_bookmark56" w:id="57"/>
      <w:bookmarkEnd w:id="57"/>
      <w:r>
        <w:rPr>
          <w:b w:val="0"/>
        </w:rPr>
      </w:r>
      <w:r>
        <w:rPr/>
        <w:t>Exit</w:t>
      </w:r>
      <w:r>
        <w:rPr>
          <w:spacing w:val="-15"/>
        </w:rPr>
        <w:t> </w:t>
      </w:r>
      <w:r>
        <w:rPr/>
        <w:t>Types</w:t>
      </w:r>
      <w:r>
        <w:rPr>
          <w:spacing w:val="-13"/>
        </w:rPr>
        <w:t> </w:t>
      </w:r>
      <w:r>
        <w:rPr>
          <w:spacing w:val="-2"/>
        </w:rPr>
        <w:t>Distribution</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8"/>
        <w:rPr>
          <w:b/>
        </w:rPr>
      </w:pPr>
    </w:p>
    <w:p>
      <w:pPr>
        <w:spacing w:before="0"/>
        <w:ind w:left="3" w:right="1" w:firstLine="0"/>
        <w:jc w:val="center"/>
        <w:rPr>
          <w:i/>
          <w:sz w:val="18"/>
        </w:rPr>
      </w:pPr>
      <w:r>
        <w:rPr>
          <w:i/>
          <w:color w:val="44536A"/>
          <w:sz w:val="18"/>
        </w:rPr>
        <w:t>Figure</w:t>
      </w:r>
      <w:r>
        <w:rPr>
          <w:i/>
          <w:color w:val="44536A"/>
          <w:spacing w:val="-2"/>
          <w:sz w:val="18"/>
        </w:rPr>
        <w:t> </w:t>
      </w:r>
      <w:r>
        <w:rPr>
          <w:i/>
          <w:color w:val="44536A"/>
          <w:sz w:val="18"/>
        </w:rPr>
        <w:t>10:</w:t>
      </w:r>
      <w:r>
        <w:rPr>
          <w:i/>
          <w:color w:val="44536A"/>
          <w:spacing w:val="-2"/>
          <w:sz w:val="18"/>
        </w:rPr>
        <w:t> </w:t>
      </w:r>
      <w:r>
        <w:rPr>
          <w:i/>
          <w:color w:val="44536A"/>
          <w:sz w:val="18"/>
        </w:rPr>
        <w:t>Exist</w:t>
      </w:r>
      <w:r>
        <w:rPr>
          <w:i/>
          <w:color w:val="44536A"/>
          <w:spacing w:val="-4"/>
          <w:sz w:val="18"/>
        </w:rPr>
        <w:t> </w:t>
      </w:r>
      <w:r>
        <w:rPr>
          <w:i/>
          <w:color w:val="44536A"/>
          <w:sz w:val="18"/>
        </w:rPr>
        <w:t>type</w:t>
      </w:r>
      <w:r>
        <w:rPr>
          <w:i/>
          <w:color w:val="44536A"/>
          <w:spacing w:val="-2"/>
          <w:sz w:val="18"/>
        </w:rPr>
        <w:t> distribution</w:t>
      </w:r>
    </w:p>
    <w:p>
      <w:pPr>
        <w:pStyle w:val="BodyText"/>
        <w:spacing w:line="360" w:lineRule="auto" w:before="198"/>
        <w:ind w:left="23" w:right="20"/>
        <w:jc w:val="both"/>
      </w:pPr>
      <w:r>
        <w:rPr/>
        <w:t>The breakdown of the exit mechanism is indicative of the fact that the exit mechanism in the market</w:t>
      </w:r>
      <w:r>
        <w:rPr>
          <w:spacing w:val="-13"/>
        </w:rPr>
        <w:t> </w:t>
      </w:r>
      <w:r>
        <w:rPr/>
        <w:t>is</w:t>
      </w:r>
      <w:r>
        <w:rPr>
          <w:spacing w:val="-12"/>
        </w:rPr>
        <w:t> </w:t>
      </w:r>
      <w:r>
        <w:rPr/>
        <w:t>dominated</w:t>
      </w:r>
      <w:r>
        <w:rPr>
          <w:spacing w:val="-14"/>
        </w:rPr>
        <w:t> </w:t>
      </w:r>
      <w:r>
        <w:rPr/>
        <w:t>by</w:t>
      </w:r>
      <w:r>
        <w:rPr>
          <w:spacing w:val="-13"/>
        </w:rPr>
        <w:t> </w:t>
      </w:r>
      <w:r>
        <w:rPr/>
        <w:t>a</w:t>
      </w:r>
      <w:r>
        <w:rPr>
          <w:spacing w:val="-14"/>
        </w:rPr>
        <w:t> </w:t>
      </w:r>
      <w:r>
        <w:rPr/>
        <w:t>strategic</w:t>
      </w:r>
      <w:r>
        <w:rPr>
          <w:spacing w:val="-14"/>
        </w:rPr>
        <w:t> </w:t>
      </w:r>
      <w:r>
        <w:rPr/>
        <w:t>and</w:t>
      </w:r>
      <w:r>
        <w:rPr>
          <w:spacing w:val="-13"/>
        </w:rPr>
        <w:t> </w:t>
      </w:r>
      <w:r>
        <w:rPr/>
        <w:t>negotiated</w:t>
      </w:r>
      <w:r>
        <w:rPr>
          <w:spacing w:val="-14"/>
        </w:rPr>
        <w:t> </w:t>
      </w:r>
      <w:r>
        <w:rPr/>
        <w:t>transaction</w:t>
      </w:r>
      <w:r>
        <w:rPr>
          <w:spacing w:val="-13"/>
        </w:rPr>
        <w:t> </w:t>
      </w:r>
      <w:r>
        <w:rPr/>
        <w:t>rather</w:t>
      </w:r>
      <w:r>
        <w:rPr>
          <w:spacing w:val="-14"/>
        </w:rPr>
        <w:t> </w:t>
      </w:r>
      <w:r>
        <w:rPr/>
        <w:t>than</w:t>
      </w:r>
      <w:r>
        <w:rPr>
          <w:spacing w:val="-14"/>
        </w:rPr>
        <w:t> </w:t>
      </w:r>
      <w:r>
        <w:rPr/>
        <w:t>capital</w:t>
      </w:r>
      <w:r>
        <w:rPr>
          <w:spacing w:val="-13"/>
        </w:rPr>
        <w:t> </w:t>
      </w:r>
      <w:r>
        <w:rPr/>
        <w:t>market</w:t>
      </w:r>
      <w:r>
        <w:rPr>
          <w:spacing w:val="-13"/>
        </w:rPr>
        <w:t> </w:t>
      </w:r>
      <w:r>
        <w:rPr/>
        <w:t>led</w:t>
      </w:r>
      <w:r>
        <w:rPr>
          <w:spacing w:val="-14"/>
        </w:rPr>
        <w:t> </w:t>
      </w:r>
      <w:r>
        <w:rPr/>
        <w:t>exit mechanism. Mergers and Acquisitions (M&amp;A) account for the highest number of exits (347 exits, about 49% of total recorded exits) followed by IPOs (273 exits, about 38%) and Secondary Sales (85 exits) as seen in Figure 4.7: Exit Type Distribution. Buybacks (6 exits) and</w:t>
      </w:r>
      <w:r>
        <w:rPr>
          <w:spacing w:val="-15"/>
        </w:rPr>
        <w:t> </w:t>
      </w:r>
      <w:r>
        <w:rPr/>
        <w:t>Reverse</w:t>
      </w:r>
      <w:r>
        <w:rPr>
          <w:spacing w:val="-15"/>
        </w:rPr>
        <w:t> </w:t>
      </w:r>
      <w:r>
        <w:rPr/>
        <w:t>Takeovers</w:t>
      </w:r>
      <w:r>
        <w:rPr>
          <w:spacing w:val="-15"/>
        </w:rPr>
        <w:t> </w:t>
      </w:r>
      <w:r>
        <w:rPr/>
        <w:t>(4</w:t>
      </w:r>
      <w:r>
        <w:rPr>
          <w:spacing w:val="-15"/>
        </w:rPr>
        <w:t> </w:t>
      </w:r>
      <w:r>
        <w:rPr/>
        <w:t>exits)</w:t>
      </w:r>
      <w:r>
        <w:rPr>
          <w:spacing w:val="-15"/>
        </w:rPr>
        <w:t> </w:t>
      </w:r>
      <w:r>
        <w:rPr/>
        <w:t>are</w:t>
      </w:r>
      <w:r>
        <w:rPr>
          <w:spacing w:val="-15"/>
        </w:rPr>
        <w:t> </w:t>
      </w:r>
      <w:r>
        <w:rPr/>
        <w:t>marginal</w:t>
      </w:r>
      <w:r>
        <w:rPr>
          <w:spacing w:val="-15"/>
        </w:rPr>
        <w:t> </w:t>
      </w:r>
      <w:r>
        <w:rPr/>
        <w:t>indicating</w:t>
      </w:r>
      <w:r>
        <w:rPr>
          <w:spacing w:val="-15"/>
        </w:rPr>
        <w:t> </w:t>
      </w:r>
      <w:r>
        <w:rPr/>
        <w:t>scanty</w:t>
      </w:r>
      <w:r>
        <w:rPr>
          <w:spacing w:val="-15"/>
        </w:rPr>
        <w:t> </w:t>
      </w:r>
      <w:r>
        <w:rPr/>
        <w:t>re-acquisition</w:t>
      </w:r>
      <w:r>
        <w:rPr>
          <w:spacing w:val="-14"/>
        </w:rPr>
        <w:t> </w:t>
      </w:r>
      <w:r>
        <w:rPr/>
        <w:t>by</w:t>
      </w:r>
      <w:r>
        <w:rPr>
          <w:spacing w:val="-15"/>
        </w:rPr>
        <w:t> </w:t>
      </w:r>
      <w:r>
        <w:rPr/>
        <w:t>promoters</w:t>
      </w:r>
      <w:r>
        <w:rPr>
          <w:spacing w:val="-15"/>
        </w:rPr>
        <w:t> </w:t>
      </w:r>
      <w:r>
        <w:rPr/>
        <w:t>and rare use of alternative listing structures.</w:t>
      </w:r>
    </w:p>
    <w:p>
      <w:pPr>
        <w:pStyle w:val="BodyText"/>
        <w:spacing w:line="360" w:lineRule="auto" w:before="160"/>
        <w:ind w:left="23" w:right="16"/>
        <w:jc w:val="both"/>
      </w:pPr>
      <w:r>
        <w:rPr/>
        <w:t>The dominance of M&amp;A channels points towards the role of corporate buyers, industry consolidators and strategic acquirers forming the backbone of the exit environment in India. IPOs,</w:t>
      </w:r>
      <w:r>
        <w:rPr>
          <w:spacing w:val="-11"/>
        </w:rPr>
        <w:t> </w:t>
      </w:r>
      <w:r>
        <w:rPr/>
        <w:t>while</w:t>
      </w:r>
      <w:r>
        <w:rPr>
          <w:spacing w:val="-11"/>
        </w:rPr>
        <w:t> </w:t>
      </w:r>
      <w:r>
        <w:rPr/>
        <w:t>important,</w:t>
      </w:r>
      <w:r>
        <w:rPr>
          <w:spacing w:val="-10"/>
        </w:rPr>
        <w:t> </w:t>
      </w:r>
      <w:r>
        <w:rPr/>
        <w:t>are</w:t>
      </w:r>
      <w:r>
        <w:rPr>
          <w:spacing w:val="-12"/>
        </w:rPr>
        <w:t> </w:t>
      </w:r>
      <w:r>
        <w:rPr/>
        <w:t>sensitive</w:t>
      </w:r>
      <w:r>
        <w:rPr>
          <w:spacing w:val="-11"/>
        </w:rPr>
        <w:t> </w:t>
      </w:r>
      <w:r>
        <w:rPr/>
        <w:t>to</w:t>
      </w:r>
      <w:r>
        <w:rPr>
          <w:spacing w:val="-10"/>
        </w:rPr>
        <w:t> </w:t>
      </w:r>
      <w:r>
        <w:rPr/>
        <w:t>market</w:t>
      </w:r>
      <w:r>
        <w:rPr>
          <w:spacing w:val="-10"/>
        </w:rPr>
        <w:t> </w:t>
      </w:r>
      <w:r>
        <w:rPr/>
        <w:t>cycles,</w:t>
      </w:r>
      <w:r>
        <w:rPr>
          <w:spacing w:val="-11"/>
        </w:rPr>
        <w:t> </w:t>
      </w:r>
      <w:r>
        <w:rPr/>
        <w:t>and</w:t>
      </w:r>
      <w:r>
        <w:rPr>
          <w:spacing w:val="-11"/>
        </w:rPr>
        <w:t> </w:t>
      </w:r>
      <w:r>
        <w:rPr/>
        <w:t>explain</w:t>
      </w:r>
      <w:r>
        <w:rPr>
          <w:spacing w:val="-11"/>
        </w:rPr>
        <w:t> </w:t>
      </w:r>
      <w:r>
        <w:rPr/>
        <w:t>concentrated</w:t>
      </w:r>
      <w:r>
        <w:rPr>
          <w:spacing w:val="-9"/>
        </w:rPr>
        <w:t> </w:t>
      </w:r>
      <w:r>
        <w:rPr/>
        <w:t>exit</w:t>
      </w:r>
      <w:r>
        <w:rPr>
          <w:spacing w:val="-10"/>
        </w:rPr>
        <w:t> </w:t>
      </w:r>
      <w:r>
        <w:rPr/>
        <w:t>bursts</w:t>
      </w:r>
      <w:r>
        <w:rPr>
          <w:spacing w:val="-10"/>
        </w:rPr>
        <w:t> </w:t>
      </w:r>
      <w:r>
        <w:rPr/>
        <w:t>(e.g. 2021) as opposed to yearly recurring distributions. Secondary Sales are another viable, but smaller avenue, and are often transitional exits in the event of sponsor turnover.</w:t>
      </w:r>
    </w:p>
    <w:p>
      <w:pPr>
        <w:pStyle w:val="BodyText"/>
        <w:spacing w:after="0" w:line="360" w:lineRule="auto"/>
        <w:jc w:val="both"/>
        <w:sectPr>
          <w:pgSz w:w="11910" w:h="16840"/>
          <w:pgMar w:header="0" w:footer="1009" w:top="1360" w:bottom="1200" w:left="1417" w:right="1417"/>
        </w:sectPr>
      </w:pPr>
    </w:p>
    <w:p>
      <w:pPr>
        <w:pStyle w:val="Heading3"/>
        <w:numPr>
          <w:ilvl w:val="2"/>
          <w:numId w:val="5"/>
        </w:numPr>
        <w:tabs>
          <w:tab w:pos="563" w:val="left" w:leader="none"/>
        </w:tabs>
        <w:spacing w:line="240" w:lineRule="auto" w:before="61" w:after="0"/>
        <w:ind w:left="563" w:right="0" w:hanging="540"/>
        <w:jc w:val="left"/>
      </w:pPr>
      <w:r>
        <w:rPr/>
        <mc:AlternateContent>
          <mc:Choice Requires="wps">
            <w:drawing>
              <wp:anchor distT="0" distB="0" distL="0" distR="0" allowOverlap="1" layoutInCell="1" locked="0" behindDoc="0" simplePos="0" relativeHeight="15741440">
                <wp:simplePos x="0" y="0"/>
                <wp:positionH relativeFrom="page">
                  <wp:posOffset>1489392</wp:posOffset>
                </wp:positionH>
                <wp:positionV relativeFrom="paragraph">
                  <wp:posOffset>348043</wp:posOffset>
                </wp:positionV>
                <wp:extent cx="4581525" cy="314325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4581525" cy="3143250"/>
                          <a:chExt cx="4581525" cy="3143250"/>
                        </a:xfrm>
                      </wpg:grpSpPr>
                      <wps:wsp>
                        <wps:cNvPr id="258" name="Graphic 258"/>
                        <wps:cNvSpPr/>
                        <wps:spPr>
                          <a:xfrm>
                            <a:off x="636333" y="475805"/>
                            <a:ext cx="3288029" cy="1593215"/>
                          </a:xfrm>
                          <a:custGeom>
                            <a:avLst/>
                            <a:gdLst/>
                            <a:ahLst/>
                            <a:cxnLst/>
                            <a:rect l="l" t="t" r="r" b="b"/>
                            <a:pathLst>
                              <a:path w="3288029" h="1593215">
                                <a:moveTo>
                                  <a:pt x="0" y="1592706"/>
                                </a:moveTo>
                                <a:lnTo>
                                  <a:pt x="882650" y="1592706"/>
                                </a:lnTo>
                              </a:path>
                              <a:path w="3288029" h="1593215">
                                <a:moveTo>
                                  <a:pt x="1746758" y="1592706"/>
                                </a:moveTo>
                                <a:lnTo>
                                  <a:pt x="2856229" y="1592706"/>
                                </a:lnTo>
                              </a:path>
                              <a:path w="3288029" h="1593215">
                                <a:moveTo>
                                  <a:pt x="3061970" y="1592706"/>
                                </a:moveTo>
                                <a:lnTo>
                                  <a:pt x="3287522" y="1592706"/>
                                </a:lnTo>
                              </a:path>
                              <a:path w="3288029" h="1593215">
                                <a:moveTo>
                                  <a:pt x="1089914" y="1592706"/>
                                </a:moveTo>
                                <a:lnTo>
                                  <a:pt x="1541018" y="1592706"/>
                                </a:lnTo>
                              </a:path>
                              <a:path w="3288029" h="1593215">
                                <a:moveTo>
                                  <a:pt x="0" y="1364106"/>
                                </a:moveTo>
                                <a:lnTo>
                                  <a:pt x="882650" y="1364106"/>
                                </a:lnTo>
                              </a:path>
                              <a:path w="3288029" h="1593215">
                                <a:moveTo>
                                  <a:pt x="1746758" y="1364106"/>
                                </a:moveTo>
                                <a:lnTo>
                                  <a:pt x="3287522" y="1364106"/>
                                </a:lnTo>
                              </a:path>
                              <a:path w="3288029" h="1593215">
                                <a:moveTo>
                                  <a:pt x="1089914" y="1364106"/>
                                </a:moveTo>
                                <a:lnTo>
                                  <a:pt x="1541018" y="1364106"/>
                                </a:lnTo>
                              </a:path>
                              <a:path w="3288029" h="1593215">
                                <a:moveTo>
                                  <a:pt x="1746758" y="1137030"/>
                                </a:moveTo>
                                <a:lnTo>
                                  <a:pt x="3287522" y="1137030"/>
                                </a:lnTo>
                              </a:path>
                              <a:path w="3288029" h="1593215">
                                <a:moveTo>
                                  <a:pt x="0" y="1137030"/>
                                </a:moveTo>
                                <a:lnTo>
                                  <a:pt x="882650" y="1137030"/>
                                </a:lnTo>
                              </a:path>
                              <a:path w="3288029" h="1593215">
                                <a:moveTo>
                                  <a:pt x="1089914" y="1137030"/>
                                </a:moveTo>
                                <a:lnTo>
                                  <a:pt x="1541018" y="1137030"/>
                                </a:lnTo>
                              </a:path>
                              <a:path w="3288029" h="1593215">
                                <a:moveTo>
                                  <a:pt x="1746758" y="909954"/>
                                </a:moveTo>
                                <a:lnTo>
                                  <a:pt x="3287522" y="909954"/>
                                </a:lnTo>
                              </a:path>
                              <a:path w="3288029" h="1593215">
                                <a:moveTo>
                                  <a:pt x="1089914" y="909954"/>
                                </a:moveTo>
                                <a:lnTo>
                                  <a:pt x="1541018" y="909954"/>
                                </a:lnTo>
                              </a:path>
                              <a:path w="3288029" h="1593215">
                                <a:moveTo>
                                  <a:pt x="0" y="909954"/>
                                </a:moveTo>
                                <a:lnTo>
                                  <a:pt x="882650" y="909954"/>
                                </a:lnTo>
                              </a:path>
                              <a:path w="3288029" h="1593215">
                                <a:moveTo>
                                  <a:pt x="0" y="682878"/>
                                </a:moveTo>
                                <a:lnTo>
                                  <a:pt x="882650" y="682878"/>
                                </a:lnTo>
                              </a:path>
                              <a:path w="3288029" h="1593215">
                                <a:moveTo>
                                  <a:pt x="1746758" y="682878"/>
                                </a:moveTo>
                                <a:lnTo>
                                  <a:pt x="3287522" y="682878"/>
                                </a:lnTo>
                              </a:path>
                              <a:path w="3288029" h="1593215">
                                <a:moveTo>
                                  <a:pt x="1089914" y="682878"/>
                                </a:moveTo>
                                <a:lnTo>
                                  <a:pt x="1541018" y="682878"/>
                                </a:lnTo>
                              </a:path>
                              <a:path w="3288029" h="1593215">
                                <a:moveTo>
                                  <a:pt x="0" y="454278"/>
                                </a:moveTo>
                                <a:lnTo>
                                  <a:pt x="1541018" y="454278"/>
                                </a:lnTo>
                              </a:path>
                              <a:path w="3288029" h="1593215">
                                <a:moveTo>
                                  <a:pt x="1746758" y="454278"/>
                                </a:moveTo>
                                <a:lnTo>
                                  <a:pt x="3287522" y="454278"/>
                                </a:lnTo>
                              </a:path>
                              <a:path w="3288029" h="1593215">
                                <a:moveTo>
                                  <a:pt x="0" y="227202"/>
                                </a:moveTo>
                                <a:lnTo>
                                  <a:pt x="3287522" y="227202"/>
                                </a:lnTo>
                              </a:path>
                              <a:path w="3288029" h="1593215">
                                <a:moveTo>
                                  <a:pt x="0" y="0"/>
                                </a:moveTo>
                                <a:lnTo>
                                  <a:pt x="3287522" y="0"/>
                                </a:lnTo>
                              </a:path>
                            </a:pathLst>
                          </a:custGeom>
                          <a:ln w="9525">
                            <a:solidFill>
                              <a:srgbClr val="D9D9D9"/>
                            </a:solidFill>
                            <a:prstDash val="solid"/>
                          </a:ln>
                        </wps:spPr>
                        <wps:bodyPr wrap="square" lIns="0" tIns="0" rIns="0" bIns="0" rtlCol="0">
                          <a:prstTxWarp prst="textNoShape">
                            <a:avLst/>
                          </a:prstTxWarp>
                          <a:noAutofit/>
                        </wps:bodyPr>
                      </wps:wsp>
                      <wps:wsp>
                        <wps:cNvPr id="259" name="Graphic 259"/>
                        <wps:cNvSpPr/>
                        <wps:spPr>
                          <a:xfrm>
                            <a:off x="862139" y="716724"/>
                            <a:ext cx="2836545" cy="1579245"/>
                          </a:xfrm>
                          <a:custGeom>
                            <a:avLst/>
                            <a:gdLst/>
                            <a:ahLst/>
                            <a:cxnLst/>
                            <a:rect l="l" t="t" r="r" b="b"/>
                            <a:pathLst>
                              <a:path w="2836545" h="1579245">
                                <a:moveTo>
                                  <a:pt x="205740" y="1551432"/>
                                </a:moveTo>
                                <a:lnTo>
                                  <a:pt x="0" y="1551432"/>
                                </a:lnTo>
                                <a:lnTo>
                                  <a:pt x="0" y="1578737"/>
                                </a:lnTo>
                                <a:lnTo>
                                  <a:pt x="205740" y="1578737"/>
                                </a:lnTo>
                                <a:lnTo>
                                  <a:pt x="205740" y="1551432"/>
                                </a:lnTo>
                                <a:close/>
                              </a:path>
                              <a:path w="2836545" h="1579245">
                                <a:moveTo>
                                  <a:pt x="864108" y="336804"/>
                                </a:moveTo>
                                <a:lnTo>
                                  <a:pt x="656844" y="336804"/>
                                </a:lnTo>
                                <a:lnTo>
                                  <a:pt x="656844" y="1578737"/>
                                </a:lnTo>
                                <a:lnTo>
                                  <a:pt x="864108" y="1578737"/>
                                </a:lnTo>
                                <a:lnTo>
                                  <a:pt x="864108" y="336804"/>
                                </a:lnTo>
                                <a:close/>
                              </a:path>
                              <a:path w="2836545" h="1579245">
                                <a:moveTo>
                                  <a:pt x="1520952" y="0"/>
                                </a:moveTo>
                                <a:lnTo>
                                  <a:pt x="1315212" y="0"/>
                                </a:lnTo>
                                <a:lnTo>
                                  <a:pt x="1315212" y="1578737"/>
                                </a:lnTo>
                                <a:lnTo>
                                  <a:pt x="1520952" y="1578737"/>
                                </a:lnTo>
                                <a:lnTo>
                                  <a:pt x="1520952" y="0"/>
                                </a:lnTo>
                                <a:close/>
                              </a:path>
                              <a:path w="2836545" h="1579245">
                                <a:moveTo>
                                  <a:pt x="2179320" y="1560576"/>
                                </a:moveTo>
                                <a:lnTo>
                                  <a:pt x="1972056" y="1560576"/>
                                </a:lnTo>
                                <a:lnTo>
                                  <a:pt x="1972056" y="1578737"/>
                                </a:lnTo>
                                <a:lnTo>
                                  <a:pt x="2179320" y="1578737"/>
                                </a:lnTo>
                                <a:lnTo>
                                  <a:pt x="2179320" y="1560576"/>
                                </a:lnTo>
                                <a:close/>
                              </a:path>
                              <a:path w="2836545" h="1579245">
                                <a:moveTo>
                                  <a:pt x="2836164" y="1191768"/>
                                </a:moveTo>
                                <a:lnTo>
                                  <a:pt x="2630424" y="1191768"/>
                                </a:lnTo>
                                <a:lnTo>
                                  <a:pt x="2630424" y="1578737"/>
                                </a:lnTo>
                                <a:lnTo>
                                  <a:pt x="2836164" y="1578737"/>
                                </a:lnTo>
                                <a:lnTo>
                                  <a:pt x="2836164" y="1191768"/>
                                </a:lnTo>
                                <a:close/>
                              </a:path>
                            </a:pathLst>
                          </a:custGeom>
                          <a:solidFill>
                            <a:srgbClr val="4471C4"/>
                          </a:solidFill>
                        </wps:spPr>
                        <wps:bodyPr wrap="square" lIns="0" tIns="0" rIns="0" bIns="0" rtlCol="0">
                          <a:prstTxWarp prst="textNoShape">
                            <a:avLst/>
                          </a:prstTxWarp>
                          <a:noAutofit/>
                        </wps:bodyPr>
                      </wps:wsp>
                      <wps:wsp>
                        <wps:cNvPr id="260" name="Graphic 260"/>
                        <wps:cNvSpPr/>
                        <wps:spPr>
                          <a:xfrm>
                            <a:off x="636333" y="2295461"/>
                            <a:ext cx="3288029" cy="1270"/>
                          </a:xfrm>
                          <a:custGeom>
                            <a:avLst/>
                            <a:gdLst/>
                            <a:ahLst/>
                            <a:cxnLst/>
                            <a:rect l="l" t="t" r="r" b="b"/>
                            <a:pathLst>
                              <a:path w="3288029" h="0">
                                <a:moveTo>
                                  <a:pt x="0" y="0"/>
                                </a:moveTo>
                                <a:lnTo>
                                  <a:pt x="3287522" y="0"/>
                                </a:lnTo>
                              </a:path>
                            </a:pathLst>
                          </a:custGeom>
                          <a:ln w="9525">
                            <a:solidFill>
                              <a:srgbClr val="D9D9D9"/>
                            </a:solidFill>
                            <a:prstDash val="solid"/>
                          </a:ln>
                        </wps:spPr>
                        <wps:bodyPr wrap="square" lIns="0" tIns="0" rIns="0" bIns="0" rtlCol="0">
                          <a:prstTxWarp prst="textNoShape">
                            <a:avLst/>
                          </a:prstTxWarp>
                          <a:noAutofit/>
                        </wps:bodyPr>
                      </wps:wsp>
                      <wps:wsp>
                        <wps:cNvPr id="261" name="Graphic 261"/>
                        <wps:cNvSpPr/>
                        <wps:spPr>
                          <a:xfrm>
                            <a:off x="4123499" y="1705885"/>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262" name="Graphic 262"/>
                        <wps:cNvSpPr/>
                        <wps:spPr>
                          <a:xfrm>
                            <a:off x="4762" y="4762"/>
                            <a:ext cx="4572000" cy="3133725"/>
                          </a:xfrm>
                          <a:custGeom>
                            <a:avLst/>
                            <a:gdLst/>
                            <a:ahLst/>
                            <a:cxnLst/>
                            <a:rect l="l" t="t" r="r" b="b"/>
                            <a:pathLst>
                              <a:path w="4572000" h="3133725">
                                <a:moveTo>
                                  <a:pt x="0" y="3133725"/>
                                </a:moveTo>
                                <a:lnTo>
                                  <a:pt x="4572000" y="3133725"/>
                                </a:lnTo>
                                <a:lnTo>
                                  <a:pt x="4572000" y="0"/>
                                </a:lnTo>
                                <a:lnTo>
                                  <a:pt x="0" y="0"/>
                                </a:lnTo>
                                <a:lnTo>
                                  <a:pt x="0" y="3133725"/>
                                </a:lnTo>
                                <a:close/>
                              </a:path>
                            </a:pathLst>
                          </a:custGeom>
                          <a:ln w="9525">
                            <a:solidFill>
                              <a:srgbClr val="D9D9D9"/>
                            </a:solidFill>
                            <a:prstDash val="solid"/>
                          </a:ln>
                        </wps:spPr>
                        <wps:bodyPr wrap="square" lIns="0" tIns="0" rIns="0" bIns="0" rtlCol="0">
                          <a:prstTxWarp prst="textNoShape">
                            <a:avLst/>
                          </a:prstTxWarp>
                          <a:noAutofit/>
                        </wps:bodyPr>
                      </wps:wsp>
                      <wps:wsp>
                        <wps:cNvPr id="263" name="Textbox 263"/>
                        <wps:cNvSpPr txBox="1"/>
                        <wps:spPr>
                          <a:xfrm>
                            <a:off x="2049335" y="2850832"/>
                            <a:ext cx="473709" cy="127000"/>
                          </a:xfrm>
                          <a:prstGeom prst="rect">
                            <a:avLst/>
                          </a:prstGeom>
                        </wps:spPr>
                        <wps:txbx>
                          <w:txbxContent>
                            <w:p>
                              <w:pPr>
                                <w:spacing w:line="199" w:lineRule="exact" w:before="0"/>
                                <w:ind w:left="0" w:right="0" w:firstLine="0"/>
                                <w:jc w:val="left"/>
                                <w:rPr>
                                  <w:rFonts w:ascii="Calibri"/>
                                  <w:sz w:val="20"/>
                                </w:rPr>
                              </w:pPr>
                              <w:r>
                                <w:rPr>
                                  <w:rFonts w:ascii="Calibri"/>
                                  <w:color w:val="585858"/>
                                  <w:spacing w:val="-2"/>
                                  <w:sz w:val="20"/>
                                </w:rPr>
                                <w:t>Catogery</w:t>
                              </w:r>
                            </w:p>
                          </w:txbxContent>
                        </wps:txbx>
                        <wps:bodyPr wrap="square" lIns="0" tIns="0" rIns="0" bIns="0" rtlCol="0">
                          <a:noAutofit/>
                        </wps:bodyPr>
                      </wps:wsp>
                      <wps:wsp>
                        <wps:cNvPr id="264" name="Textbox 264"/>
                        <wps:cNvSpPr txBox="1"/>
                        <wps:spPr>
                          <a:xfrm>
                            <a:off x="2724467" y="2391219"/>
                            <a:ext cx="1127125" cy="393700"/>
                          </a:xfrm>
                          <a:prstGeom prst="rect">
                            <a:avLst/>
                          </a:prstGeom>
                        </wps:spPr>
                        <wps:txbx>
                          <w:txbxContent>
                            <w:p>
                              <w:pPr>
                                <w:tabs>
                                  <w:tab w:pos="991" w:val="left" w:leader="none"/>
                                </w:tabs>
                                <w:spacing w:line="183" w:lineRule="exact" w:before="0"/>
                                <w:ind w:left="46" w:right="0" w:firstLine="0"/>
                                <w:jc w:val="left"/>
                                <w:rPr>
                                  <w:rFonts w:ascii="Calibri"/>
                                  <w:sz w:val="18"/>
                                </w:rPr>
                              </w:pPr>
                              <w:r>
                                <w:rPr>
                                  <w:rFonts w:ascii="Calibri"/>
                                  <w:color w:val="585858"/>
                                  <w:spacing w:val="-2"/>
                                  <w:sz w:val="18"/>
                                </w:rPr>
                                <w:t>Reverse</w:t>
                              </w:r>
                              <w:r>
                                <w:rPr>
                                  <w:rFonts w:ascii="Calibri"/>
                                  <w:color w:val="585858"/>
                                  <w:sz w:val="18"/>
                                </w:rPr>
                                <w:tab/>
                              </w:r>
                              <w:r>
                                <w:rPr>
                                  <w:rFonts w:ascii="Calibri"/>
                                  <w:color w:val="585858"/>
                                  <w:spacing w:val="-2"/>
                                  <w:sz w:val="18"/>
                                </w:rPr>
                                <w:t>Secondary</w:t>
                              </w:r>
                            </w:p>
                            <w:p>
                              <w:pPr>
                                <w:tabs>
                                  <w:tab w:pos="1187" w:val="left" w:leader="none"/>
                                </w:tabs>
                                <w:spacing w:before="0"/>
                                <w:ind w:left="130" w:right="214" w:hanging="130"/>
                                <w:jc w:val="left"/>
                                <w:rPr>
                                  <w:rFonts w:ascii="Calibri"/>
                                  <w:sz w:val="18"/>
                                </w:rPr>
                              </w:pPr>
                              <w:r>
                                <w:rPr>
                                  <w:rFonts w:ascii="Calibri"/>
                                  <w:color w:val="585858"/>
                                  <w:spacing w:val="-2"/>
                                  <w:sz w:val="18"/>
                                </w:rPr>
                                <w:t>Takeover</w:t>
                              </w:r>
                              <w:r>
                                <w:rPr>
                                  <w:rFonts w:ascii="Calibri"/>
                                  <w:color w:val="585858"/>
                                  <w:sz w:val="18"/>
                                </w:rPr>
                                <w:tab/>
                              </w:r>
                              <w:r>
                                <w:rPr>
                                  <w:rFonts w:ascii="Calibri"/>
                                  <w:color w:val="585858"/>
                                  <w:spacing w:val="-4"/>
                                  <w:sz w:val="18"/>
                                </w:rPr>
                                <w:t>Sales</w:t>
                              </w:r>
                              <w:r>
                                <w:rPr>
                                  <w:rFonts w:ascii="Calibri"/>
                                  <w:color w:val="585858"/>
                                  <w:sz w:val="18"/>
                                </w:rPr>
                                <w:t> </w:t>
                              </w:r>
                              <w:r>
                                <w:rPr>
                                  <w:rFonts w:ascii="Calibri"/>
                                  <w:color w:val="585858"/>
                                  <w:spacing w:val="-2"/>
                                  <w:sz w:val="18"/>
                                </w:rPr>
                                <w:t>(RTO)</w:t>
                              </w:r>
                            </w:p>
                          </w:txbxContent>
                        </wps:txbx>
                        <wps:bodyPr wrap="square" lIns="0" tIns="0" rIns="0" bIns="0" rtlCol="0">
                          <a:noAutofit/>
                        </wps:bodyPr>
                      </wps:wsp>
                      <wps:wsp>
                        <wps:cNvPr id="265" name="Textbox 265"/>
                        <wps:cNvSpPr txBox="1"/>
                        <wps:spPr>
                          <a:xfrm>
                            <a:off x="2108517" y="2391219"/>
                            <a:ext cx="35750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2"/>
                                  <w:sz w:val="18"/>
                                </w:rPr>
                                <w:t>Merger</w:t>
                              </w:r>
                            </w:p>
                          </w:txbxContent>
                        </wps:txbx>
                        <wps:bodyPr wrap="square" lIns="0" tIns="0" rIns="0" bIns="0" rtlCol="0">
                          <a:noAutofit/>
                        </wps:bodyPr>
                      </wps:wsp>
                      <wps:wsp>
                        <wps:cNvPr id="266" name="Textbox 266"/>
                        <wps:cNvSpPr txBox="1"/>
                        <wps:spPr>
                          <a:xfrm>
                            <a:off x="1541589" y="2391219"/>
                            <a:ext cx="17716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IPO</w:t>
                              </w:r>
                            </w:p>
                          </w:txbxContent>
                        </wps:txbx>
                        <wps:bodyPr wrap="square" lIns="0" tIns="0" rIns="0" bIns="0" rtlCol="0">
                          <a:noAutofit/>
                        </wps:bodyPr>
                      </wps:wsp>
                      <wps:wsp>
                        <wps:cNvPr id="267" name="Textbox 267"/>
                        <wps:cNvSpPr txBox="1"/>
                        <wps:spPr>
                          <a:xfrm>
                            <a:off x="770953" y="2391219"/>
                            <a:ext cx="4013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2"/>
                                  <w:sz w:val="18"/>
                                </w:rPr>
                                <w:t>Buyback</w:t>
                              </w:r>
                            </w:p>
                          </w:txbxContent>
                        </wps:txbx>
                        <wps:bodyPr wrap="square" lIns="0" tIns="0" rIns="0" bIns="0" rtlCol="0">
                          <a:noAutofit/>
                        </wps:bodyPr>
                      </wps:wsp>
                      <wps:wsp>
                        <wps:cNvPr id="268" name="Textbox 268"/>
                        <wps:cNvSpPr txBox="1"/>
                        <wps:spPr>
                          <a:xfrm>
                            <a:off x="357060" y="1787461"/>
                            <a:ext cx="186690" cy="569595"/>
                          </a:xfrm>
                          <a:prstGeom prst="rect">
                            <a:avLst/>
                          </a:prstGeom>
                        </wps:spPr>
                        <wps:txbx>
                          <w:txbxContent>
                            <w:p>
                              <w:pPr>
                                <w:spacing w:line="183" w:lineRule="exact" w:before="0"/>
                                <w:ind w:left="0" w:right="18" w:firstLine="0"/>
                                <w:jc w:val="right"/>
                                <w:rPr>
                                  <w:rFonts w:ascii="Calibri"/>
                                  <w:sz w:val="18"/>
                                </w:rPr>
                              </w:pPr>
                              <w:r>
                                <w:rPr>
                                  <w:rFonts w:ascii="Calibri"/>
                                  <w:color w:val="585858"/>
                                  <w:spacing w:val="-5"/>
                                  <w:sz w:val="18"/>
                                </w:rPr>
                                <w:t>100</w:t>
                              </w:r>
                            </w:p>
                            <w:p>
                              <w:pPr>
                                <w:spacing w:before="138"/>
                                <w:ind w:left="91" w:right="0" w:firstLine="0"/>
                                <w:jc w:val="left"/>
                                <w:rPr>
                                  <w:rFonts w:ascii="Calibri"/>
                                  <w:sz w:val="18"/>
                                </w:rPr>
                              </w:pPr>
                              <w:r>
                                <w:rPr>
                                  <w:rFonts w:ascii="Calibri"/>
                                  <w:color w:val="585858"/>
                                  <w:spacing w:val="-5"/>
                                  <w:sz w:val="18"/>
                                </w:rPr>
                                <w:t>50</w:t>
                              </w:r>
                            </w:p>
                            <w:p>
                              <w:pPr>
                                <w:spacing w:line="216" w:lineRule="exact" w:before="139"/>
                                <w:ind w:left="0" w:right="18" w:firstLine="0"/>
                                <w:jc w:val="right"/>
                                <w:rPr>
                                  <w:rFonts w:ascii="Calibri"/>
                                  <w:sz w:val="18"/>
                                </w:rPr>
                              </w:pPr>
                              <w:r>
                                <w:rPr>
                                  <w:rFonts w:ascii="Calibri"/>
                                  <w:color w:val="585858"/>
                                  <w:spacing w:val="-10"/>
                                  <w:sz w:val="18"/>
                                </w:rPr>
                                <w:t>0</w:t>
                              </w:r>
                            </w:p>
                          </w:txbxContent>
                        </wps:txbx>
                        <wps:bodyPr wrap="square" lIns="0" tIns="0" rIns="0" bIns="0" rtlCol="0">
                          <a:noAutofit/>
                        </wps:bodyPr>
                      </wps:wsp>
                      <wps:wsp>
                        <wps:cNvPr id="269" name="Textbox 269"/>
                        <wps:cNvSpPr txBox="1"/>
                        <wps:spPr>
                          <a:xfrm>
                            <a:off x="4214050" y="1684083"/>
                            <a:ext cx="24828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2"/>
                                  <w:sz w:val="18"/>
                                </w:rPr>
                                <w:t>Total</w:t>
                              </w:r>
                            </w:p>
                          </w:txbxContent>
                        </wps:txbx>
                        <wps:bodyPr wrap="square" lIns="0" tIns="0" rIns="0" bIns="0" rtlCol="0">
                          <a:noAutofit/>
                        </wps:bodyPr>
                      </wps:wsp>
                      <wps:wsp>
                        <wps:cNvPr id="270" name="Textbox 270"/>
                        <wps:cNvSpPr txBox="1"/>
                        <wps:spPr>
                          <a:xfrm>
                            <a:off x="357060" y="422465"/>
                            <a:ext cx="186690" cy="1252220"/>
                          </a:xfrm>
                          <a:prstGeom prst="rect">
                            <a:avLst/>
                          </a:prstGeom>
                        </wps:spPr>
                        <wps:txbx>
                          <w:txbxContent>
                            <w:p>
                              <w:pPr>
                                <w:spacing w:line="183" w:lineRule="exact" w:before="0"/>
                                <w:ind w:left="0" w:right="0" w:firstLine="0"/>
                                <w:jc w:val="left"/>
                                <w:rPr>
                                  <w:rFonts w:ascii="Calibri"/>
                                  <w:sz w:val="18"/>
                                </w:rPr>
                              </w:pPr>
                              <w:r>
                                <w:rPr>
                                  <w:rFonts w:ascii="Calibri"/>
                                  <w:color w:val="585858"/>
                                  <w:spacing w:val="-5"/>
                                  <w:sz w:val="18"/>
                                </w:rPr>
                                <w:t>400</w:t>
                              </w:r>
                            </w:p>
                            <w:p>
                              <w:pPr>
                                <w:spacing w:before="138"/>
                                <w:ind w:left="0" w:right="0" w:firstLine="0"/>
                                <w:jc w:val="left"/>
                                <w:rPr>
                                  <w:rFonts w:ascii="Calibri"/>
                                  <w:sz w:val="18"/>
                                </w:rPr>
                              </w:pPr>
                              <w:r>
                                <w:rPr>
                                  <w:rFonts w:ascii="Calibri"/>
                                  <w:color w:val="585858"/>
                                  <w:spacing w:val="-5"/>
                                  <w:sz w:val="18"/>
                                </w:rPr>
                                <w:t>350</w:t>
                              </w:r>
                            </w:p>
                            <w:p>
                              <w:pPr>
                                <w:spacing w:before="139"/>
                                <w:ind w:left="0" w:right="0" w:firstLine="0"/>
                                <w:jc w:val="left"/>
                                <w:rPr>
                                  <w:rFonts w:ascii="Calibri"/>
                                  <w:sz w:val="18"/>
                                </w:rPr>
                              </w:pPr>
                              <w:r>
                                <w:rPr>
                                  <w:rFonts w:ascii="Calibri"/>
                                  <w:color w:val="585858"/>
                                  <w:spacing w:val="-5"/>
                                  <w:sz w:val="18"/>
                                </w:rPr>
                                <w:t>300</w:t>
                              </w:r>
                            </w:p>
                            <w:p>
                              <w:pPr>
                                <w:spacing w:before="138"/>
                                <w:ind w:left="0" w:right="0" w:firstLine="0"/>
                                <w:jc w:val="left"/>
                                <w:rPr>
                                  <w:rFonts w:ascii="Calibri"/>
                                  <w:sz w:val="18"/>
                                </w:rPr>
                              </w:pPr>
                              <w:r>
                                <w:rPr>
                                  <w:rFonts w:ascii="Calibri"/>
                                  <w:color w:val="585858"/>
                                  <w:spacing w:val="-5"/>
                                  <w:sz w:val="18"/>
                                </w:rPr>
                                <w:t>250</w:t>
                              </w:r>
                            </w:p>
                            <w:p>
                              <w:pPr>
                                <w:spacing w:before="139"/>
                                <w:ind w:left="0" w:right="0" w:firstLine="0"/>
                                <w:jc w:val="left"/>
                                <w:rPr>
                                  <w:rFonts w:ascii="Calibri"/>
                                  <w:sz w:val="18"/>
                                </w:rPr>
                              </w:pPr>
                              <w:r>
                                <w:rPr>
                                  <w:rFonts w:ascii="Calibri"/>
                                  <w:color w:val="585858"/>
                                  <w:spacing w:val="-5"/>
                                  <w:sz w:val="18"/>
                                </w:rPr>
                                <w:t>200</w:t>
                              </w:r>
                            </w:p>
                            <w:p>
                              <w:pPr>
                                <w:spacing w:line="216" w:lineRule="exact" w:before="138"/>
                                <w:ind w:left="0" w:right="0" w:firstLine="0"/>
                                <w:jc w:val="left"/>
                                <w:rPr>
                                  <w:rFonts w:ascii="Calibri"/>
                                  <w:sz w:val="18"/>
                                </w:rPr>
                              </w:pPr>
                              <w:r>
                                <w:rPr>
                                  <w:rFonts w:ascii="Calibri"/>
                                  <w:color w:val="585858"/>
                                  <w:spacing w:val="-5"/>
                                  <w:sz w:val="18"/>
                                </w:rPr>
                                <w:t>150</w:t>
                              </w:r>
                            </w:p>
                          </w:txbxContent>
                        </wps:txbx>
                        <wps:bodyPr wrap="square" lIns="0" tIns="0" rIns="0" bIns="0" rtlCol="0">
                          <a:noAutofit/>
                        </wps:bodyPr>
                      </wps:wsp>
                      <wps:wsp>
                        <wps:cNvPr id="271" name="Textbox 271"/>
                        <wps:cNvSpPr txBox="1"/>
                        <wps:spPr>
                          <a:xfrm>
                            <a:off x="1968309" y="135572"/>
                            <a:ext cx="659130" cy="178435"/>
                          </a:xfrm>
                          <a:prstGeom prst="rect">
                            <a:avLst/>
                          </a:prstGeom>
                        </wps:spPr>
                        <wps:txbx>
                          <w:txbxContent>
                            <w:p>
                              <w:pPr>
                                <w:spacing w:line="281" w:lineRule="exact" w:before="0"/>
                                <w:ind w:left="0" w:right="0" w:firstLine="0"/>
                                <w:jc w:val="left"/>
                                <w:rPr>
                                  <w:rFonts w:ascii="Calibri"/>
                                  <w:sz w:val="28"/>
                                </w:rPr>
                              </w:pPr>
                              <w:r>
                                <w:rPr>
                                  <w:rFonts w:ascii="Calibri"/>
                                  <w:color w:val="585858"/>
                                  <w:sz w:val="28"/>
                                </w:rPr>
                                <w:t>Exit</w:t>
                              </w:r>
                              <w:r>
                                <w:rPr>
                                  <w:rFonts w:ascii="Calibri"/>
                                  <w:color w:val="585858"/>
                                  <w:spacing w:val="-2"/>
                                  <w:sz w:val="28"/>
                                </w:rPr>
                                <w:t> </w:t>
                              </w:r>
                              <w:r>
                                <w:rPr>
                                  <w:rFonts w:ascii="Calibri"/>
                                  <w:color w:val="585858"/>
                                  <w:spacing w:val="-4"/>
                                  <w:sz w:val="28"/>
                                </w:rPr>
                                <w:t>Type</w:t>
                              </w:r>
                            </w:p>
                          </w:txbxContent>
                        </wps:txbx>
                        <wps:bodyPr wrap="square" lIns="0" tIns="0" rIns="0" bIns="0" rtlCol="0">
                          <a:noAutofit/>
                        </wps:bodyPr>
                      </wps:wsp>
                    </wpg:wgp>
                  </a:graphicData>
                </a:graphic>
              </wp:anchor>
            </w:drawing>
          </mc:Choice>
          <mc:Fallback>
            <w:pict>
              <v:group style="position:absolute;margin-left:117.275002pt;margin-top:27.405001pt;width:360.75pt;height:247.5pt;mso-position-horizontal-relative:page;mso-position-vertical-relative:paragraph;z-index:15741440" id="docshapegroup246" coordorigin="2346,548" coordsize="7215,4950">
                <v:shape style="position:absolute;left:3347;top:1297;width:5178;height:2509" id="docshape247" coordorigin="3348,1297" coordsize="5178,2509" path="m3348,3806l4738,3806m6098,3806l7846,3806m8170,3806l8525,3806m5064,3806l5774,3806m3348,3446l4738,3446m6098,3446l8525,3446m5064,3446l5774,3446m6098,3088l8525,3088m3348,3088l4738,3088m5064,3088l5774,3088m6098,2730l8525,2730m5064,2730l5774,2730m3348,2730l4738,2730m3348,2373l4738,2373m6098,2373l8525,2373m5064,2373l5774,2373m3348,2013l5774,2013m6098,2013l8525,2013m3348,1655l8525,1655m3348,1297l8525,1297e" filled="false" stroked="true" strokeweight=".75pt" strokecolor="#d9d9d9">
                  <v:path arrowok="t"/>
                  <v:stroke dashstyle="solid"/>
                </v:shape>
                <v:shape style="position:absolute;left:3703;top:1676;width:4467;height:2487" id="docshape248" coordorigin="3703,1677" coordsize="4467,2487" path="m4027,4120l3703,4120,3703,4163,4027,4163,4027,4120xm5064,2207l4738,2207,4738,4163,5064,4163,5064,2207xm6098,1677l5774,1677,5774,4163,6098,4163,6098,1677xm7135,4134l6809,4134,6809,4163,7135,4163,7135,4134xm8170,3554l7846,3554,7846,4163,8170,4163,8170,3554xe" filled="true" fillcolor="#4471c4" stroked="false">
                  <v:path arrowok="t"/>
                  <v:fill type="solid"/>
                </v:shape>
                <v:line style="position:absolute" from="3348,4163" to="8525,4163" stroked="true" strokeweight=".75pt" strokecolor="#d9d9d9">
                  <v:stroke dashstyle="solid"/>
                </v:line>
                <v:rect style="position:absolute;left:8839;top:3234;width:99;height:99" id="docshape249" filled="true" fillcolor="#4471c4" stroked="false">
                  <v:fill type="solid"/>
                </v:rect>
                <v:rect style="position:absolute;left:2353;top:555;width:7200;height:4935" id="docshape250" filled="false" stroked="true" strokeweight=".75pt" strokecolor="#d9d9d9">
                  <v:stroke dashstyle="solid"/>
                </v:rect>
                <v:shape style="position:absolute;left:5572;top:5037;width:746;height:200" type="#_x0000_t202" id="docshape251" filled="false" stroked="false">
                  <v:textbox inset="0,0,0,0">
                    <w:txbxContent>
                      <w:p>
                        <w:pPr>
                          <w:spacing w:line="199" w:lineRule="exact" w:before="0"/>
                          <w:ind w:left="0" w:right="0" w:firstLine="0"/>
                          <w:jc w:val="left"/>
                          <w:rPr>
                            <w:rFonts w:ascii="Calibri"/>
                            <w:sz w:val="20"/>
                          </w:rPr>
                        </w:pPr>
                        <w:r>
                          <w:rPr>
                            <w:rFonts w:ascii="Calibri"/>
                            <w:color w:val="585858"/>
                            <w:spacing w:val="-2"/>
                            <w:sz w:val="20"/>
                          </w:rPr>
                          <w:t>Catogery</w:t>
                        </w:r>
                      </w:p>
                    </w:txbxContent>
                  </v:textbox>
                  <w10:wrap type="none"/>
                </v:shape>
                <v:shape style="position:absolute;left:6636;top:4313;width:1775;height:620" type="#_x0000_t202" id="docshape252" filled="false" stroked="false">
                  <v:textbox inset="0,0,0,0">
                    <w:txbxContent>
                      <w:p>
                        <w:pPr>
                          <w:tabs>
                            <w:tab w:pos="991" w:val="left" w:leader="none"/>
                          </w:tabs>
                          <w:spacing w:line="183" w:lineRule="exact" w:before="0"/>
                          <w:ind w:left="46" w:right="0" w:firstLine="0"/>
                          <w:jc w:val="left"/>
                          <w:rPr>
                            <w:rFonts w:ascii="Calibri"/>
                            <w:sz w:val="18"/>
                          </w:rPr>
                        </w:pPr>
                        <w:r>
                          <w:rPr>
                            <w:rFonts w:ascii="Calibri"/>
                            <w:color w:val="585858"/>
                            <w:spacing w:val="-2"/>
                            <w:sz w:val="18"/>
                          </w:rPr>
                          <w:t>Reverse</w:t>
                        </w:r>
                        <w:r>
                          <w:rPr>
                            <w:rFonts w:ascii="Calibri"/>
                            <w:color w:val="585858"/>
                            <w:sz w:val="18"/>
                          </w:rPr>
                          <w:tab/>
                        </w:r>
                        <w:r>
                          <w:rPr>
                            <w:rFonts w:ascii="Calibri"/>
                            <w:color w:val="585858"/>
                            <w:spacing w:val="-2"/>
                            <w:sz w:val="18"/>
                          </w:rPr>
                          <w:t>Secondary</w:t>
                        </w:r>
                      </w:p>
                      <w:p>
                        <w:pPr>
                          <w:tabs>
                            <w:tab w:pos="1187" w:val="left" w:leader="none"/>
                          </w:tabs>
                          <w:spacing w:before="0"/>
                          <w:ind w:left="130" w:right="214" w:hanging="130"/>
                          <w:jc w:val="left"/>
                          <w:rPr>
                            <w:rFonts w:ascii="Calibri"/>
                            <w:sz w:val="18"/>
                          </w:rPr>
                        </w:pPr>
                        <w:r>
                          <w:rPr>
                            <w:rFonts w:ascii="Calibri"/>
                            <w:color w:val="585858"/>
                            <w:spacing w:val="-2"/>
                            <w:sz w:val="18"/>
                          </w:rPr>
                          <w:t>Takeover</w:t>
                        </w:r>
                        <w:r>
                          <w:rPr>
                            <w:rFonts w:ascii="Calibri"/>
                            <w:color w:val="585858"/>
                            <w:sz w:val="18"/>
                          </w:rPr>
                          <w:tab/>
                        </w:r>
                        <w:r>
                          <w:rPr>
                            <w:rFonts w:ascii="Calibri"/>
                            <w:color w:val="585858"/>
                            <w:spacing w:val="-4"/>
                            <w:sz w:val="18"/>
                          </w:rPr>
                          <w:t>Sales</w:t>
                        </w:r>
                        <w:r>
                          <w:rPr>
                            <w:rFonts w:ascii="Calibri"/>
                            <w:color w:val="585858"/>
                            <w:sz w:val="18"/>
                          </w:rPr>
                          <w:t> </w:t>
                        </w:r>
                        <w:r>
                          <w:rPr>
                            <w:rFonts w:ascii="Calibri"/>
                            <w:color w:val="585858"/>
                            <w:spacing w:val="-2"/>
                            <w:sz w:val="18"/>
                          </w:rPr>
                          <w:t>(RTO)</w:t>
                        </w:r>
                      </w:p>
                    </w:txbxContent>
                  </v:textbox>
                  <w10:wrap type="none"/>
                </v:shape>
                <v:shape style="position:absolute;left:5666;top:4313;width:563;height:180" type="#_x0000_t202" id="docshape253" filled="false" stroked="false">
                  <v:textbox inset="0,0,0,0">
                    <w:txbxContent>
                      <w:p>
                        <w:pPr>
                          <w:spacing w:line="180" w:lineRule="exact" w:before="0"/>
                          <w:ind w:left="0" w:right="0" w:firstLine="0"/>
                          <w:jc w:val="left"/>
                          <w:rPr>
                            <w:rFonts w:ascii="Calibri"/>
                            <w:sz w:val="18"/>
                          </w:rPr>
                        </w:pPr>
                        <w:r>
                          <w:rPr>
                            <w:rFonts w:ascii="Calibri"/>
                            <w:color w:val="585858"/>
                            <w:spacing w:val="-2"/>
                            <w:sz w:val="18"/>
                          </w:rPr>
                          <w:t>Merger</w:t>
                        </w:r>
                      </w:p>
                    </w:txbxContent>
                  </v:textbox>
                  <w10:wrap type="none"/>
                </v:shape>
                <v:shape style="position:absolute;left:4773;top:4313;width:279;height:180" type="#_x0000_t202" id="docshape254"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IPO</w:t>
                        </w:r>
                      </w:p>
                    </w:txbxContent>
                  </v:textbox>
                  <w10:wrap type="none"/>
                </v:shape>
                <v:shape style="position:absolute;left:3559;top:4313;width:632;height:180" type="#_x0000_t202" id="docshape255" filled="false" stroked="false">
                  <v:textbox inset="0,0,0,0">
                    <w:txbxContent>
                      <w:p>
                        <w:pPr>
                          <w:spacing w:line="180" w:lineRule="exact" w:before="0"/>
                          <w:ind w:left="0" w:right="0" w:firstLine="0"/>
                          <w:jc w:val="left"/>
                          <w:rPr>
                            <w:rFonts w:ascii="Calibri"/>
                            <w:sz w:val="18"/>
                          </w:rPr>
                        </w:pPr>
                        <w:r>
                          <w:rPr>
                            <w:rFonts w:ascii="Calibri"/>
                            <w:color w:val="585858"/>
                            <w:spacing w:val="-2"/>
                            <w:sz w:val="18"/>
                          </w:rPr>
                          <w:t>Buyback</w:t>
                        </w:r>
                      </w:p>
                    </w:txbxContent>
                  </v:textbox>
                  <w10:wrap type="none"/>
                </v:shape>
                <v:shape style="position:absolute;left:2907;top:3363;width:294;height:897" type="#_x0000_t202" id="docshape256" filled="false" stroked="false">
                  <v:textbox inset="0,0,0,0">
                    <w:txbxContent>
                      <w:p>
                        <w:pPr>
                          <w:spacing w:line="183" w:lineRule="exact" w:before="0"/>
                          <w:ind w:left="0" w:right="18" w:firstLine="0"/>
                          <w:jc w:val="right"/>
                          <w:rPr>
                            <w:rFonts w:ascii="Calibri"/>
                            <w:sz w:val="18"/>
                          </w:rPr>
                        </w:pPr>
                        <w:r>
                          <w:rPr>
                            <w:rFonts w:ascii="Calibri"/>
                            <w:color w:val="585858"/>
                            <w:spacing w:val="-5"/>
                            <w:sz w:val="18"/>
                          </w:rPr>
                          <w:t>100</w:t>
                        </w:r>
                      </w:p>
                      <w:p>
                        <w:pPr>
                          <w:spacing w:before="138"/>
                          <w:ind w:left="91" w:right="0" w:firstLine="0"/>
                          <w:jc w:val="left"/>
                          <w:rPr>
                            <w:rFonts w:ascii="Calibri"/>
                            <w:sz w:val="18"/>
                          </w:rPr>
                        </w:pPr>
                        <w:r>
                          <w:rPr>
                            <w:rFonts w:ascii="Calibri"/>
                            <w:color w:val="585858"/>
                            <w:spacing w:val="-5"/>
                            <w:sz w:val="18"/>
                          </w:rPr>
                          <w:t>50</w:t>
                        </w:r>
                      </w:p>
                      <w:p>
                        <w:pPr>
                          <w:spacing w:line="216" w:lineRule="exact" w:before="139"/>
                          <w:ind w:left="0" w:right="18" w:firstLine="0"/>
                          <w:jc w:val="right"/>
                          <w:rPr>
                            <w:rFonts w:ascii="Calibri"/>
                            <w:sz w:val="18"/>
                          </w:rPr>
                        </w:pPr>
                        <w:r>
                          <w:rPr>
                            <w:rFonts w:ascii="Calibri"/>
                            <w:color w:val="585858"/>
                            <w:spacing w:val="-10"/>
                            <w:sz w:val="18"/>
                          </w:rPr>
                          <w:t>0</w:t>
                        </w:r>
                      </w:p>
                    </w:txbxContent>
                  </v:textbox>
                  <w10:wrap type="none"/>
                </v:shape>
                <v:shape style="position:absolute;left:8981;top:3200;width:391;height:180" type="#_x0000_t202" id="docshape257" filled="false" stroked="false">
                  <v:textbox inset="0,0,0,0">
                    <w:txbxContent>
                      <w:p>
                        <w:pPr>
                          <w:spacing w:line="180" w:lineRule="exact" w:before="0"/>
                          <w:ind w:left="0" w:right="0" w:firstLine="0"/>
                          <w:jc w:val="left"/>
                          <w:rPr>
                            <w:rFonts w:ascii="Calibri"/>
                            <w:sz w:val="18"/>
                          </w:rPr>
                        </w:pPr>
                        <w:r>
                          <w:rPr>
                            <w:rFonts w:ascii="Calibri"/>
                            <w:color w:val="585858"/>
                            <w:spacing w:val="-2"/>
                            <w:sz w:val="18"/>
                          </w:rPr>
                          <w:t>Total</w:t>
                        </w:r>
                      </w:p>
                    </w:txbxContent>
                  </v:textbox>
                  <w10:wrap type="none"/>
                </v:shape>
                <v:shape style="position:absolute;left:2907;top:1213;width:294;height:1972" type="#_x0000_t202" id="docshape258" filled="false" stroked="false">
                  <v:textbox inset="0,0,0,0">
                    <w:txbxContent>
                      <w:p>
                        <w:pPr>
                          <w:spacing w:line="183" w:lineRule="exact" w:before="0"/>
                          <w:ind w:left="0" w:right="0" w:firstLine="0"/>
                          <w:jc w:val="left"/>
                          <w:rPr>
                            <w:rFonts w:ascii="Calibri"/>
                            <w:sz w:val="18"/>
                          </w:rPr>
                        </w:pPr>
                        <w:r>
                          <w:rPr>
                            <w:rFonts w:ascii="Calibri"/>
                            <w:color w:val="585858"/>
                            <w:spacing w:val="-5"/>
                            <w:sz w:val="18"/>
                          </w:rPr>
                          <w:t>400</w:t>
                        </w:r>
                      </w:p>
                      <w:p>
                        <w:pPr>
                          <w:spacing w:before="138"/>
                          <w:ind w:left="0" w:right="0" w:firstLine="0"/>
                          <w:jc w:val="left"/>
                          <w:rPr>
                            <w:rFonts w:ascii="Calibri"/>
                            <w:sz w:val="18"/>
                          </w:rPr>
                        </w:pPr>
                        <w:r>
                          <w:rPr>
                            <w:rFonts w:ascii="Calibri"/>
                            <w:color w:val="585858"/>
                            <w:spacing w:val="-5"/>
                            <w:sz w:val="18"/>
                          </w:rPr>
                          <w:t>350</w:t>
                        </w:r>
                      </w:p>
                      <w:p>
                        <w:pPr>
                          <w:spacing w:before="139"/>
                          <w:ind w:left="0" w:right="0" w:firstLine="0"/>
                          <w:jc w:val="left"/>
                          <w:rPr>
                            <w:rFonts w:ascii="Calibri"/>
                            <w:sz w:val="18"/>
                          </w:rPr>
                        </w:pPr>
                        <w:r>
                          <w:rPr>
                            <w:rFonts w:ascii="Calibri"/>
                            <w:color w:val="585858"/>
                            <w:spacing w:val="-5"/>
                            <w:sz w:val="18"/>
                          </w:rPr>
                          <w:t>300</w:t>
                        </w:r>
                      </w:p>
                      <w:p>
                        <w:pPr>
                          <w:spacing w:before="138"/>
                          <w:ind w:left="0" w:right="0" w:firstLine="0"/>
                          <w:jc w:val="left"/>
                          <w:rPr>
                            <w:rFonts w:ascii="Calibri"/>
                            <w:sz w:val="18"/>
                          </w:rPr>
                        </w:pPr>
                        <w:r>
                          <w:rPr>
                            <w:rFonts w:ascii="Calibri"/>
                            <w:color w:val="585858"/>
                            <w:spacing w:val="-5"/>
                            <w:sz w:val="18"/>
                          </w:rPr>
                          <w:t>250</w:t>
                        </w:r>
                      </w:p>
                      <w:p>
                        <w:pPr>
                          <w:spacing w:before="139"/>
                          <w:ind w:left="0" w:right="0" w:firstLine="0"/>
                          <w:jc w:val="left"/>
                          <w:rPr>
                            <w:rFonts w:ascii="Calibri"/>
                            <w:sz w:val="18"/>
                          </w:rPr>
                        </w:pPr>
                        <w:r>
                          <w:rPr>
                            <w:rFonts w:ascii="Calibri"/>
                            <w:color w:val="585858"/>
                            <w:spacing w:val="-5"/>
                            <w:sz w:val="18"/>
                          </w:rPr>
                          <w:t>200</w:t>
                        </w:r>
                      </w:p>
                      <w:p>
                        <w:pPr>
                          <w:spacing w:line="216" w:lineRule="exact" w:before="138"/>
                          <w:ind w:left="0" w:right="0" w:firstLine="0"/>
                          <w:jc w:val="left"/>
                          <w:rPr>
                            <w:rFonts w:ascii="Calibri"/>
                            <w:sz w:val="18"/>
                          </w:rPr>
                        </w:pPr>
                        <w:r>
                          <w:rPr>
                            <w:rFonts w:ascii="Calibri"/>
                            <w:color w:val="585858"/>
                            <w:spacing w:val="-5"/>
                            <w:sz w:val="18"/>
                          </w:rPr>
                          <w:t>150</w:t>
                        </w:r>
                      </w:p>
                    </w:txbxContent>
                  </v:textbox>
                  <w10:wrap type="none"/>
                </v:shape>
                <v:shape style="position:absolute;left:5445;top:761;width:1038;height:281" type="#_x0000_t202" id="docshape259" filled="false" stroked="false">
                  <v:textbox inset="0,0,0,0">
                    <w:txbxContent>
                      <w:p>
                        <w:pPr>
                          <w:spacing w:line="281" w:lineRule="exact" w:before="0"/>
                          <w:ind w:left="0" w:right="0" w:firstLine="0"/>
                          <w:jc w:val="left"/>
                          <w:rPr>
                            <w:rFonts w:ascii="Calibri"/>
                            <w:sz w:val="28"/>
                          </w:rPr>
                        </w:pPr>
                        <w:r>
                          <w:rPr>
                            <w:rFonts w:ascii="Calibri"/>
                            <w:color w:val="585858"/>
                            <w:sz w:val="28"/>
                          </w:rPr>
                          <w:t>Exit</w:t>
                        </w:r>
                        <w:r>
                          <w:rPr>
                            <w:rFonts w:ascii="Calibri"/>
                            <w:color w:val="585858"/>
                            <w:spacing w:val="-2"/>
                            <w:sz w:val="28"/>
                          </w:rPr>
                          <w:t> </w:t>
                        </w:r>
                        <w:r>
                          <w:rPr>
                            <w:rFonts w:ascii="Calibri"/>
                            <w:color w:val="585858"/>
                            <w:spacing w:val="-4"/>
                            <w:sz w:val="28"/>
                          </w:rPr>
                          <w:t>Type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1952">
                <wp:simplePos x="0" y="0"/>
                <wp:positionH relativeFrom="page">
                  <wp:posOffset>1666113</wp:posOffset>
                </wp:positionH>
                <wp:positionV relativeFrom="paragraph">
                  <wp:posOffset>1072147</wp:posOffset>
                </wp:positionV>
                <wp:extent cx="152400" cy="132524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152400" cy="1325245"/>
                        </a:xfrm>
                        <a:prstGeom prst="rect">
                          <a:avLst/>
                        </a:prstGeom>
                      </wps:spPr>
                      <wps:txbx>
                        <w:txbxContent>
                          <w:p>
                            <w:pPr>
                              <w:spacing w:line="223" w:lineRule="exact" w:before="0"/>
                              <w:ind w:left="20" w:right="0" w:firstLine="0"/>
                              <w:jc w:val="left"/>
                              <w:rPr>
                                <w:rFonts w:ascii="Calibri"/>
                                <w:sz w:val="20"/>
                              </w:rPr>
                            </w:pPr>
                            <w:r>
                              <w:rPr>
                                <w:rFonts w:ascii="Calibri"/>
                                <w:color w:val="585858"/>
                                <w:sz w:val="20"/>
                              </w:rPr>
                              <w:t>Count</w:t>
                            </w:r>
                            <w:r>
                              <w:rPr>
                                <w:rFonts w:ascii="Calibri"/>
                                <w:color w:val="585858"/>
                                <w:spacing w:val="-6"/>
                                <w:sz w:val="20"/>
                              </w:rPr>
                              <w:t> </w:t>
                            </w:r>
                            <w:r>
                              <w:rPr>
                                <w:rFonts w:ascii="Calibri"/>
                                <w:color w:val="585858"/>
                                <w:sz w:val="20"/>
                              </w:rPr>
                              <w:t>by</w:t>
                            </w:r>
                            <w:r>
                              <w:rPr>
                                <w:rFonts w:ascii="Calibri"/>
                                <w:color w:val="585858"/>
                                <w:spacing w:val="-8"/>
                                <w:sz w:val="20"/>
                              </w:rPr>
                              <w:t> </w:t>
                            </w:r>
                            <w:r>
                              <w:rPr>
                                <w:rFonts w:ascii="Calibri"/>
                                <w:color w:val="585858"/>
                                <w:sz w:val="20"/>
                              </w:rPr>
                              <w:t>Company</w:t>
                            </w:r>
                            <w:r>
                              <w:rPr>
                                <w:rFonts w:ascii="Calibri"/>
                                <w:color w:val="585858"/>
                                <w:spacing w:val="-6"/>
                                <w:sz w:val="20"/>
                              </w:rPr>
                              <w:t> </w:t>
                            </w:r>
                            <w:r>
                              <w:rPr>
                                <w:rFonts w:ascii="Calibri"/>
                                <w:color w:val="585858"/>
                                <w:spacing w:val="-4"/>
                                <w:sz w:val="20"/>
                              </w:rPr>
                              <w:t>name</w:t>
                            </w:r>
                          </w:p>
                        </w:txbxContent>
                      </wps:txbx>
                      <wps:bodyPr wrap="square" lIns="0" tIns="0" rIns="0" bIns="0" rtlCol="0" vert="vert270">
                        <a:noAutofit/>
                      </wps:bodyPr>
                    </wps:wsp>
                  </a:graphicData>
                </a:graphic>
              </wp:anchor>
            </w:drawing>
          </mc:Choice>
          <mc:Fallback>
            <w:pict>
              <v:shape style="position:absolute;margin-left:131.190002pt;margin-top:84.421074pt;width:12pt;height:104.35pt;mso-position-horizontal-relative:page;mso-position-vertical-relative:paragraph;z-index:15741952" type="#_x0000_t202" id="docshape260"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color w:val="585858"/>
                          <w:sz w:val="20"/>
                        </w:rPr>
                        <w:t>Count</w:t>
                      </w:r>
                      <w:r>
                        <w:rPr>
                          <w:rFonts w:ascii="Calibri"/>
                          <w:color w:val="585858"/>
                          <w:spacing w:val="-6"/>
                          <w:sz w:val="20"/>
                        </w:rPr>
                        <w:t> </w:t>
                      </w:r>
                      <w:r>
                        <w:rPr>
                          <w:rFonts w:ascii="Calibri"/>
                          <w:color w:val="585858"/>
                          <w:sz w:val="20"/>
                        </w:rPr>
                        <w:t>by</w:t>
                      </w:r>
                      <w:r>
                        <w:rPr>
                          <w:rFonts w:ascii="Calibri"/>
                          <w:color w:val="585858"/>
                          <w:spacing w:val="-8"/>
                          <w:sz w:val="20"/>
                        </w:rPr>
                        <w:t> </w:t>
                      </w:r>
                      <w:r>
                        <w:rPr>
                          <w:rFonts w:ascii="Calibri"/>
                          <w:color w:val="585858"/>
                          <w:sz w:val="20"/>
                        </w:rPr>
                        <w:t>Company</w:t>
                      </w:r>
                      <w:r>
                        <w:rPr>
                          <w:rFonts w:ascii="Calibri"/>
                          <w:color w:val="585858"/>
                          <w:spacing w:val="-6"/>
                          <w:sz w:val="20"/>
                        </w:rPr>
                        <w:t> </w:t>
                      </w:r>
                      <w:r>
                        <w:rPr>
                          <w:rFonts w:ascii="Calibri"/>
                          <w:color w:val="585858"/>
                          <w:spacing w:val="-4"/>
                          <w:sz w:val="20"/>
                        </w:rPr>
                        <w:t>name</w:t>
                      </w:r>
                    </w:p>
                  </w:txbxContent>
                </v:textbox>
                <w10:wrap type="none"/>
              </v:shape>
            </w:pict>
          </mc:Fallback>
        </mc:AlternateContent>
      </w:r>
      <w:bookmarkStart w:name="_bookmark57" w:id="58"/>
      <w:bookmarkEnd w:id="58"/>
      <w:r>
        <w:rPr>
          <w:b w:val="0"/>
        </w:rPr>
      </w:r>
      <w:r>
        <w:rPr>
          <w:spacing w:val="-2"/>
        </w:rPr>
        <w:t>Sector-Wise</w:t>
      </w:r>
      <w:r>
        <w:rPr>
          <w:spacing w:val="3"/>
        </w:rPr>
        <w:t> </w:t>
      </w:r>
      <w:r>
        <w:rPr>
          <w:spacing w:val="-4"/>
        </w:rPr>
        <w:t>Exit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25"/>
        <w:rPr>
          <w:b/>
        </w:rPr>
      </w:pPr>
    </w:p>
    <w:p>
      <w:pPr>
        <w:spacing w:before="0"/>
        <w:ind w:left="2" w:right="1" w:firstLine="0"/>
        <w:jc w:val="center"/>
        <w:rPr>
          <w:i/>
          <w:sz w:val="18"/>
        </w:rPr>
      </w:pPr>
      <w:r>
        <w:rPr>
          <w:i/>
          <w:color w:val="44536A"/>
          <w:sz w:val="18"/>
        </w:rPr>
        <w:t>Figure</w:t>
      </w:r>
      <w:r>
        <w:rPr>
          <w:i/>
          <w:color w:val="44536A"/>
          <w:spacing w:val="-8"/>
          <w:sz w:val="18"/>
        </w:rPr>
        <w:t> </w:t>
      </w:r>
      <w:r>
        <w:rPr>
          <w:i/>
          <w:color w:val="44536A"/>
          <w:sz w:val="18"/>
        </w:rPr>
        <w:t>11:</w:t>
      </w:r>
      <w:r>
        <w:rPr>
          <w:i/>
          <w:color w:val="44536A"/>
          <w:spacing w:val="-9"/>
          <w:sz w:val="18"/>
        </w:rPr>
        <w:t> </w:t>
      </w:r>
      <w:r>
        <w:rPr>
          <w:i/>
          <w:color w:val="44536A"/>
          <w:sz w:val="18"/>
        </w:rPr>
        <w:t>Sector</w:t>
      </w:r>
      <w:r>
        <w:rPr>
          <w:i/>
          <w:color w:val="44536A"/>
          <w:spacing w:val="-9"/>
          <w:sz w:val="18"/>
        </w:rPr>
        <w:t> </w:t>
      </w:r>
      <w:r>
        <w:rPr>
          <w:i/>
          <w:color w:val="44536A"/>
          <w:sz w:val="18"/>
        </w:rPr>
        <w:t>Wise</w:t>
      </w:r>
      <w:r>
        <w:rPr>
          <w:i/>
          <w:color w:val="44536A"/>
          <w:spacing w:val="-8"/>
          <w:sz w:val="18"/>
        </w:rPr>
        <w:t> </w:t>
      </w:r>
      <w:r>
        <w:rPr>
          <w:i/>
          <w:color w:val="44536A"/>
          <w:spacing w:val="-2"/>
          <w:sz w:val="18"/>
        </w:rPr>
        <w:t>Exist</w:t>
      </w:r>
    </w:p>
    <w:p>
      <w:pPr>
        <w:pStyle w:val="BodyText"/>
        <w:spacing w:line="360" w:lineRule="auto" w:before="198"/>
        <w:ind w:left="23" w:right="20"/>
        <w:jc w:val="both"/>
      </w:pPr>
      <w:r>
        <w:rPr/>
        <w:t>Sector-level</w:t>
      </w:r>
      <w:r>
        <w:rPr>
          <w:spacing w:val="-14"/>
        </w:rPr>
        <w:t> </w:t>
      </w:r>
      <w:r>
        <w:rPr/>
        <w:t>exit</w:t>
      </w:r>
      <w:r>
        <w:rPr>
          <w:spacing w:val="-13"/>
        </w:rPr>
        <w:t> </w:t>
      </w:r>
      <w:r>
        <w:rPr/>
        <w:t>performance</w:t>
      </w:r>
      <w:r>
        <w:rPr>
          <w:spacing w:val="-15"/>
        </w:rPr>
        <w:t> </w:t>
      </w:r>
      <w:r>
        <w:rPr/>
        <w:t>shows</w:t>
      </w:r>
      <w:r>
        <w:rPr>
          <w:spacing w:val="-14"/>
        </w:rPr>
        <w:t> </w:t>
      </w:r>
      <w:r>
        <w:rPr/>
        <w:t>the</w:t>
      </w:r>
      <w:r>
        <w:rPr>
          <w:spacing w:val="-15"/>
        </w:rPr>
        <w:t> </w:t>
      </w:r>
      <w:r>
        <w:rPr/>
        <w:t>match</w:t>
      </w:r>
      <w:r>
        <w:rPr>
          <w:spacing w:val="-14"/>
        </w:rPr>
        <w:t> </w:t>
      </w:r>
      <w:r>
        <w:rPr/>
        <w:t>between</w:t>
      </w:r>
      <w:r>
        <w:rPr>
          <w:spacing w:val="-14"/>
        </w:rPr>
        <w:t> </w:t>
      </w:r>
      <w:r>
        <w:rPr/>
        <w:t>investment</w:t>
      </w:r>
      <w:r>
        <w:rPr>
          <w:spacing w:val="-14"/>
        </w:rPr>
        <w:t> </w:t>
      </w:r>
      <w:r>
        <w:rPr/>
        <w:t>concentration</w:t>
      </w:r>
      <w:r>
        <w:rPr>
          <w:spacing w:val="-14"/>
        </w:rPr>
        <w:t> </w:t>
      </w:r>
      <w:r>
        <w:rPr/>
        <w:t>and</w:t>
      </w:r>
      <w:r>
        <w:rPr>
          <w:spacing w:val="-14"/>
        </w:rPr>
        <w:t> </w:t>
      </w:r>
      <w:r>
        <w:rPr/>
        <w:t>liquidity results. Technology, Industrials and Consumer Cyclicals show the largest exit frequencies, which</w:t>
      </w:r>
      <w:r>
        <w:rPr>
          <w:spacing w:val="-7"/>
        </w:rPr>
        <w:t> </w:t>
      </w:r>
      <w:r>
        <w:rPr/>
        <w:t>is</w:t>
      </w:r>
      <w:r>
        <w:rPr>
          <w:spacing w:val="-6"/>
        </w:rPr>
        <w:t> </w:t>
      </w:r>
      <w:r>
        <w:rPr/>
        <w:t>in</w:t>
      </w:r>
      <w:r>
        <w:rPr>
          <w:spacing w:val="-6"/>
        </w:rPr>
        <w:t> </w:t>
      </w:r>
      <w:r>
        <w:rPr/>
        <w:t>line</w:t>
      </w:r>
      <w:r>
        <w:rPr>
          <w:spacing w:val="-8"/>
        </w:rPr>
        <w:t> </w:t>
      </w:r>
      <w:r>
        <w:rPr/>
        <w:t>with</w:t>
      </w:r>
      <w:r>
        <w:rPr>
          <w:spacing w:val="-6"/>
        </w:rPr>
        <w:t> </w:t>
      </w:r>
      <w:r>
        <w:rPr/>
        <w:t>their</w:t>
      </w:r>
      <w:r>
        <w:rPr>
          <w:spacing w:val="-8"/>
        </w:rPr>
        <w:t> </w:t>
      </w:r>
      <w:r>
        <w:rPr/>
        <w:t>leadership</w:t>
      </w:r>
      <w:r>
        <w:rPr>
          <w:spacing w:val="-7"/>
        </w:rPr>
        <w:t> </w:t>
      </w:r>
      <w:r>
        <w:rPr/>
        <w:t>in</w:t>
      </w:r>
      <w:r>
        <w:rPr>
          <w:spacing w:val="-6"/>
        </w:rPr>
        <w:t> </w:t>
      </w:r>
      <w:r>
        <w:rPr/>
        <w:t>investment</w:t>
      </w:r>
      <w:r>
        <w:rPr>
          <w:spacing w:val="-4"/>
        </w:rPr>
        <w:t> </w:t>
      </w:r>
      <w:r>
        <w:rPr/>
        <w:t>allocation</w:t>
      </w:r>
      <w:r>
        <w:rPr>
          <w:spacing w:val="-7"/>
        </w:rPr>
        <w:t> </w:t>
      </w:r>
      <w:r>
        <w:rPr/>
        <w:t>and</w:t>
      </w:r>
      <w:r>
        <w:rPr>
          <w:spacing w:val="-7"/>
        </w:rPr>
        <w:t> </w:t>
      </w:r>
      <w:r>
        <w:rPr/>
        <w:t>maturity</w:t>
      </w:r>
      <w:r>
        <w:rPr>
          <w:spacing w:val="-7"/>
        </w:rPr>
        <w:t> </w:t>
      </w:r>
      <w:r>
        <w:rPr/>
        <w:t>cycles.</w:t>
      </w:r>
      <w:r>
        <w:rPr>
          <w:spacing w:val="-12"/>
        </w:rPr>
        <w:t> </w:t>
      </w:r>
      <w:r>
        <w:rPr/>
        <w:t>Technology generates substantial exit volumes because of the scalability of their business models, quick valuation accretion and enhanced capital access in support of shorter investment horizons. Industrials</w:t>
      </w:r>
      <w:r>
        <w:rPr>
          <w:spacing w:val="-15"/>
        </w:rPr>
        <w:t> </w:t>
      </w:r>
      <w:r>
        <w:rPr/>
        <w:t>benefit</w:t>
      </w:r>
      <w:r>
        <w:rPr>
          <w:spacing w:val="-15"/>
        </w:rPr>
        <w:t> </w:t>
      </w:r>
      <w:r>
        <w:rPr/>
        <w:t>indirectly</w:t>
      </w:r>
      <w:r>
        <w:rPr>
          <w:spacing w:val="-15"/>
        </w:rPr>
        <w:t> </w:t>
      </w:r>
      <w:r>
        <w:rPr/>
        <w:t>from</w:t>
      </w:r>
      <w:r>
        <w:rPr>
          <w:spacing w:val="-15"/>
        </w:rPr>
        <w:t> </w:t>
      </w:r>
      <w:r>
        <w:rPr/>
        <w:t>IBC</w:t>
      </w:r>
      <w:r>
        <w:rPr>
          <w:spacing w:val="-15"/>
        </w:rPr>
        <w:t> </w:t>
      </w:r>
      <w:r>
        <w:rPr/>
        <w:t>linked</w:t>
      </w:r>
      <w:r>
        <w:rPr>
          <w:spacing w:val="-15"/>
        </w:rPr>
        <w:t> </w:t>
      </w:r>
      <w:r>
        <w:rPr/>
        <w:t>resolution</w:t>
      </w:r>
      <w:r>
        <w:rPr>
          <w:spacing w:val="-15"/>
        </w:rPr>
        <w:t> </w:t>
      </w:r>
      <w:r>
        <w:rPr/>
        <w:t>pathways</w:t>
      </w:r>
      <w:r>
        <w:rPr>
          <w:spacing w:val="-15"/>
        </w:rPr>
        <w:t> </w:t>
      </w:r>
      <w:r>
        <w:rPr/>
        <w:t>and</w:t>
      </w:r>
      <w:r>
        <w:rPr>
          <w:spacing w:val="-15"/>
        </w:rPr>
        <w:t> </w:t>
      </w:r>
      <w:r>
        <w:rPr/>
        <w:t>consolidation</w:t>
      </w:r>
      <w:r>
        <w:rPr>
          <w:spacing w:val="-15"/>
        </w:rPr>
        <w:t> </w:t>
      </w:r>
      <w:r>
        <w:rPr/>
        <w:t>dynamics, to allow turnaround driven exits. Consumer Cyclicals represent stable demand fundamentals, as well as diversified buyer interest.</w:t>
      </w:r>
    </w:p>
    <w:p>
      <w:pPr>
        <w:pStyle w:val="BodyText"/>
        <w:spacing w:line="360" w:lineRule="auto" w:before="162"/>
        <w:ind w:left="23" w:right="19"/>
        <w:jc w:val="both"/>
      </w:pPr>
      <w:r>
        <w:rPr/>
        <w:t>On the other hand, Real Estate, Energy and Basic Materials have comparatively low exit incidence, indicating structural illiquidity, high capital intensity and a long gestation period. These sectors represent challenges in predictable exit time and value transparency which reinforce investor caution. The sectoral exit patterns therefore reflect a segmentation of liquidity</w:t>
      </w:r>
      <w:r>
        <w:rPr>
          <w:spacing w:val="-8"/>
        </w:rPr>
        <w:t> </w:t>
      </w:r>
      <w:r>
        <w:rPr/>
        <w:t>in</w:t>
      </w:r>
      <w:r>
        <w:rPr>
          <w:spacing w:val="-10"/>
        </w:rPr>
        <w:t> </w:t>
      </w:r>
      <w:r>
        <w:rPr/>
        <w:t>a</w:t>
      </w:r>
      <w:r>
        <w:rPr>
          <w:spacing w:val="-9"/>
        </w:rPr>
        <w:t> </w:t>
      </w:r>
      <w:r>
        <w:rPr/>
        <w:t>market</w:t>
      </w:r>
      <w:r>
        <w:rPr>
          <w:spacing w:val="-8"/>
        </w:rPr>
        <w:t> </w:t>
      </w:r>
      <w:r>
        <w:rPr/>
        <w:t>where</w:t>
      </w:r>
      <w:r>
        <w:rPr>
          <w:spacing w:val="-10"/>
        </w:rPr>
        <w:t> </w:t>
      </w:r>
      <w:r>
        <w:rPr/>
        <w:t>exit</w:t>
      </w:r>
      <w:r>
        <w:rPr>
          <w:spacing w:val="-8"/>
        </w:rPr>
        <w:t> </w:t>
      </w:r>
      <w:r>
        <w:rPr/>
        <w:t>efficiency</w:t>
      </w:r>
      <w:r>
        <w:rPr>
          <w:spacing w:val="-8"/>
        </w:rPr>
        <w:t> </w:t>
      </w:r>
      <w:r>
        <w:rPr/>
        <w:t>is</w:t>
      </w:r>
      <w:r>
        <w:rPr>
          <w:spacing w:val="-8"/>
        </w:rPr>
        <w:t> </w:t>
      </w:r>
      <w:r>
        <w:rPr/>
        <w:t>strongest</w:t>
      </w:r>
      <w:r>
        <w:rPr>
          <w:spacing w:val="-8"/>
        </w:rPr>
        <w:t> </w:t>
      </w:r>
      <w:r>
        <w:rPr/>
        <w:t>in</w:t>
      </w:r>
      <w:r>
        <w:rPr>
          <w:spacing w:val="-8"/>
        </w:rPr>
        <w:t> </w:t>
      </w:r>
      <w:r>
        <w:rPr/>
        <w:t>sectors</w:t>
      </w:r>
      <w:r>
        <w:rPr>
          <w:spacing w:val="-8"/>
        </w:rPr>
        <w:t> </w:t>
      </w:r>
      <w:r>
        <w:rPr/>
        <w:t>that</w:t>
      </w:r>
      <w:r>
        <w:rPr>
          <w:spacing w:val="-8"/>
        </w:rPr>
        <w:t> </w:t>
      </w:r>
      <w:r>
        <w:rPr/>
        <w:t>are</w:t>
      </w:r>
      <w:r>
        <w:rPr>
          <w:spacing w:val="-10"/>
        </w:rPr>
        <w:t> </w:t>
      </w:r>
      <w:r>
        <w:rPr/>
        <w:t>aligned</w:t>
      </w:r>
      <w:r>
        <w:rPr>
          <w:spacing w:val="-8"/>
        </w:rPr>
        <w:t> </w:t>
      </w:r>
      <w:r>
        <w:rPr/>
        <w:t>to</w:t>
      </w:r>
      <w:r>
        <w:rPr>
          <w:spacing w:val="-8"/>
        </w:rPr>
        <w:t> </w:t>
      </w:r>
      <w:r>
        <w:rPr/>
        <w:t>governance transparency and scalable economic.</w:t>
      </w:r>
    </w:p>
    <w:p>
      <w:pPr>
        <w:pStyle w:val="BodyText"/>
        <w:spacing w:after="0" w:line="360" w:lineRule="auto"/>
        <w:jc w:val="both"/>
        <w:sectPr>
          <w:pgSz w:w="11910" w:h="16840"/>
          <w:pgMar w:header="0" w:footer="1009" w:top="1360" w:bottom="1200" w:left="1417" w:right="1417"/>
        </w:sectPr>
      </w:pPr>
    </w:p>
    <w:p>
      <w:pPr>
        <w:pStyle w:val="Heading2"/>
        <w:numPr>
          <w:ilvl w:val="1"/>
          <w:numId w:val="5"/>
        </w:numPr>
        <w:tabs>
          <w:tab w:pos="411" w:val="left" w:leader="none"/>
        </w:tabs>
        <w:spacing w:line="240" w:lineRule="auto" w:before="61" w:after="0"/>
        <w:ind w:left="411" w:right="0" w:hanging="388"/>
        <w:jc w:val="left"/>
      </w:pPr>
      <w:r>
        <w:rPr/>
        <mc:AlternateContent>
          <mc:Choice Requires="wps">
            <w:drawing>
              <wp:anchor distT="0" distB="0" distL="0" distR="0" allowOverlap="1" layoutInCell="1" locked="0" behindDoc="0" simplePos="0" relativeHeight="15742464">
                <wp:simplePos x="0" y="0"/>
                <wp:positionH relativeFrom="page">
                  <wp:posOffset>1336992</wp:posOffset>
                </wp:positionH>
                <wp:positionV relativeFrom="paragraph">
                  <wp:posOffset>369887</wp:posOffset>
                </wp:positionV>
                <wp:extent cx="4876800" cy="4067175"/>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4876800" cy="4067175"/>
                          <a:chExt cx="4876800" cy="4067175"/>
                        </a:xfrm>
                      </wpg:grpSpPr>
                      <wps:wsp>
                        <wps:cNvPr id="274" name="Graphic 274"/>
                        <wps:cNvSpPr/>
                        <wps:spPr>
                          <a:xfrm>
                            <a:off x="636333" y="475805"/>
                            <a:ext cx="3583304" cy="2637790"/>
                          </a:xfrm>
                          <a:custGeom>
                            <a:avLst/>
                            <a:gdLst/>
                            <a:ahLst/>
                            <a:cxnLst/>
                            <a:rect l="l" t="t" r="r" b="b"/>
                            <a:pathLst>
                              <a:path w="3583304" h="2637790">
                                <a:moveTo>
                                  <a:pt x="3520694" y="2637662"/>
                                </a:moveTo>
                                <a:lnTo>
                                  <a:pt x="3582797" y="2637662"/>
                                </a:lnTo>
                              </a:path>
                              <a:path w="3583304" h="2637790">
                                <a:moveTo>
                                  <a:pt x="3162554" y="2637662"/>
                                </a:moveTo>
                                <a:lnTo>
                                  <a:pt x="3285998" y="2637662"/>
                                </a:lnTo>
                              </a:path>
                              <a:path w="3583304" h="2637790">
                                <a:moveTo>
                                  <a:pt x="655574" y="2637662"/>
                                </a:moveTo>
                                <a:lnTo>
                                  <a:pt x="777494" y="2637662"/>
                                </a:lnTo>
                              </a:path>
                              <a:path w="3583304" h="2637790">
                                <a:moveTo>
                                  <a:pt x="1371853" y="2637662"/>
                                </a:moveTo>
                                <a:lnTo>
                                  <a:pt x="1495298" y="2637662"/>
                                </a:lnTo>
                              </a:path>
                              <a:path w="3583304" h="2637790">
                                <a:moveTo>
                                  <a:pt x="2626106" y="2637662"/>
                                </a:moveTo>
                                <a:lnTo>
                                  <a:pt x="2748026" y="2637662"/>
                                </a:lnTo>
                              </a:path>
                              <a:path w="3583304" h="2637790">
                                <a:moveTo>
                                  <a:pt x="475742" y="2637662"/>
                                </a:moveTo>
                                <a:lnTo>
                                  <a:pt x="599186" y="2637662"/>
                                </a:lnTo>
                              </a:path>
                              <a:path w="3583304" h="2637790">
                                <a:moveTo>
                                  <a:pt x="2267966" y="2637662"/>
                                </a:moveTo>
                                <a:lnTo>
                                  <a:pt x="2389886" y="2637662"/>
                                </a:lnTo>
                              </a:path>
                              <a:path w="3583304" h="2637790">
                                <a:moveTo>
                                  <a:pt x="1909826" y="2637662"/>
                                </a:moveTo>
                                <a:lnTo>
                                  <a:pt x="2031746" y="2637662"/>
                                </a:lnTo>
                              </a:path>
                              <a:path w="3583304" h="2637790">
                                <a:moveTo>
                                  <a:pt x="2984246" y="2637662"/>
                                </a:moveTo>
                                <a:lnTo>
                                  <a:pt x="3106166" y="2637662"/>
                                </a:lnTo>
                              </a:path>
                              <a:path w="3583304" h="2637790">
                                <a:moveTo>
                                  <a:pt x="1729994" y="2637662"/>
                                </a:moveTo>
                                <a:lnTo>
                                  <a:pt x="1853438" y="2637662"/>
                                </a:lnTo>
                              </a:path>
                              <a:path w="3583304" h="2637790">
                                <a:moveTo>
                                  <a:pt x="2804414" y="2637662"/>
                                </a:moveTo>
                                <a:lnTo>
                                  <a:pt x="2927858" y="2637662"/>
                                </a:lnTo>
                              </a:path>
                              <a:path w="3583304" h="2637790">
                                <a:moveTo>
                                  <a:pt x="3342386" y="2637662"/>
                                </a:moveTo>
                                <a:lnTo>
                                  <a:pt x="3465829" y="2637662"/>
                                </a:lnTo>
                              </a:path>
                              <a:path w="3583304" h="2637790">
                                <a:moveTo>
                                  <a:pt x="2446274" y="2637662"/>
                                </a:moveTo>
                                <a:lnTo>
                                  <a:pt x="2569718" y="2637662"/>
                                </a:lnTo>
                              </a:path>
                              <a:path w="3583304" h="2637790">
                                <a:moveTo>
                                  <a:pt x="117601" y="2637662"/>
                                </a:moveTo>
                                <a:lnTo>
                                  <a:pt x="241046" y="2637662"/>
                                </a:lnTo>
                              </a:path>
                              <a:path w="3583304" h="2637790">
                                <a:moveTo>
                                  <a:pt x="0" y="2637662"/>
                                </a:moveTo>
                                <a:lnTo>
                                  <a:pt x="61213" y="2637662"/>
                                </a:lnTo>
                              </a:path>
                              <a:path w="3583304" h="2637790">
                                <a:moveTo>
                                  <a:pt x="833882" y="2637662"/>
                                </a:moveTo>
                                <a:lnTo>
                                  <a:pt x="957326" y="2637662"/>
                                </a:lnTo>
                              </a:path>
                              <a:path w="3583304" h="2637790">
                                <a:moveTo>
                                  <a:pt x="297434" y="2637662"/>
                                </a:moveTo>
                                <a:lnTo>
                                  <a:pt x="419354" y="2637662"/>
                                </a:lnTo>
                              </a:path>
                              <a:path w="3583304" h="2637790">
                                <a:moveTo>
                                  <a:pt x="1550162" y="2637662"/>
                                </a:moveTo>
                                <a:lnTo>
                                  <a:pt x="1673606" y="2637662"/>
                                </a:lnTo>
                              </a:path>
                              <a:path w="3583304" h="2637790">
                                <a:moveTo>
                                  <a:pt x="2088134" y="2637662"/>
                                </a:moveTo>
                                <a:lnTo>
                                  <a:pt x="2211578" y="2637662"/>
                                </a:lnTo>
                              </a:path>
                              <a:path w="3583304" h="2637790">
                                <a:moveTo>
                                  <a:pt x="1192022" y="2637662"/>
                                </a:moveTo>
                                <a:lnTo>
                                  <a:pt x="1315465" y="2637662"/>
                                </a:lnTo>
                              </a:path>
                              <a:path w="3583304" h="2637790">
                                <a:moveTo>
                                  <a:pt x="1013713" y="2637662"/>
                                </a:moveTo>
                                <a:lnTo>
                                  <a:pt x="1135634" y="2637662"/>
                                </a:lnTo>
                              </a:path>
                              <a:path w="3583304" h="2637790">
                                <a:moveTo>
                                  <a:pt x="2446274" y="2345054"/>
                                </a:moveTo>
                                <a:lnTo>
                                  <a:pt x="2569718" y="2345054"/>
                                </a:lnTo>
                              </a:path>
                              <a:path w="3583304" h="2637790">
                                <a:moveTo>
                                  <a:pt x="3520694" y="2345054"/>
                                </a:moveTo>
                                <a:lnTo>
                                  <a:pt x="3582797" y="2345054"/>
                                </a:lnTo>
                              </a:path>
                              <a:path w="3583304" h="2637790">
                                <a:moveTo>
                                  <a:pt x="117601" y="2345054"/>
                                </a:moveTo>
                                <a:lnTo>
                                  <a:pt x="419354" y="2345054"/>
                                </a:lnTo>
                              </a:path>
                              <a:path w="3583304" h="2637790">
                                <a:moveTo>
                                  <a:pt x="1013713" y="2345054"/>
                                </a:moveTo>
                                <a:lnTo>
                                  <a:pt x="1135634" y="2345054"/>
                                </a:lnTo>
                              </a:path>
                              <a:path w="3583304" h="2637790">
                                <a:moveTo>
                                  <a:pt x="2267966" y="2345054"/>
                                </a:moveTo>
                                <a:lnTo>
                                  <a:pt x="2389886" y="2345054"/>
                                </a:lnTo>
                              </a:path>
                              <a:path w="3583304" h="2637790">
                                <a:moveTo>
                                  <a:pt x="1192022" y="2345054"/>
                                </a:moveTo>
                                <a:lnTo>
                                  <a:pt x="1315465" y="2345054"/>
                                </a:lnTo>
                              </a:path>
                              <a:path w="3583304" h="2637790">
                                <a:moveTo>
                                  <a:pt x="0" y="2345054"/>
                                </a:moveTo>
                                <a:lnTo>
                                  <a:pt x="61213" y="2345054"/>
                                </a:lnTo>
                              </a:path>
                              <a:path w="3583304" h="2637790">
                                <a:moveTo>
                                  <a:pt x="475742" y="2345054"/>
                                </a:moveTo>
                                <a:lnTo>
                                  <a:pt x="957326" y="2345054"/>
                                </a:lnTo>
                              </a:path>
                              <a:path w="3583304" h="2637790">
                                <a:moveTo>
                                  <a:pt x="2804414" y="2345054"/>
                                </a:moveTo>
                                <a:lnTo>
                                  <a:pt x="2927858" y="2345054"/>
                                </a:lnTo>
                              </a:path>
                              <a:path w="3583304" h="2637790">
                                <a:moveTo>
                                  <a:pt x="2088134" y="2345054"/>
                                </a:moveTo>
                                <a:lnTo>
                                  <a:pt x="2211578" y="2345054"/>
                                </a:lnTo>
                              </a:path>
                              <a:path w="3583304" h="2637790">
                                <a:moveTo>
                                  <a:pt x="2984246" y="2345054"/>
                                </a:moveTo>
                                <a:lnTo>
                                  <a:pt x="3106166" y="2345054"/>
                                </a:lnTo>
                              </a:path>
                              <a:path w="3583304" h="2637790">
                                <a:moveTo>
                                  <a:pt x="1371853" y="2345054"/>
                                </a:moveTo>
                                <a:lnTo>
                                  <a:pt x="1495298" y="2345054"/>
                                </a:lnTo>
                              </a:path>
                              <a:path w="3583304" h="2637790">
                                <a:moveTo>
                                  <a:pt x="1909826" y="2345054"/>
                                </a:moveTo>
                                <a:lnTo>
                                  <a:pt x="2031746" y="2345054"/>
                                </a:lnTo>
                              </a:path>
                              <a:path w="3583304" h="2637790">
                                <a:moveTo>
                                  <a:pt x="3162554" y="2345054"/>
                                </a:moveTo>
                                <a:lnTo>
                                  <a:pt x="3285998" y="2345054"/>
                                </a:lnTo>
                              </a:path>
                              <a:path w="3583304" h="2637790">
                                <a:moveTo>
                                  <a:pt x="2626106" y="2345054"/>
                                </a:moveTo>
                                <a:lnTo>
                                  <a:pt x="2748026" y="2345054"/>
                                </a:lnTo>
                              </a:path>
                              <a:path w="3583304" h="2637790">
                                <a:moveTo>
                                  <a:pt x="3342386" y="2345054"/>
                                </a:moveTo>
                                <a:lnTo>
                                  <a:pt x="3465829" y="2345054"/>
                                </a:lnTo>
                              </a:path>
                              <a:path w="3583304" h="2637790">
                                <a:moveTo>
                                  <a:pt x="1729994" y="2345054"/>
                                </a:moveTo>
                                <a:lnTo>
                                  <a:pt x="1853438" y="2345054"/>
                                </a:lnTo>
                              </a:path>
                              <a:path w="3583304" h="2637790">
                                <a:moveTo>
                                  <a:pt x="1550162" y="2345054"/>
                                </a:moveTo>
                                <a:lnTo>
                                  <a:pt x="1673606" y="2345054"/>
                                </a:lnTo>
                              </a:path>
                              <a:path w="3583304" h="2637790">
                                <a:moveTo>
                                  <a:pt x="1013713" y="2050923"/>
                                </a:moveTo>
                                <a:lnTo>
                                  <a:pt x="1495298" y="2050923"/>
                                </a:lnTo>
                              </a:path>
                              <a:path w="3583304" h="2637790">
                                <a:moveTo>
                                  <a:pt x="0" y="2050923"/>
                                </a:moveTo>
                                <a:lnTo>
                                  <a:pt x="419354" y="2050923"/>
                                </a:lnTo>
                              </a:path>
                              <a:path w="3583304" h="2637790">
                                <a:moveTo>
                                  <a:pt x="1729994" y="2050923"/>
                                </a:moveTo>
                                <a:lnTo>
                                  <a:pt x="1853438" y="2050923"/>
                                </a:lnTo>
                              </a:path>
                              <a:path w="3583304" h="2637790">
                                <a:moveTo>
                                  <a:pt x="2088134" y="2050923"/>
                                </a:moveTo>
                                <a:lnTo>
                                  <a:pt x="2389886" y="2050923"/>
                                </a:lnTo>
                              </a:path>
                              <a:path w="3583304" h="2637790">
                                <a:moveTo>
                                  <a:pt x="2984246" y="2050923"/>
                                </a:moveTo>
                                <a:lnTo>
                                  <a:pt x="3106166" y="2050923"/>
                                </a:lnTo>
                              </a:path>
                              <a:path w="3583304" h="2637790">
                                <a:moveTo>
                                  <a:pt x="1909826" y="2050923"/>
                                </a:moveTo>
                                <a:lnTo>
                                  <a:pt x="2031746" y="2050923"/>
                                </a:lnTo>
                              </a:path>
                              <a:path w="3583304" h="2637790">
                                <a:moveTo>
                                  <a:pt x="3342386" y="2050923"/>
                                </a:moveTo>
                                <a:lnTo>
                                  <a:pt x="3465829" y="2050923"/>
                                </a:lnTo>
                              </a:path>
                              <a:path w="3583304" h="2637790">
                                <a:moveTo>
                                  <a:pt x="2626106" y="2050923"/>
                                </a:moveTo>
                                <a:lnTo>
                                  <a:pt x="2927858" y="2050923"/>
                                </a:lnTo>
                              </a:path>
                              <a:path w="3583304" h="2637790">
                                <a:moveTo>
                                  <a:pt x="475742" y="2050923"/>
                                </a:moveTo>
                                <a:lnTo>
                                  <a:pt x="957326" y="2050923"/>
                                </a:lnTo>
                              </a:path>
                              <a:path w="3583304" h="2637790">
                                <a:moveTo>
                                  <a:pt x="3520694" y="2050923"/>
                                </a:moveTo>
                                <a:lnTo>
                                  <a:pt x="3582797" y="2050923"/>
                                </a:lnTo>
                              </a:path>
                              <a:path w="3583304" h="2637790">
                                <a:moveTo>
                                  <a:pt x="1550162" y="2050923"/>
                                </a:moveTo>
                                <a:lnTo>
                                  <a:pt x="1673606" y="2050923"/>
                                </a:lnTo>
                              </a:path>
                              <a:path w="3583304" h="2637790">
                                <a:moveTo>
                                  <a:pt x="3162554" y="2050923"/>
                                </a:moveTo>
                                <a:lnTo>
                                  <a:pt x="3285998" y="2050923"/>
                                </a:lnTo>
                              </a:path>
                              <a:path w="3583304" h="2637790">
                                <a:moveTo>
                                  <a:pt x="2446274" y="2050923"/>
                                </a:moveTo>
                                <a:lnTo>
                                  <a:pt x="2569718" y="2050923"/>
                                </a:lnTo>
                              </a:path>
                              <a:path w="3583304" h="2637790">
                                <a:moveTo>
                                  <a:pt x="3520694" y="1758314"/>
                                </a:moveTo>
                                <a:lnTo>
                                  <a:pt x="3582797" y="1758314"/>
                                </a:lnTo>
                              </a:path>
                              <a:path w="3583304" h="2637790">
                                <a:moveTo>
                                  <a:pt x="1909826" y="1758314"/>
                                </a:moveTo>
                                <a:lnTo>
                                  <a:pt x="2389886" y="1758314"/>
                                </a:lnTo>
                              </a:path>
                              <a:path w="3583304" h="2637790">
                                <a:moveTo>
                                  <a:pt x="2446274" y="1758314"/>
                                </a:moveTo>
                                <a:lnTo>
                                  <a:pt x="2927858" y="1758314"/>
                                </a:lnTo>
                              </a:path>
                              <a:path w="3583304" h="2637790">
                                <a:moveTo>
                                  <a:pt x="2984246" y="1758314"/>
                                </a:moveTo>
                                <a:lnTo>
                                  <a:pt x="3106166" y="1758314"/>
                                </a:lnTo>
                              </a:path>
                              <a:path w="3583304" h="2637790">
                                <a:moveTo>
                                  <a:pt x="3162554" y="1758314"/>
                                </a:moveTo>
                                <a:lnTo>
                                  <a:pt x="3285998" y="1758314"/>
                                </a:lnTo>
                              </a:path>
                              <a:path w="3583304" h="2637790">
                                <a:moveTo>
                                  <a:pt x="0" y="1758314"/>
                                </a:moveTo>
                                <a:lnTo>
                                  <a:pt x="1853438" y="1758314"/>
                                </a:lnTo>
                              </a:path>
                              <a:path w="3583304" h="2637790">
                                <a:moveTo>
                                  <a:pt x="3342386" y="1758314"/>
                                </a:moveTo>
                                <a:lnTo>
                                  <a:pt x="3465829" y="1758314"/>
                                </a:lnTo>
                              </a:path>
                              <a:path w="3583304" h="2637790">
                                <a:moveTo>
                                  <a:pt x="2984246" y="1465706"/>
                                </a:moveTo>
                                <a:lnTo>
                                  <a:pt x="3106166" y="1465706"/>
                                </a:lnTo>
                              </a:path>
                              <a:path w="3583304" h="2637790">
                                <a:moveTo>
                                  <a:pt x="1909826" y="1465706"/>
                                </a:moveTo>
                                <a:lnTo>
                                  <a:pt x="2927858" y="1465706"/>
                                </a:lnTo>
                              </a:path>
                              <a:path w="3583304" h="2637790">
                                <a:moveTo>
                                  <a:pt x="0" y="1465706"/>
                                </a:moveTo>
                                <a:lnTo>
                                  <a:pt x="1853438" y="1465706"/>
                                </a:lnTo>
                              </a:path>
                              <a:path w="3583304" h="2637790">
                                <a:moveTo>
                                  <a:pt x="3162554" y="1465706"/>
                                </a:moveTo>
                                <a:lnTo>
                                  <a:pt x="3582797" y="1465706"/>
                                </a:lnTo>
                              </a:path>
                              <a:path w="3583304" h="2637790">
                                <a:moveTo>
                                  <a:pt x="2984246" y="1171575"/>
                                </a:moveTo>
                                <a:lnTo>
                                  <a:pt x="3582797" y="1171575"/>
                                </a:lnTo>
                              </a:path>
                              <a:path w="3583304" h="2637790">
                                <a:moveTo>
                                  <a:pt x="0" y="1171575"/>
                                </a:moveTo>
                                <a:lnTo>
                                  <a:pt x="2927858" y="1171575"/>
                                </a:lnTo>
                              </a:path>
                              <a:path w="3583304" h="2637790">
                                <a:moveTo>
                                  <a:pt x="0" y="878966"/>
                                </a:moveTo>
                                <a:lnTo>
                                  <a:pt x="2927858" y="878966"/>
                                </a:lnTo>
                              </a:path>
                              <a:path w="3583304" h="2637790">
                                <a:moveTo>
                                  <a:pt x="2984246" y="878966"/>
                                </a:moveTo>
                                <a:lnTo>
                                  <a:pt x="3582797" y="878966"/>
                                </a:lnTo>
                              </a:path>
                              <a:path w="3583304" h="2637790">
                                <a:moveTo>
                                  <a:pt x="2984246" y="586358"/>
                                </a:moveTo>
                                <a:lnTo>
                                  <a:pt x="3582797" y="586358"/>
                                </a:lnTo>
                              </a:path>
                              <a:path w="3583304" h="2637790">
                                <a:moveTo>
                                  <a:pt x="0" y="586358"/>
                                </a:moveTo>
                                <a:lnTo>
                                  <a:pt x="2927858" y="586358"/>
                                </a:lnTo>
                              </a:path>
                              <a:path w="3583304" h="2637790">
                                <a:moveTo>
                                  <a:pt x="0" y="293750"/>
                                </a:moveTo>
                                <a:lnTo>
                                  <a:pt x="2927858" y="293750"/>
                                </a:lnTo>
                              </a:path>
                              <a:path w="3583304" h="2637790">
                                <a:moveTo>
                                  <a:pt x="2984246" y="293750"/>
                                </a:moveTo>
                                <a:lnTo>
                                  <a:pt x="3582797" y="293750"/>
                                </a:lnTo>
                              </a:path>
                              <a:path w="3583304" h="2637790">
                                <a:moveTo>
                                  <a:pt x="0" y="0"/>
                                </a:moveTo>
                                <a:lnTo>
                                  <a:pt x="3582797" y="0"/>
                                </a:lnTo>
                              </a:path>
                            </a:pathLst>
                          </a:custGeom>
                          <a:ln w="9525">
                            <a:solidFill>
                              <a:srgbClr val="D9D9D9"/>
                            </a:solidFill>
                            <a:prstDash val="solid"/>
                          </a:ln>
                        </wps:spPr>
                        <wps:bodyPr wrap="square" lIns="0" tIns="0" rIns="0" bIns="0" rtlCol="0">
                          <a:prstTxWarp prst="textNoShape">
                            <a:avLst/>
                          </a:prstTxWarp>
                          <a:noAutofit/>
                        </wps:bodyPr>
                      </wps:wsp>
                      <wps:wsp>
                        <wps:cNvPr id="275" name="Graphic 275"/>
                        <wps:cNvSpPr/>
                        <wps:spPr>
                          <a:xfrm>
                            <a:off x="697547" y="739076"/>
                            <a:ext cx="3459479" cy="2667635"/>
                          </a:xfrm>
                          <a:custGeom>
                            <a:avLst/>
                            <a:gdLst/>
                            <a:ahLst/>
                            <a:cxnLst/>
                            <a:rect l="l" t="t" r="r" b="b"/>
                            <a:pathLst>
                              <a:path w="3459479" h="2667635">
                                <a:moveTo>
                                  <a:pt x="56388" y="1787652"/>
                                </a:moveTo>
                                <a:lnTo>
                                  <a:pt x="0" y="1787652"/>
                                </a:lnTo>
                                <a:lnTo>
                                  <a:pt x="0" y="2667254"/>
                                </a:lnTo>
                                <a:lnTo>
                                  <a:pt x="56388" y="2667254"/>
                                </a:lnTo>
                                <a:lnTo>
                                  <a:pt x="56388" y="1787652"/>
                                </a:lnTo>
                                <a:close/>
                              </a:path>
                              <a:path w="3459479" h="2667635">
                                <a:moveTo>
                                  <a:pt x="236220" y="2168664"/>
                                </a:moveTo>
                                <a:lnTo>
                                  <a:pt x="179832" y="2168664"/>
                                </a:lnTo>
                                <a:lnTo>
                                  <a:pt x="179832" y="2667254"/>
                                </a:lnTo>
                                <a:lnTo>
                                  <a:pt x="236220" y="2667254"/>
                                </a:lnTo>
                                <a:lnTo>
                                  <a:pt x="236220" y="2168664"/>
                                </a:lnTo>
                                <a:close/>
                              </a:path>
                              <a:path w="3459479" h="2667635">
                                <a:moveTo>
                                  <a:pt x="414528" y="1670304"/>
                                </a:moveTo>
                                <a:lnTo>
                                  <a:pt x="358140" y="1670304"/>
                                </a:lnTo>
                                <a:lnTo>
                                  <a:pt x="358140" y="2667254"/>
                                </a:lnTo>
                                <a:lnTo>
                                  <a:pt x="414528" y="2667254"/>
                                </a:lnTo>
                                <a:lnTo>
                                  <a:pt x="414528" y="1670304"/>
                                </a:lnTo>
                                <a:close/>
                              </a:path>
                              <a:path w="3459479" h="2667635">
                                <a:moveTo>
                                  <a:pt x="594360" y="2257044"/>
                                </a:moveTo>
                                <a:lnTo>
                                  <a:pt x="537972" y="2257044"/>
                                </a:lnTo>
                                <a:lnTo>
                                  <a:pt x="537972" y="2667254"/>
                                </a:lnTo>
                                <a:lnTo>
                                  <a:pt x="594360" y="2667254"/>
                                </a:lnTo>
                                <a:lnTo>
                                  <a:pt x="594360" y="2257044"/>
                                </a:lnTo>
                                <a:close/>
                              </a:path>
                              <a:path w="3459479" h="2667635">
                                <a:moveTo>
                                  <a:pt x="772668" y="2199132"/>
                                </a:moveTo>
                                <a:lnTo>
                                  <a:pt x="716280" y="2199132"/>
                                </a:lnTo>
                                <a:lnTo>
                                  <a:pt x="716280" y="2667254"/>
                                </a:lnTo>
                                <a:lnTo>
                                  <a:pt x="772668" y="2667254"/>
                                </a:lnTo>
                                <a:lnTo>
                                  <a:pt x="772668" y="2199132"/>
                                </a:lnTo>
                                <a:close/>
                              </a:path>
                              <a:path w="3459479" h="2667635">
                                <a:moveTo>
                                  <a:pt x="952500" y="1670304"/>
                                </a:moveTo>
                                <a:lnTo>
                                  <a:pt x="896112" y="1670304"/>
                                </a:lnTo>
                                <a:lnTo>
                                  <a:pt x="896112" y="2667254"/>
                                </a:lnTo>
                                <a:lnTo>
                                  <a:pt x="952500" y="2667254"/>
                                </a:lnTo>
                                <a:lnTo>
                                  <a:pt x="952500" y="1670304"/>
                                </a:lnTo>
                                <a:close/>
                              </a:path>
                              <a:path w="3459479" h="2667635">
                                <a:moveTo>
                                  <a:pt x="1130808" y="1876044"/>
                                </a:moveTo>
                                <a:lnTo>
                                  <a:pt x="1074420" y="1876044"/>
                                </a:lnTo>
                                <a:lnTo>
                                  <a:pt x="1074420" y="2667254"/>
                                </a:lnTo>
                                <a:lnTo>
                                  <a:pt x="1130808" y="2667254"/>
                                </a:lnTo>
                                <a:lnTo>
                                  <a:pt x="1130808" y="1876044"/>
                                </a:lnTo>
                                <a:close/>
                              </a:path>
                              <a:path w="3459479" h="2667635">
                                <a:moveTo>
                                  <a:pt x="1310640" y="1933956"/>
                                </a:moveTo>
                                <a:lnTo>
                                  <a:pt x="1254239" y="1933956"/>
                                </a:lnTo>
                                <a:lnTo>
                                  <a:pt x="1254239" y="2667254"/>
                                </a:lnTo>
                                <a:lnTo>
                                  <a:pt x="1310640" y="2667254"/>
                                </a:lnTo>
                                <a:lnTo>
                                  <a:pt x="1310640" y="1933956"/>
                                </a:lnTo>
                                <a:close/>
                              </a:path>
                              <a:path w="3459479" h="2667635">
                                <a:moveTo>
                                  <a:pt x="1488948" y="1641348"/>
                                </a:moveTo>
                                <a:lnTo>
                                  <a:pt x="1434084" y="1641348"/>
                                </a:lnTo>
                                <a:lnTo>
                                  <a:pt x="1434084" y="2667254"/>
                                </a:lnTo>
                                <a:lnTo>
                                  <a:pt x="1488948" y="2667254"/>
                                </a:lnTo>
                                <a:lnTo>
                                  <a:pt x="1488948" y="1641348"/>
                                </a:lnTo>
                                <a:close/>
                              </a:path>
                              <a:path w="3459479" h="2667635">
                                <a:moveTo>
                                  <a:pt x="1668780" y="1700784"/>
                                </a:moveTo>
                                <a:lnTo>
                                  <a:pt x="1612392" y="1700784"/>
                                </a:lnTo>
                                <a:lnTo>
                                  <a:pt x="1612392" y="2667254"/>
                                </a:lnTo>
                                <a:lnTo>
                                  <a:pt x="1668780" y="2667254"/>
                                </a:lnTo>
                                <a:lnTo>
                                  <a:pt x="1668780" y="1700784"/>
                                </a:lnTo>
                                <a:close/>
                              </a:path>
                              <a:path w="3459479" h="2667635">
                                <a:moveTo>
                                  <a:pt x="1848612" y="1143000"/>
                                </a:moveTo>
                                <a:lnTo>
                                  <a:pt x="1792224" y="1143000"/>
                                </a:lnTo>
                                <a:lnTo>
                                  <a:pt x="1792224" y="2667254"/>
                                </a:lnTo>
                                <a:lnTo>
                                  <a:pt x="1848612" y="2667254"/>
                                </a:lnTo>
                                <a:lnTo>
                                  <a:pt x="1848612" y="1143000"/>
                                </a:lnTo>
                                <a:close/>
                              </a:path>
                              <a:path w="3459479" h="2667635">
                                <a:moveTo>
                                  <a:pt x="2026920" y="1552956"/>
                                </a:moveTo>
                                <a:lnTo>
                                  <a:pt x="1970532" y="1552956"/>
                                </a:lnTo>
                                <a:lnTo>
                                  <a:pt x="1970532" y="2667254"/>
                                </a:lnTo>
                                <a:lnTo>
                                  <a:pt x="2026920" y="2667254"/>
                                </a:lnTo>
                                <a:lnTo>
                                  <a:pt x="2026920" y="1552956"/>
                                </a:lnTo>
                                <a:close/>
                              </a:path>
                              <a:path w="3459479" h="2667635">
                                <a:moveTo>
                                  <a:pt x="2206752" y="1905000"/>
                                </a:moveTo>
                                <a:lnTo>
                                  <a:pt x="2150364" y="1905000"/>
                                </a:lnTo>
                                <a:lnTo>
                                  <a:pt x="2150364" y="2667254"/>
                                </a:lnTo>
                                <a:lnTo>
                                  <a:pt x="2206752" y="2667254"/>
                                </a:lnTo>
                                <a:lnTo>
                                  <a:pt x="2206752" y="1905000"/>
                                </a:lnTo>
                                <a:close/>
                              </a:path>
                              <a:path w="3459479" h="2667635">
                                <a:moveTo>
                                  <a:pt x="2385060" y="1466088"/>
                                </a:moveTo>
                                <a:lnTo>
                                  <a:pt x="2328672" y="1466088"/>
                                </a:lnTo>
                                <a:lnTo>
                                  <a:pt x="2328672" y="2667254"/>
                                </a:lnTo>
                                <a:lnTo>
                                  <a:pt x="2385060" y="2667254"/>
                                </a:lnTo>
                                <a:lnTo>
                                  <a:pt x="2385060" y="1466088"/>
                                </a:lnTo>
                                <a:close/>
                              </a:path>
                              <a:path w="3459479" h="2667635">
                                <a:moveTo>
                                  <a:pt x="2564892" y="1552956"/>
                                </a:moveTo>
                                <a:lnTo>
                                  <a:pt x="2508504" y="1552956"/>
                                </a:lnTo>
                                <a:lnTo>
                                  <a:pt x="2508504" y="2667254"/>
                                </a:lnTo>
                                <a:lnTo>
                                  <a:pt x="2564892" y="2667254"/>
                                </a:lnTo>
                                <a:lnTo>
                                  <a:pt x="2564892" y="1552956"/>
                                </a:lnTo>
                                <a:close/>
                              </a:path>
                              <a:path w="3459479" h="2667635">
                                <a:moveTo>
                                  <a:pt x="2743200" y="1993392"/>
                                </a:moveTo>
                                <a:lnTo>
                                  <a:pt x="2686812" y="1993392"/>
                                </a:lnTo>
                                <a:lnTo>
                                  <a:pt x="2686812" y="2667254"/>
                                </a:lnTo>
                                <a:lnTo>
                                  <a:pt x="2743200" y="2667254"/>
                                </a:lnTo>
                                <a:lnTo>
                                  <a:pt x="2743200" y="1993392"/>
                                </a:lnTo>
                                <a:close/>
                              </a:path>
                              <a:path w="3459479" h="2667635">
                                <a:moveTo>
                                  <a:pt x="2923032" y="0"/>
                                </a:moveTo>
                                <a:lnTo>
                                  <a:pt x="2866644" y="0"/>
                                </a:lnTo>
                                <a:lnTo>
                                  <a:pt x="2866644" y="2667254"/>
                                </a:lnTo>
                                <a:lnTo>
                                  <a:pt x="2923032" y="2667254"/>
                                </a:lnTo>
                                <a:lnTo>
                                  <a:pt x="2923032" y="0"/>
                                </a:lnTo>
                                <a:close/>
                              </a:path>
                              <a:path w="3459479" h="2667635">
                                <a:moveTo>
                                  <a:pt x="3101340" y="1173480"/>
                                </a:moveTo>
                                <a:lnTo>
                                  <a:pt x="3044952" y="1173480"/>
                                </a:lnTo>
                                <a:lnTo>
                                  <a:pt x="3044952" y="2667254"/>
                                </a:lnTo>
                                <a:lnTo>
                                  <a:pt x="3101340" y="2667254"/>
                                </a:lnTo>
                                <a:lnTo>
                                  <a:pt x="3101340" y="1173480"/>
                                </a:lnTo>
                                <a:close/>
                              </a:path>
                              <a:path w="3459479" h="2667635">
                                <a:moveTo>
                                  <a:pt x="3281172" y="1289304"/>
                                </a:moveTo>
                                <a:lnTo>
                                  <a:pt x="3224784" y="1289304"/>
                                </a:lnTo>
                                <a:lnTo>
                                  <a:pt x="3224784" y="2667254"/>
                                </a:lnTo>
                                <a:lnTo>
                                  <a:pt x="3281172" y="2667254"/>
                                </a:lnTo>
                                <a:lnTo>
                                  <a:pt x="3281172" y="1289304"/>
                                </a:lnTo>
                                <a:close/>
                              </a:path>
                              <a:path w="3459479" h="2667635">
                                <a:moveTo>
                                  <a:pt x="3459480" y="1406652"/>
                                </a:moveTo>
                                <a:lnTo>
                                  <a:pt x="3404616" y="1406652"/>
                                </a:lnTo>
                                <a:lnTo>
                                  <a:pt x="3404616" y="2667254"/>
                                </a:lnTo>
                                <a:lnTo>
                                  <a:pt x="3459480" y="2667254"/>
                                </a:lnTo>
                                <a:lnTo>
                                  <a:pt x="3459480" y="1406652"/>
                                </a:lnTo>
                                <a:close/>
                              </a:path>
                            </a:pathLst>
                          </a:custGeom>
                          <a:solidFill>
                            <a:srgbClr val="4471C4"/>
                          </a:solidFill>
                        </wps:spPr>
                        <wps:bodyPr wrap="square" lIns="0" tIns="0" rIns="0" bIns="0" rtlCol="0">
                          <a:prstTxWarp prst="textNoShape">
                            <a:avLst/>
                          </a:prstTxWarp>
                          <a:noAutofit/>
                        </wps:bodyPr>
                      </wps:wsp>
                      <wps:wsp>
                        <wps:cNvPr id="276" name="Graphic 276"/>
                        <wps:cNvSpPr/>
                        <wps:spPr>
                          <a:xfrm>
                            <a:off x="636333" y="3406330"/>
                            <a:ext cx="3583304" cy="1270"/>
                          </a:xfrm>
                          <a:custGeom>
                            <a:avLst/>
                            <a:gdLst/>
                            <a:ahLst/>
                            <a:cxnLst/>
                            <a:rect l="l" t="t" r="r" b="b"/>
                            <a:pathLst>
                              <a:path w="3583304" h="0">
                                <a:moveTo>
                                  <a:pt x="0" y="0"/>
                                </a:moveTo>
                                <a:lnTo>
                                  <a:pt x="3582797" y="0"/>
                                </a:lnTo>
                              </a:path>
                            </a:pathLst>
                          </a:custGeom>
                          <a:ln w="9525">
                            <a:solidFill>
                              <a:srgbClr val="D9D9D9"/>
                            </a:solidFill>
                            <a:prstDash val="solid"/>
                          </a:ln>
                        </wps:spPr>
                        <wps:bodyPr wrap="square" lIns="0" tIns="0" rIns="0" bIns="0" rtlCol="0">
                          <a:prstTxWarp prst="textNoShape">
                            <a:avLst/>
                          </a:prstTxWarp>
                          <a:noAutofit/>
                        </wps:bodyPr>
                      </wps:wsp>
                      <wps:wsp>
                        <wps:cNvPr id="277" name="Graphic 277"/>
                        <wps:cNvSpPr/>
                        <wps:spPr>
                          <a:xfrm>
                            <a:off x="4418774" y="2167911"/>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278" name="Graphic 278"/>
                        <wps:cNvSpPr/>
                        <wps:spPr>
                          <a:xfrm>
                            <a:off x="4762" y="4762"/>
                            <a:ext cx="4867275" cy="4057650"/>
                          </a:xfrm>
                          <a:custGeom>
                            <a:avLst/>
                            <a:gdLst/>
                            <a:ahLst/>
                            <a:cxnLst/>
                            <a:rect l="l" t="t" r="r" b="b"/>
                            <a:pathLst>
                              <a:path w="4867275" h="4057650">
                                <a:moveTo>
                                  <a:pt x="0" y="4057650"/>
                                </a:moveTo>
                                <a:lnTo>
                                  <a:pt x="4867275" y="4057650"/>
                                </a:lnTo>
                                <a:lnTo>
                                  <a:pt x="4867275" y="0"/>
                                </a:lnTo>
                                <a:lnTo>
                                  <a:pt x="0" y="0"/>
                                </a:lnTo>
                                <a:lnTo>
                                  <a:pt x="0" y="4057650"/>
                                </a:lnTo>
                                <a:close/>
                              </a:path>
                            </a:pathLst>
                          </a:custGeom>
                          <a:ln w="9525">
                            <a:solidFill>
                              <a:srgbClr val="D9D9D9"/>
                            </a:solidFill>
                            <a:prstDash val="solid"/>
                          </a:ln>
                        </wps:spPr>
                        <wps:bodyPr wrap="square" lIns="0" tIns="0" rIns="0" bIns="0" rtlCol="0">
                          <a:prstTxWarp prst="textNoShape">
                            <a:avLst/>
                          </a:prstTxWarp>
                          <a:noAutofit/>
                        </wps:bodyPr>
                      </wps:wsp>
                      <wps:wsp>
                        <wps:cNvPr id="279" name="Textbox 279"/>
                        <wps:cNvSpPr txBox="1"/>
                        <wps:spPr>
                          <a:xfrm>
                            <a:off x="1696021" y="135699"/>
                            <a:ext cx="1497965" cy="178435"/>
                          </a:xfrm>
                          <a:prstGeom prst="rect">
                            <a:avLst/>
                          </a:prstGeom>
                        </wps:spPr>
                        <wps:txbx>
                          <w:txbxContent>
                            <w:p>
                              <w:pPr>
                                <w:spacing w:line="281" w:lineRule="exact" w:before="0"/>
                                <w:ind w:left="0" w:right="0" w:firstLine="0"/>
                                <w:jc w:val="left"/>
                                <w:rPr>
                                  <w:rFonts w:ascii="Calibri"/>
                                  <w:sz w:val="28"/>
                                </w:rPr>
                              </w:pPr>
                              <w:r>
                                <w:rPr>
                                  <w:rFonts w:ascii="Calibri"/>
                                  <w:color w:val="585858"/>
                                  <w:sz w:val="28"/>
                                </w:rPr>
                                <w:t>Year</w:t>
                              </w:r>
                              <w:r>
                                <w:rPr>
                                  <w:rFonts w:ascii="Calibri"/>
                                  <w:color w:val="585858"/>
                                  <w:spacing w:val="-13"/>
                                  <w:sz w:val="28"/>
                                </w:rPr>
                                <w:t> </w:t>
                              </w:r>
                              <w:r>
                                <w:rPr>
                                  <w:rFonts w:ascii="Calibri"/>
                                  <w:color w:val="585858"/>
                                  <w:sz w:val="28"/>
                                </w:rPr>
                                <w:t>Wise</w:t>
                              </w:r>
                              <w:r>
                                <w:rPr>
                                  <w:rFonts w:ascii="Calibri"/>
                                  <w:color w:val="585858"/>
                                  <w:spacing w:val="-8"/>
                                  <w:sz w:val="28"/>
                                </w:rPr>
                                <w:t> </w:t>
                              </w:r>
                              <w:r>
                                <w:rPr>
                                  <w:rFonts w:ascii="Calibri"/>
                                  <w:color w:val="585858"/>
                                  <w:sz w:val="28"/>
                                </w:rPr>
                                <w:t>Exit</w:t>
                              </w:r>
                              <w:r>
                                <w:rPr>
                                  <w:rFonts w:ascii="Calibri"/>
                                  <w:color w:val="585858"/>
                                  <w:spacing w:val="-6"/>
                                  <w:sz w:val="28"/>
                                </w:rPr>
                                <w:t> </w:t>
                              </w:r>
                              <w:r>
                                <w:rPr>
                                  <w:rFonts w:ascii="Calibri"/>
                                  <w:color w:val="585858"/>
                                  <w:spacing w:val="-4"/>
                                  <w:sz w:val="28"/>
                                </w:rPr>
                                <w:t>Count</w:t>
                              </w:r>
                            </w:p>
                          </w:txbxContent>
                        </wps:txbx>
                        <wps:bodyPr wrap="square" lIns="0" tIns="0" rIns="0" bIns="0" rtlCol="0">
                          <a:noAutofit/>
                        </wps:bodyPr>
                      </wps:wsp>
                      <wps:wsp>
                        <wps:cNvPr id="280" name="Textbox 280"/>
                        <wps:cNvSpPr txBox="1"/>
                        <wps:spPr>
                          <a:xfrm>
                            <a:off x="357060" y="422592"/>
                            <a:ext cx="186690" cy="1873250"/>
                          </a:xfrm>
                          <a:prstGeom prst="rect">
                            <a:avLst/>
                          </a:prstGeom>
                        </wps:spPr>
                        <wps:txbx>
                          <w:txbxContent>
                            <w:p>
                              <w:pPr>
                                <w:spacing w:line="183" w:lineRule="exact" w:before="0"/>
                                <w:ind w:left="0" w:right="0" w:firstLine="0"/>
                                <w:jc w:val="left"/>
                                <w:rPr>
                                  <w:rFonts w:ascii="Calibri"/>
                                  <w:sz w:val="18"/>
                                </w:rPr>
                              </w:pPr>
                              <w:r>
                                <w:rPr>
                                  <w:rFonts w:ascii="Calibri"/>
                                  <w:color w:val="585858"/>
                                  <w:spacing w:val="-5"/>
                                  <w:sz w:val="18"/>
                                </w:rPr>
                                <w:t>100</w:t>
                              </w:r>
                            </w:p>
                            <w:p>
                              <w:pPr>
                                <w:spacing w:line="240" w:lineRule="auto" w:before="21"/>
                                <w:rPr>
                                  <w:rFonts w:ascii="Calibri"/>
                                  <w:sz w:val="18"/>
                                </w:rPr>
                              </w:pPr>
                            </w:p>
                            <w:p>
                              <w:pPr>
                                <w:spacing w:before="1"/>
                                <w:ind w:left="91" w:right="0" w:firstLine="0"/>
                                <w:jc w:val="left"/>
                                <w:rPr>
                                  <w:rFonts w:ascii="Calibri"/>
                                  <w:sz w:val="18"/>
                                </w:rPr>
                              </w:pPr>
                              <w:r>
                                <w:rPr>
                                  <w:rFonts w:ascii="Calibri"/>
                                  <w:color w:val="585858"/>
                                  <w:spacing w:val="-5"/>
                                  <w:sz w:val="18"/>
                                </w:rPr>
                                <w:t>90</w:t>
                              </w:r>
                            </w:p>
                            <w:p>
                              <w:pPr>
                                <w:spacing w:line="240" w:lineRule="auto" w:before="22"/>
                                <w:rPr>
                                  <w:rFonts w:ascii="Calibri"/>
                                  <w:sz w:val="18"/>
                                </w:rPr>
                              </w:pPr>
                            </w:p>
                            <w:p>
                              <w:pPr>
                                <w:spacing w:before="0"/>
                                <w:ind w:left="91" w:right="0" w:firstLine="0"/>
                                <w:jc w:val="left"/>
                                <w:rPr>
                                  <w:rFonts w:ascii="Calibri"/>
                                  <w:sz w:val="18"/>
                                </w:rPr>
                              </w:pPr>
                              <w:r>
                                <w:rPr>
                                  <w:rFonts w:ascii="Calibri"/>
                                  <w:color w:val="585858"/>
                                  <w:spacing w:val="-5"/>
                                  <w:sz w:val="18"/>
                                </w:rPr>
                                <w:t>80</w:t>
                              </w:r>
                            </w:p>
                            <w:p>
                              <w:pPr>
                                <w:spacing w:line="240" w:lineRule="auto" w:before="22"/>
                                <w:rPr>
                                  <w:rFonts w:ascii="Calibri"/>
                                  <w:sz w:val="18"/>
                                </w:rPr>
                              </w:pPr>
                            </w:p>
                            <w:p>
                              <w:pPr>
                                <w:spacing w:before="0"/>
                                <w:ind w:left="91" w:right="0" w:firstLine="0"/>
                                <w:jc w:val="left"/>
                                <w:rPr>
                                  <w:rFonts w:ascii="Calibri"/>
                                  <w:sz w:val="18"/>
                                </w:rPr>
                              </w:pPr>
                              <w:r>
                                <w:rPr>
                                  <w:rFonts w:ascii="Calibri"/>
                                  <w:color w:val="585858"/>
                                  <w:spacing w:val="-5"/>
                                  <w:sz w:val="18"/>
                                </w:rPr>
                                <w:t>70</w:t>
                              </w:r>
                            </w:p>
                            <w:p>
                              <w:pPr>
                                <w:spacing w:line="240" w:lineRule="auto" w:before="22"/>
                                <w:rPr>
                                  <w:rFonts w:ascii="Calibri"/>
                                  <w:sz w:val="18"/>
                                </w:rPr>
                              </w:pPr>
                            </w:p>
                            <w:p>
                              <w:pPr>
                                <w:spacing w:before="0"/>
                                <w:ind w:left="91" w:right="0" w:firstLine="0"/>
                                <w:jc w:val="left"/>
                                <w:rPr>
                                  <w:rFonts w:ascii="Calibri"/>
                                  <w:sz w:val="18"/>
                                </w:rPr>
                              </w:pPr>
                              <w:r>
                                <w:rPr>
                                  <w:rFonts w:ascii="Calibri"/>
                                  <w:color w:val="585858"/>
                                  <w:spacing w:val="-5"/>
                                  <w:sz w:val="18"/>
                                </w:rPr>
                                <w:t>60</w:t>
                              </w:r>
                            </w:p>
                            <w:p>
                              <w:pPr>
                                <w:spacing w:line="240" w:lineRule="auto" w:before="22"/>
                                <w:rPr>
                                  <w:rFonts w:ascii="Calibri"/>
                                  <w:sz w:val="18"/>
                                </w:rPr>
                              </w:pPr>
                            </w:p>
                            <w:p>
                              <w:pPr>
                                <w:spacing w:before="0"/>
                                <w:ind w:left="91" w:right="0" w:firstLine="0"/>
                                <w:jc w:val="left"/>
                                <w:rPr>
                                  <w:rFonts w:ascii="Calibri"/>
                                  <w:sz w:val="18"/>
                                </w:rPr>
                              </w:pPr>
                              <w:r>
                                <w:rPr>
                                  <w:rFonts w:ascii="Calibri"/>
                                  <w:color w:val="585858"/>
                                  <w:spacing w:val="-5"/>
                                  <w:sz w:val="18"/>
                                </w:rPr>
                                <w:t>50</w:t>
                              </w:r>
                            </w:p>
                            <w:p>
                              <w:pPr>
                                <w:spacing w:line="240" w:lineRule="auto" w:before="22"/>
                                <w:rPr>
                                  <w:rFonts w:ascii="Calibri"/>
                                  <w:sz w:val="18"/>
                                </w:rPr>
                              </w:pPr>
                            </w:p>
                            <w:p>
                              <w:pPr>
                                <w:spacing w:line="216" w:lineRule="exact" w:before="0"/>
                                <w:ind w:left="91" w:right="0" w:firstLine="0"/>
                                <w:jc w:val="left"/>
                                <w:rPr>
                                  <w:rFonts w:ascii="Calibri"/>
                                  <w:sz w:val="18"/>
                                </w:rPr>
                              </w:pPr>
                              <w:r>
                                <w:rPr>
                                  <w:rFonts w:ascii="Calibri"/>
                                  <w:color w:val="585858"/>
                                  <w:spacing w:val="-5"/>
                                  <w:sz w:val="18"/>
                                </w:rPr>
                                <w:t>40</w:t>
                              </w:r>
                            </w:p>
                          </w:txbxContent>
                        </wps:txbx>
                        <wps:bodyPr wrap="square" lIns="0" tIns="0" rIns="0" bIns="0" rtlCol="0">
                          <a:noAutofit/>
                        </wps:bodyPr>
                      </wps:wsp>
                      <wps:wsp>
                        <wps:cNvPr id="281" name="Textbox 281"/>
                        <wps:cNvSpPr txBox="1"/>
                        <wps:spPr>
                          <a:xfrm>
                            <a:off x="4509325" y="2146236"/>
                            <a:ext cx="24828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2"/>
                                  <w:sz w:val="18"/>
                                </w:rPr>
                                <w:t>Total</w:t>
                              </w:r>
                            </w:p>
                          </w:txbxContent>
                        </wps:txbx>
                        <wps:bodyPr wrap="square" lIns="0" tIns="0" rIns="0" bIns="0" rtlCol="0">
                          <a:noAutofit/>
                        </wps:bodyPr>
                      </wps:wsp>
                      <wps:wsp>
                        <wps:cNvPr id="282" name="Textbox 282"/>
                        <wps:cNvSpPr txBox="1"/>
                        <wps:spPr>
                          <a:xfrm>
                            <a:off x="414972" y="2474277"/>
                            <a:ext cx="128905" cy="993775"/>
                          </a:xfrm>
                          <a:prstGeom prst="rect">
                            <a:avLst/>
                          </a:prstGeom>
                        </wps:spPr>
                        <wps:txbx>
                          <w:txbxContent>
                            <w:p>
                              <w:pPr>
                                <w:spacing w:line="183" w:lineRule="exact" w:before="0"/>
                                <w:ind w:left="0" w:right="0" w:firstLine="0"/>
                                <w:jc w:val="left"/>
                                <w:rPr>
                                  <w:rFonts w:ascii="Calibri"/>
                                  <w:sz w:val="18"/>
                                </w:rPr>
                              </w:pPr>
                              <w:r>
                                <w:rPr>
                                  <w:rFonts w:ascii="Calibri"/>
                                  <w:color w:val="585858"/>
                                  <w:spacing w:val="-5"/>
                                  <w:sz w:val="18"/>
                                </w:rPr>
                                <w:t>30</w:t>
                              </w:r>
                            </w:p>
                            <w:p>
                              <w:pPr>
                                <w:spacing w:line="240" w:lineRule="auto" w:before="22"/>
                                <w:rPr>
                                  <w:rFonts w:ascii="Calibri"/>
                                  <w:sz w:val="18"/>
                                </w:rPr>
                              </w:pPr>
                            </w:p>
                            <w:p>
                              <w:pPr>
                                <w:spacing w:before="0"/>
                                <w:ind w:left="0" w:right="0" w:firstLine="0"/>
                                <w:jc w:val="left"/>
                                <w:rPr>
                                  <w:rFonts w:ascii="Calibri"/>
                                  <w:sz w:val="18"/>
                                </w:rPr>
                              </w:pPr>
                              <w:r>
                                <w:rPr>
                                  <w:rFonts w:ascii="Calibri"/>
                                  <w:color w:val="585858"/>
                                  <w:spacing w:val="-5"/>
                                  <w:sz w:val="18"/>
                                </w:rPr>
                                <w:t>20</w:t>
                              </w:r>
                            </w:p>
                            <w:p>
                              <w:pPr>
                                <w:spacing w:line="240" w:lineRule="auto" w:before="22"/>
                                <w:rPr>
                                  <w:rFonts w:ascii="Calibri"/>
                                  <w:sz w:val="18"/>
                                </w:rPr>
                              </w:pPr>
                            </w:p>
                            <w:p>
                              <w:pPr>
                                <w:spacing w:before="0"/>
                                <w:ind w:left="0" w:right="0" w:firstLine="0"/>
                                <w:jc w:val="left"/>
                                <w:rPr>
                                  <w:rFonts w:ascii="Calibri"/>
                                  <w:sz w:val="18"/>
                                </w:rPr>
                              </w:pPr>
                              <w:r>
                                <w:rPr>
                                  <w:rFonts w:ascii="Calibri"/>
                                  <w:color w:val="585858"/>
                                  <w:spacing w:val="-5"/>
                                  <w:sz w:val="18"/>
                                </w:rPr>
                                <w:t>10</w:t>
                              </w:r>
                            </w:p>
                            <w:p>
                              <w:pPr>
                                <w:spacing w:line="240" w:lineRule="auto" w:before="22"/>
                                <w:rPr>
                                  <w:rFonts w:ascii="Calibri"/>
                                  <w:sz w:val="18"/>
                                </w:rPr>
                              </w:pPr>
                            </w:p>
                            <w:p>
                              <w:pPr>
                                <w:spacing w:line="216" w:lineRule="exact" w:before="0"/>
                                <w:ind w:left="91" w:right="0" w:firstLine="0"/>
                                <w:jc w:val="left"/>
                                <w:rPr>
                                  <w:rFonts w:ascii="Calibri"/>
                                  <w:sz w:val="18"/>
                                </w:rPr>
                              </w:pPr>
                              <w:r>
                                <w:rPr>
                                  <w:rFonts w:ascii="Calibri"/>
                                  <w:color w:val="585858"/>
                                  <w:spacing w:val="-10"/>
                                  <w:sz w:val="18"/>
                                </w:rPr>
                                <w:t>0</w:t>
                              </w:r>
                            </w:p>
                          </w:txbxContent>
                        </wps:txbx>
                        <wps:bodyPr wrap="square" lIns="0" tIns="0" rIns="0" bIns="0" rtlCol="0">
                          <a:noAutofit/>
                        </wps:bodyPr>
                      </wps:wsp>
                      <wps:wsp>
                        <wps:cNvPr id="283" name="Textbox 283"/>
                        <wps:cNvSpPr txBox="1"/>
                        <wps:spPr>
                          <a:xfrm>
                            <a:off x="2313622" y="3775138"/>
                            <a:ext cx="241300" cy="127000"/>
                          </a:xfrm>
                          <a:prstGeom prst="rect">
                            <a:avLst/>
                          </a:prstGeom>
                        </wps:spPr>
                        <wps:txbx>
                          <w:txbxContent>
                            <w:p>
                              <w:pPr>
                                <w:spacing w:line="199" w:lineRule="exact" w:before="0"/>
                                <w:ind w:left="0" w:right="0" w:firstLine="0"/>
                                <w:jc w:val="left"/>
                                <w:rPr>
                                  <w:rFonts w:ascii="Calibri"/>
                                  <w:sz w:val="20"/>
                                </w:rPr>
                              </w:pPr>
                              <w:r>
                                <w:rPr>
                                  <w:rFonts w:ascii="Calibri"/>
                                  <w:color w:val="585858"/>
                                  <w:spacing w:val="-4"/>
                                  <w:sz w:val="20"/>
                                </w:rPr>
                                <w:t>Year</w:t>
                              </w:r>
                            </w:p>
                          </w:txbxContent>
                        </wps:txbx>
                        <wps:bodyPr wrap="square" lIns="0" tIns="0" rIns="0" bIns="0" rtlCol="0">
                          <a:noAutofit/>
                        </wps:bodyPr>
                      </wps:wsp>
                    </wpg:wgp>
                  </a:graphicData>
                </a:graphic>
              </wp:anchor>
            </w:drawing>
          </mc:Choice>
          <mc:Fallback>
            <w:pict>
              <v:group style="position:absolute;margin-left:105.275002pt;margin-top:29.125pt;width:384pt;height:320.25pt;mso-position-horizontal-relative:page;mso-position-vertical-relative:paragraph;z-index:15742464" id="docshapegroup261" coordorigin="2106,583" coordsize="7680,6405">
                <v:shape style="position:absolute;left:3107;top:1331;width:5643;height:4154" id="docshape262" coordorigin="3108,1332" coordsize="5643,4154" path="m8652,5486l8750,5486m8088,5486l8282,5486m4140,5486l4332,5486m5268,5486l5462,5486m7243,5486l7435,5486m3857,5486l4051,5486m6679,5486l6871,5486m6115,5486l6307,5486m7807,5486l7999,5486m5832,5486l6026,5486m7524,5486l7718,5486m8371,5486l8566,5486m6960,5486l7154,5486m3293,5486l3487,5486m3108,5486l3204,5486m4421,5486l4615,5486m3576,5486l3768,5486m5549,5486l5743,5486m6396,5486l6590,5486m4985,5486l5179,5486m4704,5486l4896,5486m6960,5025l7154,5025m8652,5025l8750,5025m3293,5025l3768,5025m4704,5025l4896,5025m6679,5025l6871,5025m4985,5025l5179,5025m3108,5025l3204,5025m3857,5025l4615,5025m7524,5025l7718,5025m6396,5025l6590,5025m7807,5025l7999,5025m5268,5025l5462,5025m6115,5025l6307,5025m8088,5025l8282,5025m7243,5025l7435,5025m8371,5025l8566,5025m5832,5025l6026,5025m5549,5025l5743,5025m4704,4562l5462,4562m3108,4562l3768,4562m5832,4562l6026,4562m6396,4562l6871,4562m7807,4562l7999,4562m6115,4562l6307,4562m8371,4562l8566,4562m7243,4562l7718,4562m3857,4562l4615,4562m8652,4562l8750,4562m5549,4562l5743,4562m8088,4562l8282,4562m6960,4562l7154,4562m8652,4101l8750,4101m6115,4101l6871,4101m6960,4101l7718,4101m7807,4101l7999,4101m8088,4101l8282,4101m3108,4101l6026,4101m8371,4101l8566,4101m7807,3640l7999,3640m6115,3640l7718,3640m3108,3640l6026,3640m8088,3640l8750,3640m7807,3177l8750,3177m3108,3177l7718,3177m3108,2716l7718,2716m7807,2716l8750,2716m7807,2255l8750,2255m3108,2255l7718,2255m3108,1794l7718,1794m7807,1794l8750,1794m3108,1332l8750,1332e" filled="false" stroked="true" strokeweight=".75pt" strokecolor="#d9d9d9">
                  <v:path arrowok="t"/>
                  <v:stroke dashstyle="solid"/>
                </v:shape>
                <v:shape style="position:absolute;left:3204;top:1746;width:5448;height:4201" id="docshape263" coordorigin="3204,1746" coordsize="5448,4201" path="m3293,4562l3204,4562,3204,5947,3293,5947,3293,4562xm3576,5162l3487,5162,3487,5947,3576,5947,3576,5162xm3857,4377l3768,4377,3768,5947,3857,5947,3857,4377xm4140,5301l4051,5301,4051,5947,4140,5947,4140,5301xm4421,5210l4332,5210,4332,5947,4421,5947,4421,5210xm4704,4377l4615,4377,4615,5947,4704,5947,4704,4377xm4985,4701l4896,4701,4896,5947,4985,5947,4985,4701xm5268,4792l5179,4792,5179,5947,5268,5947,5268,4792xm5549,4331l5462,4331,5462,5947,5549,5947,5549,4331xm5832,4425l5743,4425,5743,5947,5832,5947,5832,4425xm6115,3546l6026,3546,6026,5947,6115,5947,6115,3546xm6396,4192l6307,4192,6307,5947,6396,5947,6396,4192xm6679,4746l6590,4746,6590,5947,6679,5947,6679,4746xm6960,4055l6871,4055,6871,5947,6960,5947,6960,4055xm7243,4192l7154,4192,7154,5947,7243,5947,7243,4192xm7524,4886l7435,4886,7435,5947,7524,5947,7524,4886xm7807,1746l7718,1746,7718,5947,7807,5947,7807,1746xm8088,3594l7999,3594,7999,5947,8088,5947,8088,3594xm8371,3777l8282,3777,8282,5947,8371,5947,8371,3777xm8652,3962l8566,3962,8566,5947,8652,5947,8652,3962xe" filled="true" fillcolor="#4471c4" stroked="false">
                  <v:path arrowok="t"/>
                  <v:fill type="solid"/>
                </v:shape>
                <v:line style="position:absolute" from="3108,5947" to="8750,5947" stroked="true" strokeweight=".75pt" strokecolor="#d9d9d9">
                  <v:stroke dashstyle="solid"/>
                </v:line>
                <v:rect style="position:absolute;left:9064;top:3996;width:99;height:99" id="docshape264" filled="true" fillcolor="#4471c4" stroked="false">
                  <v:fill type="solid"/>
                </v:rect>
                <v:rect style="position:absolute;left:2113;top:590;width:7665;height:6390" id="docshape265" filled="false" stroked="true" strokeweight=".75pt" strokecolor="#d9d9d9">
                  <v:stroke dashstyle="solid"/>
                </v:rect>
                <v:shape style="position:absolute;left:4776;top:796;width:2359;height:281" type="#_x0000_t202" id="docshape266" filled="false" stroked="false">
                  <v:textbox inset="0,0,0,0">
                    <w:txbxContent>
                      <w:p>
                        <w:pPr>
                          <w:spacing w:line="281" w:lineRule="exact" w:before="0"/>
                          <w:ind w:left="0" w:right="0" w:firstLine="0"/>
                          <w:jc w:val="left"/>
                          <w:rPr>
                            <w:rFonts w:ascii="Calibri"/>
                            <w:sz w:val="28"/>
                          </w:rPr>
                        </w:pPr>
                        <w:r>
                          <w:rPr>
                            <w:rFonts w:ascii="Calibri"/>
                            <w:color w:val="585858"/>
                            <w:sz w:val="28"/>
                          </w:rPr>
                          <w:t>Year</w:t>
                        </w:r>
                        <w:r>
                          <w:rPr>
                            <w:rFonts w:ascii="Calibri"/>
                            <w:color w:val="585858"/>
                            <w:spacing w:val="-13"/>
                            <w:sz w:val="28"/>
                          </w:rPr>
                          <w:t> </w:t>
                        </w:r>
                        <w:r>
                          <w:rPr>
                            <w:rFonts w:ascii="Calibri"/>
                            <w:color w:val="585858"/>
                            <w:sz w:val="28"/>
                          </w:rPr>
                          <w:t>Wise</w:t>
                        </w:r>
                        <w:r>
                          <w:rPr>
                            <w:rFonts w:ascii="Calibri"/>
                            <w:color w:val="585858"/>
                            <w:spacing w:val="-8"/>
                            <w:sz w:val="28"/>
                          </w:rPr>
                          <w:t> </w:t>
                        </w:r>
                        <w:r>
                          <w:rPr>
                            <w:rFonts w:ascii="Calibri"/>
                            <w:color w:val="585858"/>
                            <w:sz w:val="28"/>
                          </w:rPr>
                          <w:t>Exit</w:t>
                        </w:r>
                        <w:r>
                          <w:rPr>
                            <w:rFonts w:ascii="Calibri"/>
                            <w:color w:val="585858"/>
                            <w:spacing w:val="-6"/>
                            <w:sz w:val="28"/>
                          </w:rPr>
                          <w:t> </w:t>
                        </w:r>
                        <w:r>
                          <w:rPr>
                            <w:rFonts w:ascii="Calibri"/>
                            <w:color w:val="585858"/>
                            <w:spacing w:val="-4"/>
                            <w:sz w:val="28"/>
                          </w:rPr>
                          <w:t>Count</w:t>
                        </w:r>
                      </w:p>
                    </w:txbxContent>
                  </v:textbox>
                  <w10:wrap type="none"/>
                </v:shape>
                <v:shape style="position:absolute;left:2667;top:1248;width:294;height:2950" type="#_x0000_t202" id="docshape267" filled="false" stroked="false">
                  <v:textbox inset="0,0,0,0">
                    <w:txbxContent>
                      <w:p>
                        <w:pPr>
                          <w:spacing w:line="183" w:lineRule="exact" w:before="0"/>
                          <w:ind w:left="0" w:right="0" w:firstLine="0"/>
                          <w:jc w:val="left"/>
                          <w:rPr>
                            <w:rFonts w:ascii="Calibri"/>
                            <w:sz w:val="18"/>
                          </w:rPr>
                        </w:pPr>
                        <w:r>
                          <w:rPr>
                            <w:rFonts w:ascii="Calibri"/>
                            <w:color w:val="585858"/>
                            <w:spacing w:val="-5"/>
                            <w:sz w:val="18"/>
                          </w:rPr>
                          <w:t>100</w:t>
                        </w:r>
                      </w:p>
                      <w:p>
                        <w:pPr>
                          <w:spacing w:line="240" w:lineRule="auto" w:before="21"/>
                          <w:rPr>
                            <w:rFonts w:ascii="Calibri"/>
                            <w:sz w:val="18"/>
                          </w:rPr>
                        </w:pPr>
                      </w:p>
                      <w:p>
                        <w:pPr>
                          <w:spacing w:before="1"/>
                          <w:ind w:left="91" w:right="0" w:firstLine="0"/>
                          <w:jc w:val="left"/>
                          <w:rPr>
                            <w:rFonts w:ascii="Calibri"/>
                            <w:sz w:val="18"/>
                          </w:rPr>
                        </w:pPr>
                        <w:r>
                          <w:rPr>
                            <w:rFonts w:ascii="Calibri"/>
                            <w:color w:val="585858"/>
                            <w:spacing w:val="-5"/>
                            <w:sz w:val="18"/>
                          </w:rPr>
                          <w:t>90</w:t>
                        </w:r>
                      </w:p>
                      <w:p>
                        <w:pPr>
                          <w:spacing w:line="240" w:lineRule="auto" w:before="22"/>
                          <w:rPr>
                            <w:rFonts w:ascii="Calibri"/>
                            <w:sz w:val="18"/>
                          </w:rPr>
                        </w:pPr>
                      </w:p>
                      <w:p>
                        <w:pPr>
                          <w:spacing w:before="0"/>
                          <w:ind w:left="91" w:right="0" w:firstLine="0"/>
                          <w:jc w:val="left"/>
                          <w:rPr>
                            <w:rFonts w:ascii="Calibri"/>
                            <w:sz w:val="18"/>
                          </w:rPr>
                        </w:pPr>
                        <w:r>
                          <w:rPr>
                            <w:rFonts w:ascii="Calibri"/>
                            <w:color w:val="585858"/>
                            <w:spacing w:val="-5"/>
                            <w:sz w:val="18"/>
                          </w:rPr>
                          <w:t>80</w:t>
                        </w:r>
                      </w:p>
                      <w:p>
                        <w:pPr>
                          <w:spacing w:line="240" w:lineRule="auto" w:before="22"/>
                          <w:rPr>
                            <w:rFonts w:ascii="Calibri"/>
                            <w:sz w:val="18"/>
                          </w:rPr>
                        </w:pPr>
                      </w:p>
                      <w:p>
                        <w:pPr>
                          <w:spacing w:before="0"/>
                          <w:ind w:left="91" w:right="0" w:firstLine="0"/>
                          <w:jc w:val="left"/>
                          <w:rPr>
                            <w:rFonts w:ascii="Calibri"/>
                            <w:sz w:val="18"/>
                          </w:rPr>
                        </w:pPr>
                        <w:r>
                          <w:rPr>
                            <w:rFonts w:ascii="Calibri"/>
                            <w:color w:val="585858"/>
                            <w:spacing w:val="-5"/>
                            <w:sz w:val="18"/>
                          </w:rPr>
                          <w:t>70</w:t>
                        </w:r>
                      </w:p>
                      <w:p>
                        <w:pPr>
                          <w:spacing w:line="240" w:lineRule="auto" w:before="22"/>
                          <w:rPr>
                            <w:rFonts w:ascii="Calibri"/>
                            <w:sz w:val="18"/>
                          </w:rPr>
                        </w:pPr>
                      </w:p>
                      <w:p>
                        <w:pPr>
                          <w:spacing w:before="0"/>
                          <w:ind w:left="91" w:right="0" w:firstLine="0"/>
                          <w:jc w:val="left"/>
                          <w:rPr>
                            <w:rFonts w:ascii="Calibri"/>
                            <w:sz w:val="18"/>
                          </w:rPr>
                        </w:pPr>
                        <w:r>
                          <w:rPr>
                            <w:rFonts w:ascii="Calibri"/>
                            <w:color w:val="585858"/>
                            <w:spacing w:val="-5"/>
                            <w:sz w:val="18"/>
                          </w:rPr>
                          <w:t>60</w:t>
                        </w:r>
                      </w:p>
                      <w:p>
                        <w:pPr>
                          <w:spacing w:line="240" w:lineRule="auto" w:before="22"/>
                          <w:rPr>
                            <w:rFonts w:ascii="Calibri"/>
                            <w:sz w:val="18"/>
                          </w:rPr>
                        </w:pPr>
                      </w:p>
                      <w:p>
                        <w:pPr>
                          <w:spacing w:before="0"/>
                          <w:ind w:left="91" w:right="0" w:firstLine="0"/>
                          <w:jc w:val="left"/>
                          <w:rPr>
                            <w:rFonts w:ascii="Calibri"/>
                            <w:sz w:val="18"/>
                          </w:rPr>
                        </w:pPr>
                        <w:r>
                          <w:rPr>
                            <w:rFonts w:ascii="Calibri"/>
                            <w:color w:val="585858"/>
                            <w:spacing w:val="-5"/>
                            <w:sz w:val="18"/>
                          </w:rPr>
                          <w:t>50</w:t>
                        </w:r>
                      </w:p>
                      <w:p>
                        <w:pPr>
                          <w:spacing w:line="240" w:lineRule="auto" w:before="22"/>
                          <w:rPr>
                            <w:rFonts w:ascii="Calibri"/>
                            <w:sz w:val="18"/>
                          </w:rPr>
                        </w:pPr>
                      </w:p>
                      <w:p>
                        <w:pPr>
                          <w:spacing w:line="216" w:lineRule="exact" w:before="0"/>
                          <w:ind w:left="91" w:right="0" w:firstLine="0"/>
                          <w:jc w:val="left"/>
                          <w:rPr>
                            <w:rFonts w:ascii="Calibri"/>
                            <w:sz w:val="18"/>
                          </w:rPr>
                        </w:pPr>
                        <w:r>
                          <w:rPr>
                            <w:rFonts w:ascii="Calibri"/>
                            <w:color w:val="585858"/>
                            <w:spacing w:val="-5"/>
                            <w:sz w:val="18"/>
                          </w:rPr>
                          <w:t>40</w:t>
                        </w:r>
                      </w:p>
                    </w:txbxContent>
                  </v:textbox>
                  <w10:wrap type="none"/>
                </v:shape>
                <v:shape style="position:absolute;left:9206;top:3962;width:391;height:180" type="#_x0000_t202" id="docshape268" filled="false" stroked="false">
                  <v:textbox inset="0,0,0,0">
                    <w:txbxContent>
                      <w:p>
                        <w:pPr>
                          <w:spacing w:line="180" w:lineRule="exact" w:before="0"/>
                          <w:ind w:left="0" w:right="0" w:firstLine="0"/>
                          <w:jc w:val="left"/>
                          <w:rPr>
                            <w:rFonts w:ascii="Calibri"/>
                            <w:sz w:val="18"/>
                          </w:rPr>
                        </w:pPr>
                        <w:r>
                          <w:rPr>
                            <w:rFonts w:ascii="Calibri"/>
                            <w:color w:val="585858"/>
                            <w:spacing w:val="-2"/>
                            <w:sz w:val="18"/>
                          </w:rPr>
                          <w:t>Total</w:t>
                        </w:r>
                      </w:p>
                    </w:txbxContent>
                  </v:textbox>
                  <w10:wrap type="none"/>
                </v:shape>
                <v:shape style="position:absolute;left:2759;top:4479;width:203;height:1565" type="#_x0000_t202" id="docshape269" filled="false" stroked="false">
                  <v:textbox inset="0,0,0,0">
                    <w:txbxContent>
                      <w:p>
                        <w:pPr>
                          <w:spacing w:line="183" w:lineRule="exact" w:before="0"/>
                          <w:ind w:left="0" w:right="0" w:firstLine="0"/>
                          <w:jc w:val="left"/>
                          <w:rPr>
                            <w:rFonts w:ascii="Calibri"/>
                            <w:sz w:val="18"/>
                          </w:rPr>
                        </w:pPr>
                        <w:r>
                          <w:rPr>
                            <w:rFonts w:ascii="Calibri"/>
                            <w:color w:val="585858"/>
                            <w:spacing w:val="-5"/>
                            <w:sz w:val="18"/>
                          </w:rPr>
                          <w:t>30</w:t>
                        </w:r>
                      </w:p>
                      <w:p>
                        <w:pPr>
                          <w:spacing w:line="240" w:lineRule="auto" w:before="22"/>
                          <w:rPr>
                            <w:rFonts w:ascii="Calibri"/>
                            <w:sz w:val="18"/>
                          </w:rPr>
                        </w:pPr>
                      </w:p>
                      <w:p>
                        <w:pPr>
                          <w:spacing w:before="0"/>
                          <w:ind w:left="0" w:right="0" w:firstLine="0"/>
                          <w:jc w:val="left"/>
                          <w:rPr>
                            <w:rFonts w:ascii="Calibri"/>
                            <w:sz w:val="18"/>
                          </w:rPr>
                        </w:pPr>
                        <w:r>
                          <w:rPr>
                            <w:rFonts w:ascii="Calibri"/>
                            <w:color w:val="585858"/>
                            <w:spacing w:val="-5"/>
                            <w:sz w:val="18"/>
                          </w:rPr>
                          <w:t>20</w:t>
                        </w:r>
                      </w:p>
                      <w:p>
                        <w:pPr>
                          <w:spacing w:line="240" w:lineRule="auto" w:before="22"/>
                          <w:rPr>
                            <w:rFonts w:ascii="Calibri"/>
                            <w:sz w:val="18"/>
                          </w:rPr>
                        </w:pPr>
                      </w:p>
                      <w:p>
                        <w:pPr>
                          <w:spacing w:before="0"/>
                          <w:ind w:left="0" w:right="0" w:firstLine="0"/>
                          <w:jc w:val="left"/>
                          <w:rPr>
                            <w:rFonts w:ascii="Calibri"/>
                            <w:sz w:val="18"/>
                          </w:rPr>
                        </w:pPr>
                        <w:r>
                          <w:rPr>
                            <w:rFonts w:ascii="Calibri"/>
                            <w:color w:val="585858"/>
                            <w:spacing w:val="-5"/>
                            <w:sz w:val="18"/>
                          </w:rPr>
                          <w:t>10</w:t>
                        </w:r>
                      </w:p>
                      <w:p>
                        <w:pPr>
                          <w:spacing w:line="240" w:lineRule="auto" w:before="22"/>
                          <w:rPr>
                            <w:rFonts w:ascii="Calibri"/>
                            <w:sz w:val="18"/>
                          </w:rPr>
                        </w:pPr>
                      </w:p>
                      <w:p>
                        <w:pPr>
                          <w:spacing w:line="216" w:lineRule="exact" w:before="0"/>
                          <w:ind w:left="91" w:right="0" w:firstLine="0"/>
                          <w:jc w:val="left"/>
                          <w:rPr>
                            <w:rFonts w:ascii="Calibri"/>
                            <w:sz w:val="18"/>
                          </w:rPr>
                        </w:pPr>
                        <w:r>
                          <w:rPr>
                            <w:rFonts w:ascii="Calibri"/>
                            <w:color w:val="585858"/>
                            <w:spacing w:val="-10"/>
                            <w:sz w:val="18"/>
                          </w:rPr>
                          <w:t>0</w:t>
                        </w:r>
                      </w:p>
                    </w:txbxContent>
                  </v:textbox>
                  <w10:wrap type="none"/>
                </v:shape>
                <v:shape style="position:absolute;left:5749;top:6527;width:380;height:200" type="#_x0000_t202" id="docshape270" filled="false" stroked="false">
                  <v:textbox inset="0,0,0,0">
                    <w:txbxContent>
                      <w:p>
                        <w:pPr>
                          <w:spacing w:line="199" w:lineRule="exact" w:before="0"/>
                          <w:ind w:left="0" w:right="0" w:firstLine="0"/>
                          <w:jc w:val="left"/>
                          <w:rPr>
                            <w:rFonts w:ascii="Calibri"/>
                            <w:sz w:val="20"/>
                          </w:rPr>
                        </w:pPr>
                        <w:r>
                          <w:rPr>
                            <w:rFonts w:ascii="Calibri"/>
                            <w:color w:val="585858"/>
                            <w:spacing w:val="-4"/>
                            <w:sz w:val="20"/>
                          </w:rPr>
                          <w:t>Year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2976">
                <wp:simplePos x="0" y="0"/>
                <wp:positionH relativeFrom="page">
                  <wp:posOffset>1513712</wp:posOffset>
                </wp:positionH>
                <wp:positionV relativeFrom="paragraph">
                  <wp:posOffset>1722241</wp:posOffset>
                </wp:positionV>
                <wp:extent cx="152400" cy="1176655"/>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152400" cy="1176655"/>
                        </a:xfrm>
                        <a:prstGeom prst="rect">
                          <a:avLst/>
                        </a:prstGeom>
                      </wps:spPr>
                      <wps:txbx>
                        <w:txbxContent>
                          <w:p>
                            <w:pPr>
                              <w:spacing w:line="223" w:lineRule="exact" w:before="0"/>
                              <w:ind w:left="20" w:right="0" w:firstLine="0"/>
                              <w:jc w:val="left"/>
                              <w:rPr>
                                <w:rFonts w:ascii="Calibri"/>
                                <w:sz w:val="20"/>
                              </w:rPr>
                            </w:pPr>
                            <w:r>
                              <w:rPr>
                                <w:rFonts w:ascii="Calibri"/>
                                <w:color w:val="585858"/>
                                <w:sz w:val="20"/>
                              </w:rPr>
                              <w:t>Company</w:t>
                            </w:r>
                            <w:r>
                              <w:rPr>
                                <w:rFonts w:ascii="Calibri"/>
                                <w:color w:val="585858"/>
                                <w:spacing w:val="-7"/>
                                <w:sz w:val="20"/>
                              </w:rPr>
                              <w:t> </w:t>
                            </w:r>
                            <w:r>
                              <w:rPr>
                                <w:rFonts w:ascii="Calibri"/>
                                <w:color w:val="585858"/>
                                <w:sz w:val="20"/>
                              </w:rPr>
                              <w:t>name</w:t>
                            </w:r>
                            <w:r>
                              <w:rPr>
                                <w:rFonts w:ascii="Calibri"/>
                                <w:color w:val="585858"/>
                                <w:spacing w:val="-5"/>
                                <w:sz w:val="20"/>
                              </w:rPr>
                              <w:t> </w:t>
                            </w:r>
                            <w:r>
                              <w:rPr>
                                <w:rFonts w:ascii="Calibri"/>
                                <w:color w:val="585858"/>
                                <w:spacing w:val="-4"/>
                                <w:sz w:val="20"/>
                              </w:rPr>
                              <w:t>Count</w:t>
                            </w:r>
                          </w:p>
                        </w:txbxContent>
                      </wps:txbx>
                      <wps:bodyPr wrap="square" lIns="0" tIns="0" rIns="0" bIns="0" rtlCol="0" vert="vert270">
                        <a:noAutofit/>
                      </wps:bodyPr>
                    </wps:wsp>
                  </a:graphicData>
                </a:graphic>
              </wp:anchor>
            </w:drawing>
          </mc:Choice>
          <mc:Fallback>
            <w:pict>
              <v:shape style="position:absolute;margin-left:119.189995pt;margin-top:135.609604pt;width:12pt;height:92.65pt;mso-position-horizontal-relative:page;mso-position-vertical-relative:paragraph;z-index:15742976" type="#_x0000_t202" id="docshape271"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color w:val="585858"/>
                          <w:sz w:val="20"/>
                        </w:rPr>
                        <w:t>Company</w:t>
                      </w:r>
                      <w:r>
                        <w:rPr>
                          <w:rFonts w:ascii="Calibri"/>
                          <w:color w:val="585858"/>
                          <w:spacing w:val="-7"/>
                          <w:sz w:val="20"/>
                        </w:rPr>
                        <w:t> </w:t>
                      </w:r>
                      <w:r>
                        <w:rPr>
                          <w:rFonts w:ascii="Calibri"/>
                          <w:color w:val="585858"/>
                          <w:sz w:val="20"/>
                        </w:rPr>
                        <w:t>name</w:t>
                      </w:r>
                      <w:r>
                        <w:rPr>
                          <w:rFonts w:ascii="Calibri"/>
                          <w:color w:val="585858"/>
                          <w:spacing w:val="-5"/>
                          <w:sz w:val="20"/>
                        </w:rPr>
                        <w:t> </w:t>
                      </w:r>
                      <w:r>
                        <w:rPr>
                          <w:rFonts w:ascii="Calibri"/>
                          <w:color w:val="585858"/>
                          <w:spacing w:val="-4"/>
                          <w:sz w:val="20"/>
                        </w:rPr>
                        <w:t>Count</w:t>
                      </w:r>
                    </w:p>
                  </w:txbxContent>
                </v:textbox>
                <w10:wrap type="none"/>
              </v:shape>
            </w:pict>
          </mc:Fallback>
        </mc:AlternateContent>
      </w:r>
      <w:bookmarkStart w:name="_bookmark58" w:id="59"/>
      <w:bookmarkEnd w:id="59"/>
      <w:r>
        <w:rPr>
          <w:b w:val="0"/>
        </w:rPr>
      </w:r>
      <w:r>
        <w:rPr/>
        <w:t>Exit</w:t>
      </w:r>
      <w:r>
        <w:rPr>
          <w:spacing w:val="-13"/>
        </w:rPr>
        <w:t> </w:t>
      </w:r>
      <w:r>
        <w:rPr/>
        <w:t>Performance</w:t>
      </w:r>
      <w:r>
        <w:rPr>
          <w:spacing w:val="-17"/>
        </w:rPr>
        <w:t> </w:t>
      </w:r>
      <w:r>
        <w:rPr>
          <w:spacing w:val="-2"/>
        </w:rPr>
        <w:t>Analysis</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45"/>
        <w:rPr>
          <w:b/>
          <w:sz w:val="26"/>
        </w:rPr>
      </w:pPr>
    </w:p>
    <w:p>
      <w:pPr>
        <w:spacing w:before="0"/>
        <w:ind w:left="4" w:right="4" w:firstLine="0"/>
        <w:jc w:val="center"/>
        <w:rPr>
          <w:i/>
          <w:sz w:val="18"/>
        </w:rPr>
      </w:pPr>
      <w:r>
        <w:rPr>
          <w:i/>
          <w:sz w:val="18"/>
        </w:rPr>
        <mc:AlternateContent>
          <mc:Choice Requires="wps">
            <w:drawing>
              <wp:anchor distT="0" distB="0" distL="0" distR="0" allowOverlap="1" layoutInCell="1" locked="0" behindDoc="0" simplePos="0" relativeHeight="15743488">
                <wp:simplePos x="0" y="0"/>
                <wp:positionH relativeFrom="page">
                  <wp:posOffset>2003425</wp:posOffset>
                </wp:positionH>
                <wp:positionV relativeFrom="paragraph">
                  <wp:posOffset>-786632</wp:posOffset>
                </wp:positionV>
                <wp:extent cx="3544570" cy="25717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3544570" cy="257175"/>
                        </a:xfrm>
                        <a:prstGeom prst="rect">
                          <a:avLst/>
                        </a:prstGeom>
                      </wps:spPr>
                      <wps:txbx>
                        <w:txbxContent>
                          <w:p>
                            <w:pPr>
                              <w:spacing w:line="203" w:lineRule="exact" w:before="0"/>
                              <w:ind w:left="20" w:right="0" w:firstLine="0"/>
                              <w:jc w:val="left"/>
                              <w:rPr>
                                <w:rFonts w:ascii="Calibri"/>
                                <w:sz w:val="18"/>
                              </w:rPr>
                            </w:pPr>
                            <w:r>
                              <w:rPr>
                                <w:rFonts w:ascii="Calibri"/>
                                <w:color w:val="585858"/>
                                <w:spacing w:val="-4"/>
                                <w:sz w:val="18"/>
                              </w:rPr>
                              <w:t>2005</w:t>
                            </w:r>
                          </w:p>
                          <w:p>
                            <w:pPr>
                              <w:spacing w:before="62"/>
                              <w:ind w:left="20" w:right="0" w:firstLine="0"/>
                              <w:jc w:val="left"/>
                              <w:rPr>
                                <w:rFonts w:ascii="Calibri"/>
                                <w:sz w:val="18"/>
                              </w:rPr>
                            </w:pPr>
                            <w:r>
                              <w:rPr>
                                <w:rFonts w:ascii="Calibri"/>
                                <w:color w:val="585858"/>
                                <w:spacing w:val="-4"/>
                                <w:sz w:val="18"/>
                              </w:rPr>
                              <w:t>2006</w:t>
                            </w:r>
                          </w:p>
                          <w:p>
                            <w:pPr>
                              <w:spacing w:before="62"/>
                              <w:ind w:left="20" w:right="0" w:firstLine="0"/>
                              <w:jc w:val="left"/>
                              <w:rPr>
                                <w:rFonts w:ascii="Calibri"/>
                                <w:sz w:val="18"/>
                              </w:rPr>
                            </w:pPr>
                            <w:r>
                              <w:rPr>
                                <w:rFonts w:ascii="Calibri"/>
                                <w:color w:val="585858"/>
                                <w:spacing w:val="-4"/>
                                <w:sz w:val="18"/>
                              </w:rPr>
                              <w:t>2007</w:t>
                            </w:r>
                          </w:p>
                          <w:p>
                            <w:pPr>
                              <w:spacing w:before="63"/>
                              <w:ind w:left="20" w:right="0" w:firstLine="0"/>
                              <w:jc w:val="left"/>
                              <w:rPr>
                                <w:rFonts w:ascii="Calibri"/>
                                <w:sz w:val="18"/>
                              </w:rPr>
                            </w:pPr>
                            <w:r>
                              <w:rPr>
                                <w:rFonts w:ascii="Calibri"/>
                                <w:color w:val="585858"/>
                                <w:spacing w:val="-4"/>
                                <w:sz w:val="18"/>
                              </w:rPr>
                              <w:t>2008</w:t>
                            </w:r>
                          </w:p>
                          <w:p>
                            <w:pPr>
                              <w:spacing w:before="62"/>
                              <w:ind w:left="20" w:right="0" w:firstLine="0"/>
                              <w:jc w:val="left"/>
                              <w:rPr>
                                <w:rFonts w:ascii="Calibri"/>
                                <w:sz w:val="18"/>
                              </w:rPr>
                            </w:pPr>
                            <w:r>
                              <w:rPr>
                                <w:rFonts w:ascii="Calibri"/>
                                <w:color w:val="585858"/>
                                <w:spacing w:val="-4"/>
                                <w:sz w:val="18"/>
                              </w:rPr>
                              <w:t>2009</w:t>
                            </w:r>
                          </w:p>
                          <w:p>
                            <w:pPr>
                              <w:spacing w:before="63"/>
                              <w:ind w:left="20" w:right="0" w:firstLine="0"/>
                              <w:jc w:val="left"/>
                              <w:rPr>
                                <w:rFonts w:ascii="Calibri"/>
                                <w:sz w:val="18"/>
                              </w:rPr>
                            </w:pPr>
                            <w:r>
                              <w:rPr>
                                <w:rFonts w:ascii="Calibri"/>
                                <w:color w:val="585858"/>
                                <w:spacing w:val="-4"/>
                                <w:sz w:val="18"/>
                              </w:rPr>
                              <w:t>2010</w:t>
                            </w:r>
                          </w:p>
                          <w:p>
                            <w:pPr>
                              <w:spacing w:before="62"/>
                              <w:ind w:left="20" w:right="0" w:firstLine="0"/>
                              <w:jc w:val="left"/>
                              <w:rPr>
                                <w:rFonts w:ascii="Calibri"/>
                                <w:sz w:val="18"/>
                              </w:rPr>
                            </w:pPr>
                            <w:r>
                              <w:rPr>
                                <w:rFonts w:ascii="Calibri"/>
                                <w:color w:val="585858"/>
                                <w:spacing w:val="-4"/>
                                <w:sz w:val="18"/>
                              </w:rPr>
                              <w:t>2011</w:t>
                            </w:r>
                          </w:p>
                          <w:p>
                            <w:pPr>
                              <w:spacing w:before="63"/>
                              <w:ind w:left="20" w:right="0" w:firstLine="0"/>
                              <w:jc w:val="left"/>
                              <w:rPr>
                                <w:rFonts w:ascii="Calibri"/>
                                <w:sz w:val="18"/>
                              </w:rPr>
                            </w:pPr>
                            <w:r>
                              <w:rPr>
                                <w:rFonts w:ascii="Calibri"/>
                                <w:color w:val="585858"/>
                                <w:spacing w:val="-4"/>
                                <w:sz w:val="18"/>
                              </w:rPr>
                              <w:t>2012</w:t>
                            </w:r>
                          </w:p>
                          <w:p>
                            <w:pPr>
                              <w:spacing w:before="62"/>
                              <w:ind w:left="20" w:right="0" w:firstLine="0"/>
                              <w:jc w:val="left"/>
                              <w:rPr>
                                <w:rFonts w:ascii="Calibri"/>
                                <w:sz w:val="18"/>
                              </w:rPr>
                            </w:pPr>
                            <w:r>
                              <w:rPr>
                                <w:rFonts w:ascii="Calibri"/>
                                <w:color w:val="585858"/>
                                <w:spacing w:val="-4"/>
                                <w:sz w:val="18"/>
                              </w:rPr>
                              <w:t>2013</w:t>
                            </w:r>
                          </w:p>
                          <w:p>
                            <w:pPr>
                              <w:spacing w:before="62"/>
                              <w:ind w:left="20" w:right="0" w:firstLine="0"/>
                              <w:jc w:val="left"/>
                              <w:rPr>
                                <w:rFonts w:ascii="Calibri"/>
                                <w:sz w:val="18"/>
                              </w:rPr>
                            </w:pPr>
                            <w:r>
                              <w:rPr>
                                <w:rFonts w:ascii="Calibri"/>
                                <w:color w:val="585858"/>
                                <w:spacing w:val="-4"/>
                                <w:sz w:val="18"/>
                              </w:rPr>
                              <w:t>2014</w:t>
                            </w:r>
                          </w:p>
                          <w:p>
                            <w:pPr>
                              <w:spacing w:before="63"/>
                              <w:ind w:left="20" w:right="0" w:firstLine="0"/>
                              <w:jc w:val="left"/>
                              <w:rPr>
                                <w:rFonts w:ascii="Calibri"/>
                                <w:sz w:val="18"/>
                              </w:rPr>
                            </w:pPr>
                            <w:r>
                              <w:rPr>
                                <w:rFonts w:ascii="Calibri"/>
                                <w:color w:val="585858"/>
                                <w:spacing w:val="-4"/>
                                <w:sz w:val="18"/>
                              </w:rPr>
                              <w:t>2015</w:t>
                            </w:r>
                          </w:p>
                          <w:p>
                            <w:pPr>
                              <w:spacing w:before="63"/>
                              <w:ind w:left="20" w:right="0" w:firstLine="0"/>
                              <w:jc w:val="left"/>
                              <w:rPr>
                                <w:rFonts w:ascii="Calibri"/>
                                <w:sz w:val="18"/>
                              </w:rPr>
                            </w:pPr>
                            <w:r>
                              <w:rPr>
                                <w:rFonts w:ascii="Calibri"/>
                                <w:color w:val="585858"/>
                                <w:spacing w:val="-4"/>
                                <w:sz w:val="18"/>
                              </w:rPr>
                              <w:t>2016</w:t>
                            </w:r>
                          </w:p>
                          <w:p>
                            <w:pPr>
                              <w:spacing w:before="62"/>
                              <w:ind w:left="20" w:right="0" w:firstLine="0"/>
                              <w:jc w:val="left"/>
                              <w:rPr>
                                <w:rFonts w:ascii="Calibri"/>
                                <w:sz w:val="18"/>
                              </w:rPr>
                            </w:pPr>
                            <w:r>
                              <w:rPr>
                                <w:rFonts w:ascii="Calibri"/>
                                <w:color w:val="585858"/>
                                <w:spacing w:val="-4"/>
                                <w:sz w:val="18"/>
                              </w:rPr>
                              <w:t>2017</w:t>
                            </w:r>
                          </w:p>
                          <w:p>
                            <w:pPr>
                              <w:spacing w:before="62"/>
                              <w:ind w:left="20" w:right="0" w:firstLine="0"/>
                              <w:jc w:val="left"/>
                              <w:rPr>
                                <w:rFonts w:ascii="Calibri"/>
                                <w:sz w:val="18"/>
                              </w:rPr>
                            </w:pPr>
                            <w:r>
                              <w:rPr>
                                <w:rFonts w:ascii="Calibri"/>
                                <w:color w:val="585858"/>
                                <w:spacing w:val="-4"/>
                                <w:sz w:val="18"/>
                              </w:rPr>
                              <w:t>2018</w:t>
                            </w:r>
                          </w:p>
                          <w:p>
                            <w:pPr>
                              <w:spacing w:before="63"/>
                              <w:ind w:left="20" w:right="0" w:firstLine="0"/>
                              <w:jc w:val="left"/>
                              <w:rPr>
                                <w:rFonts w:ascii="Calibri"/>
                                <w:sz w:val="18"/>
                              </w:rPr>
                            </w:pPr>
                            <w:r>
                              <w:rPr>
                                <w:rFonts w:ascii="Calibri"/>
                                <w:color w:val="585858"/>
                                <w:spacing w:val="-4"/>
                                <w:sz w:val="18"/>
                              </w:rPr>
                              <w:t>2019</w:t>
                            </w:r>
                          </w:p>
                          <w:p>
                            <w:pPr>
                              <w:spacing w:before="63"/>
                              <w:ind w:left="20" w:right="0" w:firstLine="0"/>
                              <w:jc w:val="left"/>
                              <w:rPr>
                                <w:rFonts w:ascii="Calibri"/>
                                <w:sz w:val="18"/>
                              </w:rPr>
                            </w:pPr>
                            <w:r>
                              <w:rPr>
                                <w:rFonts w:ascii="Calibri"/>
                                <w:color w:val="585858"/>
                                <w:spacing w:val="-4"/>
                                <w:sz w:val="18"/>
                              </w:rPr>
                              <w:t>2020</w:t>
                            </w:r>
                          </w:p>
                          <w:p>
                            <w:pPr>
                              <w:spacing w:before="61"/>
                              <w:ind w:left="20" w:right="0" w:firstLine="0"/>
                              <w:jc w:val="left"/>
                              <w:rPr>
                                <w:rFonts w:ascii="Calibri"/>
                                <w:sz w:val="18"/>
                              </w:rPr>
                            </w:pPr>
                            <w:r>
                              <w:rPr>
                                <w:rFonts w:ascii="Calibri"/>
                                <w:color w:val="585858"/>
                                <w:spacing w:val="-4"/>
                                <w:sz w:val="18"/>
                              </w:rPr>
                              <w:t>2021</w:t>
                            </w:r>
                          </w:p>
                          <w:p>
                            <w:pPr>
                              <w:spacing w:before="63"/>
                              <w:ind w:left="20" w:right="0" w:firstLine="0"/>
                              <w:jc w:val="left"/>
                              <w:rPr>
                                <w:rFonts w:ascii="Calibri"/>
                                <w:sz w:val="18"/>
                              </w:rPr>
                            </w:pPr>
                            <w:r>
                              <w:rPr>
                                <w:rFonts w:ascii="Calibri"/>
                                <w:color w:val="585858"/>
                                <w:spacing w:val="-4"/>
                                <w:sz w:val="18"/>
                              </w:rPr>
                              <w:t>2022</w:t>
                            </w:r>
                          </w:p>
                          <w:p>
                            <w:pPr>
                              <w:spacing w:before="63"/>
                              <w:ind w:left="20" w:right="0" w:firstLine="0"/>
                              <w:jc w:val="left"/>
                              <w:rPr>
                                <w:rFonts w:ascii="Calibri"/>
                                <w:sz w:val="18"/>
                              </w:rPr>
                            </w:pPr>
                            <w:r>
                              <w:rPr>
                                <w:rFonts w:ascii="Calibri"/>
                                <w:color w:val="585858"/>
                                <w:spacing w:val="-4"/>
                                <w:sz w:val="18"/>
                              </w:rPr>
                              <w:t>2023</w:t>
                            </w:r>
                          </w:p>
                          <w:p>
                            <w:pPr>
                              <w:spacing w:before="62"/>
                              <w:ind w:left="20" w:right="0" w:firstLine="0"/>
                              <w:jc w:val="left"/>
                              <w:rPr>
                                <w:rFonts w:ascii="Calibri"/>
                                <w:sz w:val="18"/>
                              </w:rPr>
                            </w:pPr>
                            <w:r>
                              <w:rPr>
                                <w:rFonts w:ascii="Calibri"/>
                                <w:color w:val="585858"/>
                                <w:spacing w:val="-4"/>
                                <w:sz w:val="18"/>
                              </w:rPr>
                              <w:t>2024</w:t>
                            </w:r>
                          </w:p>
                        </w:txbxContent>
                      </wps:txbx>
                      <wps:bodyPr wrap="square" lIns="0" tIns="0" rIns="0" bIns="0" rtlCol="0" vert="vert270">
                        <a:noAutofit/>
                      </wps:bodyPr>
                    </wps:wsp>
                  </a:graphicData>
                </a:graphic>
              </wp:anchor>
            </w:drawing>
          </mc:Choice>
          <mc:Fallback>
            <w:pict>
              <v:shape style="position:absolute;margin-left:157.75pt;margin-top:-61.939533pt;width:279.1pt;height:20.25pt;mso-position-horizontal-relative:page;mso-position-vertical-relative:paragraph;z-index:15743488" type="#_x0000_t202" id="docshape272"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color w:val="585858"/>
                          <w:spacing w:val="-4"/>
                          <w:sz w:val="18"/>
                        </w:rPr>
                        <w:t>2005</w:t>
                      </w:r>
                    </w:p>
                    <w:p>
                      <w:pPr>
                        <w:spacing w:before="62"/>
                        <w:ind w:left="20" w:right="0" w:firstLine="0"/>
                        <w:jc w:val="left"/>
                        <w:rPr>
                          <w:rFonts w:ascii="Calibri"/>
                          <w:sz w:val="18"/>
                        </w:rPr>
                      </w:pPr>
                      <w:r>
                        <w:rPr>
                          <w:rFonts w:ascii="Calibri"/>
                          <w:color w:val="585858"/>
                          <w:spacing w:val="-4"/>
                          <w:sz w:val="18"/>
                        </w:rPr>
                        <w:t>2006</w:t>
                      </w:r>
                    </w:p>
                    <w:p>
                      <w:pPr>
                        <w:spacing w:before="62"/>
                        <w:ind w:left="20" w:right="0" w:firstLine="0"/>
                        <w:jc w:val="left"/>
                        <w:rPr>
                          <w:rFonts w:ascii="Calibri"/>
                          <w:sz w:val="18"/>
                        </w:rPr>
                      </w:pPr>
                      <w:r>
                        <w:rPr>
                          <w:rFonts w:ascii="Calibri"/>
                          <w:color w:val="585858"/>
                          <w:spacing w:val="-4"/>
                          <w:sz w:val="18"/>
                        </w:rPr>
                        <w:t>2007</w:t>
                      </w:r>
                    </w:p>
                    <w:p>
                      <w:pPr>
                        <w:spacing w:before="63"/>
                        <w:ind w:left="20" w:right="0" w:firstLine="0"/>
                        <w:jc w:val="left"/>
                        <w:rPr>
                          <w:rFonts w:ascii="Calibri"/>
                          <w:sz w:val="18"/>
                        </w:rPr>
                      </w:pPr>
                      <w:r>
                        <w:rPr>
                          <w:rFonts w:ascii="Calibri"/>
                          <w:color w:val="585858"/>
                          <w:spacing w:val="-4"/>
                          <w:sz w:val="18"/>
                        </w:rPr>
                        <w:t>2008</w:t>
                      </w:r>
                    </w:p>
                    <w:p>
                      <w:pPr>
                        <w:spacing w:before="62"/>
                        <w:ind w:left="20" w:right="0" w:firstLine="0"/>
                        <w:jc w:val="left"/>
                        <w:rPr>
                          <w:rFonts w:ascii="Calibri"/>
                          <w:sz w:val="18"/>
                        </w:rPr>
                      </w:pPr>
                      <w:r>
                        <w:rPr>
                          <w:rFonts w:ascii="Calibri"/>
                          <w:color w:val="585858"/>
                          <w:spacing w:val="-4"/>
                          <w:sz w:val="18"/>
                        </w:rPr>
                        <w:t>2009</w:t>
                      </w:r>
                    </w:p>
                    <w:p>
                      <w:pPr>
                        <w:spacing w:before="63"/>
                        <w:ind w:left="20" w:right="0" w:firstLine="0"/>
                        <w:jc w:val="left"/>
                        <w:rPr>
                          <w:rFonts w:ascii="Calibri"/>
                          <w:sz w:val="18"/>
                        </w:rPr>
                      </w:pPr>
                      <w:r>
                        <w:rPr>
                          <w:rFonts w:ascii="Calibri"/>
                          <w:color w:val="585858"/>
                          <w:spacing w:val="-4"/>
                          <w:sz w:val="18"/>
                        </w:rPr>
                        <w:t>2010</w:t>
                      </w:r>
                    </w:p>
                    <w:p>
                      <w:pPr>
                        <w:spacing w:before="62"/>
                        <w:ind w:left="20" w:right="0" w:firstLine="0"/>
                        <w:jc w:val="left"/>
                        <w:rPr>
                          <w:rFonts w:ascii="Calibri"/>
                          <w:sz w:val="18"/>
                        </w:rPr>
                      </w:pPr>
                      <w:r>
                        <w:rPr>
                          <w:rFonts w:ascii="Calibri"/>
                          <w:color w:val="585858"/>
                          <w:spacing w:val="-4"/>
                          <w:sz w:val="18"/>
                        </w:rPr>
                        <w:t>2011</w:t>
                      </w:r>
                    </w:p>
                    <w:p>
                      <w:pPr>
                        <w:spacing w:before="63"/>
                        <w:ind w:left="20" w:right="0" w:firstLine="0"/>
                        <w:jc w:val="left"/>
                        <w:rPr>
                          <w:rFonts w:ascii="Calibri"/>
                          <w:sz w:val="18"/>
                        </w:rPr>
                      </w:pPr>
                      <w:r>
                        <w:rPr>
                          <w:rFonts w:ascii="Calibri"/>
                          <w:color w:val="585858"/>
                          <w:spacing w:val="-4"/>
                          <w:sz w:val="18"/>
                        </w:rPr>
                        <w:t>2012</w:t>
                      </w:r>
                    </w:p>
                    <w:p>
                      <w:pPr>
                        <w:spacing w:before="62"/>
                        <w:ind w:left="20" w:right="0" w:firstLine="0"/>
                        <w:jc w:val="left"/>
                        <w:rPr>
                          <w:rFonts w:ascii="Calibri"/>
                          <w:sz w:val="18"/>
                        </w:rPr>
                      </w:pPr>
                      <w:r>
                        <w:rPr>
                          <w:rFonts w:ascii="Calibri"/>
                          <w:color w:val="585858"/>
                          <w:spacing w:val="-4"/>
                          <w:sz w:val="18"/>
                        </w:rPr>
                        <w:t>2013</w:t>
                      </w:r>
                    </w:p>
                    <w:p>
                      <w:pPr>
                        <w:spacing w:before="62"/>
                        <w:ind w:left="20" w:right="0" w:firstLine="0"/>
                        <w:jc w:val="left"/>
                        <w:rPr>
                          <w:rFonts w:ascii="Calibri"/>
                          <w:sz w:val="18"/>
                        </w:rPr>
                      </w:pPr>
                      <w:r>
                        <w:rPr>
                          <w:rFonts w:ascii="Calibri"/>
                          <w:color w:val="585858"/>
                          <w:spacing w:val="-4"/>
                          <w:sz w:val="18"/>
                        </w:rPr>
                        <w:t>2014</w:t>
                      </w:r>
                    </w:p>
                    <w:p>
                      <w:pPr>
                        <w:spacing w:before="63"/>
                        <w:ind w:left="20" w:right="0" w:firstLine="0"/>
                        <w:jc w:val="left"/>
                        <w:rPr>
                          <w:rFonts w:ascii="Calibri"/>
                          <w:sz w:val="18"/>
                        </w:rPr>
                      </w:pPr>
                      <w:r>
                        <w:rPr>
                          <w:rFonts w:ascii="Calibri"/>
                          <w:color w:val="585858"/>
                          <w:spacing w:val="-4"/>
                          <w:sz w:val="18"/>
                        </w:rPr>
                        <w:t>2015</w:t>
                      </w:r>
                    </w:p>
                    <w:p>
                      <w:pPr>
                        <w:spacing w:before="63"/>
                        <w:ind w:left="20" w:right="0" w:firstLine="0"/>
                        <w:jc w:val="left"/>
                        <w:rPr>
                          <w:rFonts w:ascii="Calibri"/>
                          <w:sz w:val="18"/>
                        </w:rPr>
                      </w:pPr>
                      <w:r>
                        <w:rPr>
                          <w:rFonts w:ascii="Calibri"/>
                          <w:color w:val="585858"/>
                          <w:spacing w:val="-4"/>
                          <w:sz w:val="18"/>
                        </w:rPr>
                        <w:t>2016</w:t>
                      </w:r>
                    </w:p>
                    <w:p>
                      <w:pPr>
                        <w:spacing w:before="62"/>
                        <w:ind w:left="20" w:right="0" w:firstLine="0"/>
                        <w:jc w:val="left"/>
                        <w:rPr>
                          <w:rFonts w:ascii="Calibri"/>
                          <w:sz w:val="18"/>
                        </w:rPr>
                      </w:pPr>
                      <w:r>
                        <w:rPr>
                          <w:rFonts w:ascii="Calibri"/>
                          <w:color w:val="585858"/>
                          <w:spacing w:val="-4"/>
                          <w:sz w:val="18"/>
                        </w:rPr>
                        <w:t>2017</w:t>
                      </w:r>
                    </w:p>
                    <w:p>
                      <w:pPr>
                        <w:spacing w:before="62"/>
                        <w:ind w:left="20" w:right="0" w:firstLine="0"/>
                        <w:jc w:val="left"/>
                        <w:rPr>
                          <w:rFonts w:ascii="Calibri"/>
                          <w:sz w:val="18"/>
                        </w:rPr>
                      </w:pPr>
                      <w:r>
                        <w:rPr>
                          <w:rFonts w:ascii="Calibri"/>
                          <w:color w:val="585858"/>
                          <w:spacing w:val="-4"/>
                          <w:sz w:val="18"/>
                        </w:rPr>
                        <w:t>2018</w:t>
                      </w:r>
                    </w:p>
                    <w:p>
                      <w:pPr>
                        <w:spacing w:before="63"/>
                        <w:ind w:left="20" w:right="0" w:firstLine="0"/>
                        <w:jc w:val="left"/>
                        <w:rPr>
                          <w:rFonts w:ascii="Calibri"/>
                          <w:sz w:val="18"/>
                        </w:rPr>
                      </w:pPr>
                      <w:r>
                        <w:rPr>
                          <w:rFonts w:ascii="Calibri"/>
                          <w:color w:val="585858"/>
                          <w:spacing w:val="-4"/>
                          <w:sz w:val="18"/>
                        </w:rPr>
                        <w:t>2019</w:t>
                      </w:r>
                    </w:p>
                    <w:p>
                      <w:pPr>
                        <w:spacing w:before="63"/>
                        <w:ind w:left="20" w:right="0" w:firstLine="0"/>
                        <w:jc w:val="left"/>
                        <w:rPr>
                          <w:rFonts w:ascii="Calibri"/>
                          <w:sz w:val="18"/>
                        </w:rPr>
                      </w:pPr>
                      <w:r>
                        <w:rPr>
                          <w:rFonts w:ascii="Calibri"/>
                          <w:color w:val="585858"/>
                          <w:spacing w:val="-4"/>
                          <w:sz w:val="18"/>
                        </w:rPr>
                        <w:t>2020</w:t>
                      </w:r>
                    </w:p>
                    <w:p>
                      <w:pPr>
                        <w:spacing w:before="61"/>
                        <w:ind w:left="20" w:right="0" w:firstLine="0"/>
                        <w:jc w:val="left"/>
                        <w:rPr>
                          <w:rFonts w:ascii="Calibri"/>
                          <w:sz w:val="18"/>
                        </w:rPr>
                      </w:pPr>
                      <w:r>
                        <w:rPr>
                          <w:rFonts w:ascii="Calibri"/>
                          <w:color w:val="585858"/>
                          <w:spacing w:val="-4"/>
                          <w:sz w:val="18"/>
                        </w:rPr>
                        <w:t>2021</w:t>
                      </w:r>
                    </w:p>
                    <w:p>
                      <w:pPr>
                        <w:spacing w:before="63"/>
                        <w:ind w:left="20" w:right="0" w:firstLine="0"/>
                        <w:jc w:val="left"/>
                        <w:rPr>
                          <w:rFonts w:ascii="Calibri"/>
                          <w:sz w:val="18"/>
                        </w:rPr>
                      </w:pPr>
                      <w:r>
                        <w:rPr>
                          <w:rFonts w:ascii="Calibri"/>
                          <w:color w:val="585858"/>
                          <w:spacing w:val="-4"/>
                          <w:sz w:val="18"/>
                        </w:rPr>
                        <w:t>2022</w:t>
                      </w:r>
                    </w:p>
                    <w:p>
                      <w:pPr>
                        <w:spacing w:before="63"/>
                        <w:ind w:left="20" w:right="0" w:firstLine="0"/>
                        <w:jc w:val="left"/>
                        <w:rPr>
                          <w:rFonts w:ascii="Calibri"/>
                          <w:sz w:val="18"/>
                        </w:rPr>
                      </w:pPr>
                      <w:r>
                        <w:rPr>
                          <w:rFonts w:ascii="Calibri"/>
                          <w:color w:val="585858"/>
                          <w:spacing w:val="-4"/>
                          <w:sz w:val="18"/>
                        </w:rPr>
                        <w:t>2023</w:t>
                      </w:r>
                    </w:p>
                    <w:p>
                      <w:pPr>
                        <w:spacing w:before="62"/>
                        <w:ind w:left="20" w:right="0" w:firstLine="0"/>
                        <w:jc w:val="left"/>
                        <w:rPr>
                          <w:rFonts w:ascii="Calibri"/>
                          <w:sz w:val="18"/>
                        </w:rPr>
                      </w:pPr>
                      <w:r>
                        <w:rPr>
                          <w:rFonts w:ascii="Calibri"/>
                          <w:color w:val="585858"/>
                          <w:spacing w:val="-4"/>
                          <w:sz w:val="18"/>
                        </w:rPr>
                        <w:t>2024</w:t>
                      </w:r>
                    </w:p>
                  </w:txbxContent>
                </v:textbox>
                <w10:wrap type="none"/>
              </v:shape>
            </w:pict>
          </mc:Fallback>
        </mc:AlternateContent>
      </w:r>
      <w:r>
        <w:rPr>
          <w:i/>
          <w:color w:val="44536A"/>
          <w:sz w:val="18"/>
        </w:rPr>
        <w:t>Figure</w:t>
      </w:r>
      <w:r>
        <w:rPr>
          <w:i/>
          <w:color w:val="44536A"/>
          <w:spacing w:val="-2"/>
          <w:sz w:val="18"/>
        </w:rPr>
        <w:t> </w:t>
      </w:r>
      <w:r>
        <w:rPr>
          <w:i/>
          <w:color w:val="44536A"/>
          <w:sz w:val="18"/>
        </w:rPr>
        <w:t>12:</w:t>
      </w:r>
      <w:r>
        <w:rPr>
          <w:i/>
          <w:color w:val="44536A"/>
          <w:spacing w:val="-2"/>
          <w:sz w:val="18"/>
        </w:rPr>
        <w:t> </w:t>
      </w:r>
      <w:r>
        <w:rPr>
          <w:i/>
          <w:color w:val="44536A"/>
          <w:sz w:val="18"/>
        </w:rPr>
        <w:t>year</w:t>
      </w:r>
      <w:r>
        <w:rPr>
          <w:i/>
          <w:color w:val="44536A"/>
          <w:spacing w:val="-2"/>
          <w:sz w:val="18"/>
        </w:rPr>
        <w:t> </w:t>
      </w:r>
      <w:r>
        <w:rPr>
          <w:i/>
          <w:color w:val="44536A"/>
          <w:sz w:val="18"/>
        </w:rPr>
        <w:t>wise</w:t>
      </w:r>
      <w:r>
        <w:rPr>
          <w:i/>
          <w:color w:val="44536A"/>
          <w:spacing w:val="-3"/>
          <w:sz w:val="18"/>
        </w:rPr>
        <w:t> </w:t>
      </w:r>
      <w:r>
        <w:rPr>
          <w:i/>
          <w:color w:val="44536A"/>
          <w:sz w:val="18"/>
        </w:rPr>
        <w:t>exit</w:t>
      </w:r>
      <w:r>
        <w:rPr>
          <w:i/>
          <w:color w:val="44536A"/>
          <w:spacing w:val="-3"/>
          <w:sz w:val="18"/>
        </w:rPr>
        <w:t> </w:t>
      </w:r>
      <w:r>
        <w:rPr>
          <w:i/>
          <w:color w:val="44536A"/>
          <w:sz w:val="18"/>
        </w:rPr>
        <w:t>deal</w:t>
      </w:r>
      <w:r>
        <w:rPr>
          <w:i/>
          <w:color w:val="44536A"/>
          <w:spacing w:val="-1"/>
          <w:sz w:val="18"/>
        </w:rPr>
        <w:t> </w:t>
      </w:r>
      <w:r>
        <w:rPr>
          <w:i/>
          <w:color w:val="44536A"/>
          <w:spacing w:val="-2"/>
          <w:sz w:val="18"/>
        </w:rPr>
        <w:t>counts</w:t>
      </w:r>
    </w:p>
    <w:p>
      <w:pPr>
        <w:pStyle w:val="BodyText"/>
        <w:spacing w:line="360" w:lineRule="auto" w:before="196"/>
        <w:ind w:left="23" w:right="18"/>
        <w:jc w:val="both"/>
      </w:pPr>
      <w:r>
        <w:rPr/>
        <w:t>Exit performance gives an idea of efficiency of capital recycling and time horizons of value realization in Indian private equity market. Performance is usually estimated on the basis of holding periods and return multiples. However, the exit data set that is obtained from LSEG does not always contain investment entry values or exit valuations. As a result, quantitative computation of MOIC (Multiple on Invested Capital) or IRR (Internal Rate of Return) cannot be</w:t>
      </w:r>
      <w:r>
        <w:rPr>
          <w:spacing w:val="-15"/>
        </w:rPr>
        <w:t> </w:t>
      </w:r>
      <w:r>
        <w:rPr/>
        <w:t>made</w:t>
      </w:r>
      <w:r>
        <w:rPr>
          <w:spacing w:val="-15"/>
        </w:rPr>
        <w:t> </w:t>
      </w:r>
      <w:r>
        <w:rPr/>
        <w:t>possible</w:t>
      </w:r>
      <w:r>
        <w:rPr>
          <w:spacing w:val="-15"/>
        </w:rPr>
        <w:t> </w:t>
      </w:r>
      <w:r>
        <w:rPr/>
        <w:t>within</w:t>
      </w:r>
      <w:r>
        <w:rPr>
          <w:spacing w:val="-15"/>
        </w:rPr>
        <w:t> </w:t>
      </w:r>
      <w:r>
        <w:rPr/>
        <w:t>the</w:t>
      </w:r>
      <w:r>
        <w:rPr>
          <w:spacing w:val="-15"/>
        </w:rPr>
        <w:t> </w:t>
      </w:r>
      <w:r>
        <w:rPr/>
        <w:t>dataset.</w:t>
      </w:r>
      <w:r>
        <w:rPr>
          <w:spacing w:val="-15"/>
        </w:rPr>
        <w:t> </w:t>
      </w:r>
      <w:r>
        <w:rPr/>
        <w:t>This</w:t>
      </w:r>
      <w:r>
        <w:rPr>
          <w:spacing w:val="-15"/>
        </w:rPr>
        <w:t> </w:t>
      </w:r>
      <w:r>
        <w:rPr/>
        <w:t>limitation</w:t>
      </w:r>
      <w:r>
        <w:rPr>
          <w:spacing w:val="-15"/>
        </w:rPr>
        <w:t> </w:t>
      </w:r>
      <w:r>
        <w:rPr/>
        <w:t>limits</w:t>
      </w:r>
      <w:r>
        <w:rPr>
          <w:spacing w:val="-15"/>
        </w:rPr>
        <w:t> </w:t>
      </w:r>
      <w:r>
        <w:rPr/>
        <w:t>comparisons</w:t>
      </w:r>
      <w:r>
        <w:rPr>
          <w:spacing w:val="-15"/>
        </w:rPr>
        <w:t> </w:t>
      </w:r>
      <w:r>
        <w:rPr/>
        <w:t>of</w:t>
      </w:r>
      <w:r>
        <w:rPr>
          <w:spacing w:val="-15"/>
        </w:rPr>
        <w:t> </w:t>
      </w:r>
      <w:r>
        <w:rPr/>
        <w:t>returns</w:t>
      </w:r>
      <w:r>
        <w:rPr>
          <w:spacing w:val="-15"/>
        </w:rPr>
        <w:t> </w:t>
      </w:r>
      <w:r>
        <w:rPr/>
        <w:t>across</w:t>
      </w:r>
      <w:r>
        <w:rPr>
          <w:spacing w:val="-15"/>
        </w:rPr>
        <w:t> </w:t>
      </w:r>
      <w:r>
        <w:rPr/>
        <w:t>sectors but is not an impediment to interpreting performance using other measures.</w:t>
      </w:r>
    </w:p>
    <w:p>
      <w:pPr>
        <w:pStyle w:val="BodyText"/>
        <w:spacing w:line="360" w:lineRule="auto" w:before="160"/>
        <w:ind w:left="23" w:right="18"/>
        <w:jc w:val="both"/>
      </w:pPr>
      <w:r>
        <w:rPr/>
        <w:t>To deal with this constraint, exit performance is measured in terms of holding period approximations, calculated indirectly by industry benchmarks and investment-to-exit year differentials where available. Descriptively, the data implies that sectors with high exit frequency - notably Technology, Industrials and Consumer Cyclicals - tend to have shorter implied holding periods, as the relative consistency of the volume of exits can be assumed to result in higher turnover and a more predictable exit pipeline. In contrast, sectors like Real Estate, Energy and Basic Materials exhibit less exit occurrence, which implies longer</w:t>
      </w:r>
      <w:r>
        <w:rPr>
          <w:spacing w:val="-1"/>
        </w:rPr>
        <w:t> </w:t>
      </w:r>
      <w:r>
        <w:rPr/>
        <w:t>holding horizon and lower liquidity elasticity.</w:t>
      </w:r>
    </w:p>
    <w:p>
      <w:pPr>
        <w:pStyle w:val="BodyText"/>
        <w:spacing w:after="0" w:line="360" w:lineRule="auto"/>
        <w:jc w:val="both"/>
        <w:sectPr>
          <w:pgSz w:w="11910" w:h="16840"/>
          <w:pgMar w:header="0" w:footer="1009" w:top="1360" w:bottom="1280" w:left="1417" w:right="1417"/>
        </w:sectPr>
      </w:pPr>
    </w:p>
    <w:p>
      <w:pPr>
        <w:pStyle w:val="BodyText"/>
        <w:spacing w:line="360" w:lineRule="auto" w:before="61"/>
        <w:ind w:left="23" w:right="19"/>
        <w:jc w:val="both"/>
      </w:pPr>
      <w:r>
        <w:rPr/>
        <w:t>While exact MOIC values are not readily available, qualitative comparisons with market reports (Bain &amp; Company, 2024; EY India PE Report, 2023) suggest that technology-driven IPOs and strategic M&amp;As transactions have created relatively better results, especially during the time around the peak of liquidity in 2021. Meanwhile, turnaround linked exits under IBC structures provide evidence for recovery-driven returns rather than growth-driven multiples.</w:t>
      </w:r>
    </w:p>
    <w:p>
      <w:pPr>
        <w:pStyle w:val="Heading2"/>
        <w:numPr>
          <w:ilvl w:val="1"/>
          <w:numId w:val="5"/>
        </w:numPr>
        <w:tabs>
          <w:tab w:pos="411" w:val="left" w:leader="none"/>
        </w:tabs>
        <w:spacing w:line="240" w:lineRule="auto" w:before="160" w:after="0"/>
        <w:ind w:left="411" w:right="0" w:hanging="388"/>
        <w:jc w:val="both"/>
      </w:pPr>
      <w:bookmarkStart w:name="_bookmark59" w:id="60"/>
      <w:bookmarkEnd w:id="60"/>
      <w:r>
        <w:rPr>
          <w:b w:val="0"/>
        </w:rPr>
      </w:r>
      <w:r>
        <w:rPr/>
        <w:t>Comparative</w:t>
      </w:r>
      <w:r>
        <w:rPr>
          <w:spacing w:val="-17"/>
        </w:rPr>
        <w:t> </w:t>
      </w:r>
      <w:r>
        <w:rPr/>
        <w:t>Analysis</w:t>
      </w:r>
      <w:r>
        <w:rPr>
          <w:spacing w:val="-16"/>
        </w:rPr>
        <w:t> </w:t>
      </w:r>
      <w:r>
        <w:rPr/>
        <w:t>with</w:t>
      </w:r>
      <w:r>
        <w:rPr>
          <w:spacing w:val="-11"/>
        </w:rPr>
        <w:t> </w:t>
      </w:r>
      <w:r>
        <w:rPr/>
        <w:t>Emerging</w:t>
      </w:r>
      <w:r>
        <w:rPr>
          <w:spacing w:val="-12"/>
        </w:rPr>
        <w:t> </w:t>
      </w:r>
      <w:r>
        <w:rPr>
          <w:spacing w:val="-2"/>
        </w:rPr>
        <w:t>Markets</w:t>
      </w:r>
    </w:p>
    <w:p>
      <w:pPr>
        <w:pStyle w:val="BodyText"/>
        <w:spacing w:line="360" w:lineRule="auto" w:before="229"/>
        <w:ind w:left="23" w:right="18"/>
        <w:jc w:val="both"/>
      </w:pPr>
      <w:r>
        <w:rPr/>
        <w:t>A comparative assessment of India's private equity landscape vis-a-vis other important emerging markets, namely China, South-east Asia (Indonesia and Vietnam) and Brazil. The comparison focuses on investment inflows, exit pathways, buyout activity and depth of liquidity to contextualise India's performance.</w:t>
      </w:r>
    </w:p>
    <w:p>
      <w:pPr>
        <w:pStyle w:val="BodyText"/>
        <w:spacing w:before="1"/>
        <w:rPr>
          <w:sz w:val="15"/>
        </w:rPr>
      </w:pPr>
    </w:p>
    <w:p>
      <w:pPr>
        <w:pStyle w:val="BodyText"/>
        <w:ind w:left="23" w:right="-72"/>
        <w:rPr>
          <w:sz w:val="20"/>
        </w:rPr>
      </w:pPr>
      <w:r>
        <w:rPr>
          <w:sz w:val="20"/>
        </w:rPr>
        <w:drawing>
          <wp:inline distT="0" distB="0" distL="0" distR="0">
            <wp:extent cx="5761088" cy="3208401"/>
            <wp:effectExtent l="0" t="0" r="0" b="0"/>
            <wp:docPr id="286" name="Image 286" descr="Asia-Pacific Private Equity Report 2022 | Bain &amp; Company"/>
            <wp:cNvGraphicFramePr>
              <a:graphicFrameLocks/>
            </wp:cNvGraphicFramePr>
            <a:graphic>
              <a:graphicData uri="http://schemas.openxmlformats.org/drawingml/2006/picture">
                <pic:pic>
                  <pic:nvPicPr>
                    <pic:cNvPr id="286" name="Image 286" descr="Asia-Pacific Private Equity Report 2022 | Bain &amp; Company"/>
                    <pic:cNvPicPr/>
                  </pic:nvPicPr>
                  <pic:blipFill>
                    <a:blip r:embed="rId48" cstate="print"/>
                    <a:stretch>
                      <a:fillRect/>
                    </a:stretch>
                  </pic:blipFill>
                  <pic:spPr>
                    <a:xfrm>
                      <a:off x="0" y="0"/>
                      <a:ext cx="5761088" cy="3208401"/>
                    </a:xfrm>
                    <a:prstGeom prst="rect">
                      <a:avLst/>
                    </a:prstGeom>
                  </pic:spPr>
                </pic:pic>
              </a:graphicData>
            </a:graphic>
          </wp:inline>
        </w:drawing>
      </w:r>
      <w:r>
        <w:rPr>
          <w:sz w:val="20"/>
        </w:rPr>
      </w:r>
    </w:p>
    <w:p>
      <w:pPr>
        <w:pStyle w:val="BodyText"/>
        <w:spacing w:before="36"/>
      </w:pPr>
    </w:p>
    <w:p>
      <w:pPr>
        <w:spacing w:before="0"/>
        <w:ind w:left="2" w:right="1" w:firstLine="0"/>
        <w:jc w:val="center"/>
        <w:rPr>
          <w:i/>
          <w:sz w:val="18"/>
        </w:rPr>
      </w:pPr>
      <w:r>
        <w:rPr>
          <w:i/>
          <w:color w:val="44536A"/>
          <w:sz w:val="18"/>
        </w:rPr>
        <w:t>Figure</w:t>
      </w:r>
      <w:r>
        <w:rPr>
          <w:i/>
          <w:color w:val="44536A"/>
          <w:spacing w:val="-2"/>
          <w:sz w:val="18"/>
        </w:rPr>
        <w:t> </w:t>
      </w:r>
      <w:r>
        <w:rPr>
          <w:i/>
          <w:color w:val="44536A"/>
          <w:sz w:val="18"/>
        </w:rPr>
        <w:t>13:</w:t>
      </w:r>
      <w:r>
        <w:rPr>
          <w:i/>
          <w:color w:val="44536A"/>
          <w:spacing w:val="-6"/>
          <w:sz w:val="18"/>
        </w:rPr>
        <w:t> </w:t>
      </w:r>
      <w:r>
        <w:rPr>
          <w:i/>
          <w:color w:val="44536A"/>
          <w:sz w:val="18"/>
        </w:rPr>
        <w:t>Asia</w:t>
      </w:r>
      <w:r>
        <w:rPr>
          <w:i/>
          <w:color w:val="44536A"/>
          <w:spacing w:val="-3"/>
          <w:sz w:val="18"/>
        </w:rPr>
        <w:t> </w:t>
      </w:r>
      <w:r>
        <w:rPr>
          <w:i/>
          <w:color w:val="44536A"/>
          <w:sz w:val="18"/>
        </w:rPr>
        <w:t>pacific</w:t>
      </w:r>
      <w:r>
        <w:rPr>
          <w:i/>
          <w:color w:val="44536A"/>
          <w:spacing w:val="-1"/>
          <w:sz w:val="18"/>
        </w:rPr>
        <w:t> </w:t>
      </w:r>
      <w:r>
        <w:rPr>
          <w:i/>
          <w:color w:val="44536A"/>
          <w:sz w:val="18"/>
        </w:rPr>
        <w:t>private</w:t>
      </w:r>
      <w:r>
        <w:rPr>
          <w:i/>
          <w:color w:val="44536A"/>
          <w:spacing w:val="-1"/>
          <w:sz w:val="18"/>
        </w:rPr>
        <w:t> </w:t>
      </w:r>
      <w:r>
        <w:rPr>
          <w:i/>
          <w:color w:val="44536A"/>
          <w:spacing w:val="-2"/>
          <w:sz w:val="18"/>
        </w:rPr>
        <w:t>equity</w:t>
      </w:r>
    </w:p>
    <w:p>
      <w:pPr>
        <w:spacing w:after="0"/>
        <w:jc w:val="center"/>
        <w:rPr>
          <w:i/>
          <w:sz w:val="18"/>
        </w:rPr>
        <w:sectPr>
          <w:pgSz w:w="11910" w:h="16840"/>
          <w:pgMar w:header="0" w:footer="1009" w:top="1360" w:bottom="1200" w:left="1417" w:right="1417"/>
        </w:sectPr>
      </w:pPr>
    </w:p>
    <w:p>
      <w:pPr>
        <w:pStyle w:val="BodyText"/>
        <w:ind w:left="148"/>
        <w:rPr>
          <w:sz w:val="20"/>
        </w:rPr>
      </w:pPr>
      <w:r>
        <w:rPr>
          <w:sz w:val="20"/>
        </w:rPr>
        <w:drawing>
          <wp:inline distT="0" distB="0" distL="0" distR="0">
            <wp:extent cx="5383858" cy="2996279"/>
            <wp:effectExtent l="0" t="0" r="0" b="0"/>
            <wp:docPr id="287" name="Image 287" descr="A graph with orange and blue bars  AI-generated content may be incorrect."/>
            <wp:cNvGraphicFramePr>
              <a:graphicFrameLocks/>
            </wp:cNvGraphicFramePr>
            <a:graphic>
              <a:graphicData uri="http://schemas.openxmlformats.org/drawingml/2006/picture">
                <pic:pic>
                  <pic:nvPicPr>
                    <pic:cNvPr id="287" name="Image 287" descr="A graph with orange and blue bars  AI-generated content may be incorrect."/>
                    <pic:cNvPicPr/>
                  </pic:nvPicPr>
                  <pic:blipFill>
                    <a:blip r:embed="rId49" cstate="print"/>
                    <a:stretch>
                      <a:fillRect/>
                    </a:stretch>
                  </pic:blipFill>
                  <pic:spPr>
                    <a:xfrm>
                      <a:off x="0" y="0"/>
                      <a:ext cx="5383858" cy="2996279"/>
                    </a:xfrm>
                    <a:prstGeom prst="rect">
                      <a:avLst/>
                    </a:prstGeom>
                  </pic:spPr>
                </pic:pic>
              </a:graphicData>
            </a:graphic>
          </wp:inline>
        </w:drawing>
      </w:r>
      <w:r>
        <w:rPr>
          <w:sz w:val="20"/>
        </w:rPr>
      </w:r>
    </w:p>
    <w:p>
      <w:pPr>
        <w:pStyle w:val="BodyText"/>
        <w:spacing w:before="178"/>
        <w:rPr>
          <w:i/>
          <w:sz w:val="18"/>
        </w:rPr>
      </w:pPr>
    </w:p>
    <w:p>
      <w:pPr>
        <w:spacing w:before="1"/>
        <w:ind w:left="3" w:right="1" w:firstLine="0"/>
        <w:jc w:val="center"/>
        <w:rPr>
          <w:i/>
          <w:sz w:val="18"/>
        </w:rPr>
      </w:pPr>
      <w:r>
        <w:rPr>
          <w:i/>
          <w:color w:val="44536A"/>
          <w:sz w:val="18"/>
        </w:rPr>
        <w:t>Figure</w:t>
      </w:r>
      <w:r>
        <w:rPr>
          <w:i/>
          <w:color w:val="44536A"/>
          <w:spacing w:val="-4"/>
          <w:sz w:val="18"/>
        </w:rPr>
        <w:t> </w:t>
      </w:r>
      <w:r>
        <w:rPr>
          <w:i/>
          <w:color w:val="44536A"/>
          <w:sz w:val="18"/>
        </w:rPr>
        <w:t>14:</w:t>
      </w:r>
      <w:r>
        <w:rPr>
          <w:i/>
          <w:color w:val="44536A"/>
          <w:spacing w:val="-8"/>
          <w:sz w:val="18"/>
        </w:rPr>
        <w:t> </w:t>
      </w:r>
      <w:r>
        <w:rPr>
          <w:i/>
          <w:color w:val="44536A"/>
          <w:sz w:val="18"/>
        </w:rPr>
        <w:t>Average</w:t>
      </w:r>
      <w:r>
        <w:rPr>
          <w:i/>
          <w:color w:val="44536A"/>
          <w:spacing w:val="-5"/>
          <w:sz w:val="18"/>
        </w:rPr>
        <w:t> </w:t>
      </w:r>
      <w:r>
        <w:rPr>
          <w:i/>
          <w:color w:val="44536A"/>
          <w:sz w:val="18"/>
        </w:rPr>
        <w:t>in</w:t>
      </w:r>
      <w:r>
        <w:rPr>
          <w:i/>
          <w:color w:val="44536A"/>
          <w:spacing w:val="-2"/>
          <w:sz w:val="18"/>
        </w:rPr>
        <w:t> </w:t>
      </w:r>
      <w:r>
        <w:rPr>
          <w:i/>
          <w:color w:val="44536A"/>
          <w:sz w:val="18"/>
        </w:rPr>
        <w:t>annual</w:t>
      </w:r>
      <w:r>
        <w:rPr>
          <w:i/>
          <w:color w:val="44536A"/>
          <w:spacing w:val="-4"/>
          <w:sz w:val="18"/>
        </w:rPr>
        <w:t> </w:t>
      </w:r>
      <w:r>
        <w:rPr>
          <w:i/>
          <w:color w:val="44536A"/>
          <w:sz w:val="18"/>
        </w:rPr>
        <w:t>in</w:t>
      </w:r>
      <w:r>
        <w:rPr>
          <w:i/>
          <w:color w:val="44536A"/>
          <w:spacing w:val="-6"/>
          <w:sz w:val="18"/>
        </w:rPr>
        <w:t> </w:t>
      </w:r>
      <w:r>
        <w:rPr>
          <w:i/>
          <w:color w:val="44536A"/>
          <w:sz w:val="18"/>
        </w:rPr>
        <w:t>USD</w:t>
      </w:r>
      <w:r>
        <w:rPr>
          <w:i/>
          <w:color w:val="44536A"/>
          <w:spacing w:val="-4"/>
          <w:sz w:val="18"/>
        </w:rPr>
        <w:t> </w:t>
      </w:r>
      <w:r>
        <w:rPr>
          <w:i/>
          <w:color w:val="44536A"/>
          <w:spacing w:val="-2"/>
          <w:sz w:val="18"/>
        </w:rPr>
        <w:t>millions</w:t>
      </w:r>
    </w:p>
    <w:p>
      <w:pPr>
        <w:pStyle w:val="BodyText"/>
        <w:spacing w:line="360" w:lineRule="auto" w:before="197"/>
        <w:ind w:left="23" w:right="17"/>
        <w:jc w:val="both"/>
      </w:pPr>
      <w:r>
        <w:rPr/>
        <w:t>India has experienced steady growth in both deal volume and capital deployment, primarily fueled</w:t>
      </w:r>
      <w:r>
        <w:rPr>
          <w:spacing w:val="-11"/>
        </w:rPr>
        <w:t> </w:t>
      </w:r>
      <w:r>
        <w:rPr/>
        <w:t>by</w:t>
      </w:r>
      <w:r>
        <w:rPr>
          <w:spacing w:val="-11"/>
        </w:rPr>
        <w:t> </w:t>
      </w:r>
      <w:r>
        <w:rPr/>
        <w:t>strong</w:t>
      </w:r>
      <w:r>
        <w:rPr>
          <w:spacing w:val="-11"/>
        </w:rPr>
        <w:t> </w:t>
      </w:r>
      <w:r>
        <w:rPr/>
        <w:t>domestic</w:t>
      </w:r>
      <w:r>
        <w:rPr>
          <w:spacing w:val="-12"/>
        </w:rPr>
        <w:t> </w:t>
      </w:r>
      <w:r>
        <w:rPr/>
        <w:t>consumption</w:t>
      </w:r>
      <w:r>
        <w:rPr>
          <w:spacing w:val="-11"/>
        </w:rPr>
        <w:t> </w:t>
      </w:r>
      <w:r>
        <w:rPr/>
        <w:t>and</w:t>
      </w:r>
      <w:r>
        <w:rPr>
          <w:spacing w:val="-11"/>
        </w:rPr>
        <w:t> </w:t>
      </w:r>
      <w:r>
        <w:rPr/>
        <w:t>institutional</w:t>
      </w:r>
      <w:r>
        <w:rPr>
          <w:spacing w:val="-10"/>
        </w:rPr>
        <w:t> </w:t>
      </w:r>
      <w:r>
        <w:rPr/>
        <w:t>reforms.</w:t>
      </w:r>
      <w:r>
        <w:rPr>
          <w:spacing w:val="-10"/>
        </w:rPr>
        <w:t> </w:t>
      </w:r>
      <w:r>
        <w:rPr/>
        <w:t>In</w:t>
      </w:r>
      <w:r>
        <w:rPr>
          <w:spacing w:val="-11"/>
        </w:rPr>
        <w:t> </w:t>
      </w:r>
      <w:r>
        <w:rPr/>
        <w:t>comparison,</w:t>
      </w:r>
      <w:r>
        <w:rPr>
          <w:spacing w:val="-10"/>
        </w:rPr>
        <w:t> </w:t>
      </w:r>
      <w:r>
        <w:rPr/>
        <w:t>China,</w:t>
      </w:r>
      <w:r>
        <w:rPr>
          <w:spacing w:val="-11"/>
        </w:rPr>
        <w:t> </w:t>
      </w:r>
      <w:r>
        <w:rPr/>
        <w:t>which remains the largest recipient of PE capital in the region, has recently seen a slowdown in inflows due to regulatory tightening and geopolitical challenges. On the other hand, India's policy stability and market openness have allowed it to close the historical gap in capital inflows,</w:t>
      </w:r>
      <w:r>
        <w:rPr>
          <w:spacing w:val="-12"/>
        </w:rPr>
        <w:t> </w:t>
      </w:r>
      <w:r>
        <w:rPr/>
        <w:t>especially</w:t>
      </w:r>
      <w:r>
        <w:rPr>
          <w:spacing w:val="-8"/>
        </w:rPr>
        <w:t> </w:t>
      </w:r>
      <w:r>
        <w:rPr/>
        <w:t>in</w:t>
      </w:r>
      <w:r>
        <w:rPr>
          <w:spacing w:val="-8"/>
        </w:rPr>
        <w:t> </w:t>
      </w:r>
      <w:r>
        <w:rPr/>
        <w:t>the</w:t>
      </w:r>
      <w:r>
        <w:rPr>
          <w:spacing w:val="-7"/>
        </w:rPr>
        <w:t> </w:t>
      </w:r>
      <w:r>
        <w:rPr/>
        <w:t>post-2020</w:t>
      </w:r>
      <w:r>
        <w:rPr>
          <w:spacing w:val="-9"/>
        </w:rPr>
        <w:t> </w:t>
      </w:r>
      <w:r>
        <w:rPr/>
        <w:t>period,</w:t>
      </w:r>
      <w:r>
        <w:rPr>
          <w:spacing w:val="-9"/>
        </w:rPr>
        <w:t> </w:t>
      </w:r>
      <w:r>
        <w:rPr/>
        <w:t>with</w:t>
      </w:r>
      <w:r>
        <w:rPr>
          <w:spacing w:val="-8"/>
        </w:rPr>
        <w:t> </w:t>
      </w:r>
      <w:r>
        <w:rPr/>
        <w:t>an</w:t>
      </w:r>
      <w:r>
        <w:rPr>
          <w:spacing w:val="-6"/>
        </w:rPr>
        <w:t> </w:t>
      </w:r>
      <w:r>
        <w:rPr/>
        <w:t>accelerated</w:t>
      </w:r>
      <w:r>
        <w:rPr>
          <w:spacing w:val="-9"/>
        </w:rPr>
        <w:t> </w:t>
      </w:r>
      <w:r>
        <w:rPr/>
        <w:t>focus</w:t>
      </w:r>
      <w:r>
        <w:rPr>
          <w:spacing w:val="-8"/>
        </w:rPr>
        <w:t> </w:t>
      </w:r>
      <w:r>
        <w:rPr/>
        <w:t>on</w:t>
      </w:r>
      <w:r>
        <w:rPr>
          <w:spacing w:val="-5"/>
        </w:rPr>
        <w:t> </w:t>
      </w:r>
      <w:r>
        <w:rPr/>
        <w:t>digital</w:t>
      </w:r>
      <w:r>
        <w:rPr>
          <w:spacing w:val="-9"/>
        </w:rPr>
        <w:t> </w:t>
      </w:r>
      <w:r>
        <w:rPr/>
        <w:t>sector</w:t>
      </w:r>
      <w:r>
        <w:rPr>
          <w:spacing w:val="-9"/>
        </w:rPr>
        <w:t> </w:t>
      </w:r>
      <w:r>
        <w:rPr>
          <w:spacing w:val="-2"/>
        </w:rPr>
        <w:t>funding.</w:t>
      </w:r>
    </w:p>
    <w:p>
      <w:pPr>
        <w:pStyle w:val="BodyText"/>
        <w:spacing w:line="360" w:lineRule="auto" w:before="162"/>
        <w:ind w:left="23" w:right="21"/>
        <w:jc w:val="both"/>
      </w:pPr>
      <w:r>
        <w:rPr/>
        <w:t>Southeast</w:t>
      </w:r>
      <w:r>
        <w:rPr>
          <w:spacing w:val="-15"/>
        </w:rPr>
        <w:t> </w:t>
      </w:r>
      <w:r>
        <w:rPr/>
        <w:t>Asian</w:t>
      </w:r>
      <w:r>
        <w:rPr>
          <w:spacing w:val="-3"/>
        </w:rPr>
        <w:t> </w:t>
      </w:r>
      <w:r>
        <w:rPr/>
        <w:t>markets,</w:t>
      </w:r>
      <w:r>
        <w:rPr>
          <w:spacing w:val="-2"/>
        </w:rPr>
        <w:t> </w:t>
      </w:r>
      <w:r>
        <w:rPr/>
        <w:t>such</w:t>
      </w:r>
      <w:r>
        <w:rPr>
          <w:spacing w:val="-2"/>
        </w:rPr>
        <w:t> </w:t>
      </w:r>
      <w:r>
        <w:rPr/>
        <w:t>as</w:t>
      </w:r>
      <w:r>
        <w:rPr>
          <w:spacing w:val="-3"/>
        </w:rPr>
        <w:t> </w:t>
      </w:r>
      <w:r>
        <w:rPr/>
        <w:t>Indonesia</w:t>
      </w:r>
      <w:r>
        <w:rPr>
          <w:spacing w:val="-2"/>
        </w:rPr>
        <w:t> </w:t>
      </w:r>
      <w:r>
        <w:rPr/>
        <w:t>and</w:t>
      </w:r>
      <w:r>
        <w:rPr>
          <w:spacing w:val="-8"/>
        </w:rPr>
        <w:t> </w:t>
      </w:r>
      <w:r>
        <w:rPr/>
        <w:t>Vietnam,</w:t>
      </w:r>
      <w:r>
        <w:rPr>
          <w:spacing w:val="-4"/>
        </w:rPr>
        <w:t> </w:t>
      </w:r>
      <w:r>
        <w:rPr/>
        <w:t>are</w:t>
      </w:r>
      <w:r>
        <w:rPr>
          <w:spacing w:val="-5"/>
        </w:rPr>
        <w:t> </w:t>
      </w:r>
      <w:r>
        <w:rPr/>
        <w:t>smaller</w:t>
      </w:r>
      <w:r>
        <w:rPr>
          <w:spacing w:val="-4"/>
        </w:rPr>
        <w:t> </w:t>
      </w:r>
      <w:r>
        <w:rPr/>
        <w:t>in</w:t>
      </w:r>
      <w:r>
        <w:rPr>
          <w:spacing w:val="-4"/>
        </w:rPr>
        <w:t> </w:t>
      </w:r>
      <w:r>
        <w:rPr/>
        <w:t>scale</w:t>
      </w:r>
      <w:r>
        <w:rPr>
          <w:spacing w:val="-5"/>
        </w:rPr>
        <w:t> </w:t>
      </w:r>
      <w:r>
        <w:rPr/>
        <w:t>but</w:t>
      </w:r>
      <w:r>
        <w:rPr>
          <w:spacing w:val="-4"/>
        </w:rPr>
        <w:t> </w:t>
      </w:r>
      <w:r>
        <w:rPr/>
        <w:t>demonstrate impressive growth rates driven by demographic expansion and greenfield infrastructure development. These markets still face challenges, including limited access to deep liquidity and shallow IPO markets.</w:t>
      </w:r>
    </w:p>
    <w:p>
      <w:pPr>
        <w:pStyle w:val="BodyText"/>
        <w:spacing w:line="360" w:lineRule="auto" w:before="159"/>
        <w:ind w:left="23" w:right="20"/>
        <w:jc w:val="both"/>
      </w:pPr>
      <w:r>
        <w:rPr/>
        <w:t>From a structural standpoint, India's buyout activity has steadily increased since the introduction of the Insolvency and Bankruptcy Code (IBC) in 2016, positioning it ahead of Indonesia</w:t>
      </w:r>
      <w:r>
        <w:rPr>
          <w:spacing w:val="-15"/>
        </w:rPr>
        <w:t> </w:t>
      </w:r>
      <w:r>
        <w:rPr/>
        <w:t>and</w:t>
      </w:r>
      <w:r>
        <w:rPr>
          <w:spacing w:val="-15"/>
        </w:rPr>
        <w:t> </w:t>
      </w:r>
      <w:r>
        <w:rPr/>
        <w:t>Vietnam</w:t>
      </w:r>
      <w:r>
        <w:rPr>
          <w:spacing w:val="-15"/>
        </w:rPr>
        <w:t> </w:t>
      </w:r>
      <w:r>
        <w:rPr/>
        <w:t>in</w:t>
      </w:r>
      <w:r>
        <w:rPr>
          <w:spacing w:val="-15"/>
        </w:rPr>
        <w:t> </w:t>
      </w:r>
      <w:r>
        <w:rPr/>
        <w:t>terms</w:t>
      </w:r>
      <w:r>
        <w:rPr>
          <w:spacing w:val="-15"/>
        </w:rPr>
        <w:t> </w:t>
      </w:r>
      <w:r>
        <w:rPr/>
        <w:t>of</w:t>
      </w:r>
      <w:r>
        <w:rPr>
          <w:spacing w:val="-15"/>
        </w:rPr>
        <w:t> </w:t>
      </w:r>
      <w:r>
        <w:rPr/>
        <w:t>control</w:t>
      </w:r>
      <w:r>
        <w:rPr>
          <w:spacing w:val="-15"/>
        </w:rPr>
        <w:t> </w:t>
      </w:r>
      <w:r>
        <w:rPr/>
        <w:t>deal</w:t>
      </w:r>
      <w:r>
        <w:rPr>
          <w:spacing w:val="-15"/>
        </w:rPr>
        <w:t> </w:t>
      </w:r>
      <w:r>
        <w:rPr/>
        <w:t>maturity.</w:t>
      </w:r>
      <w:r>
        <w:rPr>
          <w:spacing w:val="-15"/>
        </w:rPr>
        <w:t> </w:t>
      </w:r>
      <w:r>
        <w:rPr/>
        <w:t>However,</w:t>
      </w:r>
      <w:r>
        <w:rPr>
          <w:spacing w:val="-15"/>
        </w:rPr>
        <w:t> </w:t>
      </w:r>
      <w:r>
        <w:rPr/>
        <w:t>India</w:t>
      </w:r>
      <w:r>
        <w:rPr>
          <w:spacing w:val="-15"/>
        </w:rPr>
        <w:t> </w:t>
      </w:r>
      <w:r>
        <w:rPr/>
        <w:t>still</w:t>
      </w:r>
      <w:r>
        <w:rPr>
          <w:spacing w:val="-15"/>
        </w:rPr>
        <w:t> </w:t>
      </w:r>
      <w:r>
        <w:rPr/>
        <w:t>lags</w:t>
      </w:r>
      <w:r>
        <w:rPr>
          <w:spacing w:val="-15"/>
        </w:rPr>
        <w:t> </w:t>
      </w:r>
      <w:r>
        <w:rPr/>
        <w:t>behind</w:t>
      </w:r>
      <w:r>
        <w:rPr>
          <w:spacing w:val="-15"/>
        </w:rPr>
        <w:t> </w:t>
      </w:r>
      <w:r>
        <w:rPr/>
        <w:t>China and Brazil, where buyout structures are more mature due to the established nature of their markets. India's exit environment is still negotiation-based, with M&amp;A transactions predominating. In contrast, both China and Brazil exhibit a more diversified exit landscape, with IPO and secondary market exits contributing significantly to liquidity (Staff, 2025).</w:t>
      </w:r>
    </w:p>
    <w:p>
      <w:pPr>
        <w:pStyle w:val="BodyText"/>
        <w:spacing w:line="360" w:lineRule="auto" w:before="160"/>
        <w:ind w:left="23" w:right="19"/>
        <w:jc w:val="both"/>
      </w:pPr>
      <w:r>
        <w:rPr/>
        <w:t>Interpretively, India's market is evolving towards a mid-stage mature ecosystem driven by policy</w:t>
      </w:r>
      <w:r>
        <w:rPr>
          <w:spacing w:val="22"/>
        </w:rPr>
        <w:t> </w:t>
      </w:r>
      <w:r>
        <w:rPr/>
        <w:t>stability,</w:t>
      </w:r>
      <w:r>
        <w:rPr>
          <w:spacing w:val="24"/>
        </w:rPr>
        <w:t> </w:t>
      </w:r>
      <w:r>
        <w:rPr/>
        <w:t>scalable</w:t>
      </w:r>
      <w:r>
        <w:rPr>
          <w:spacing w:val="25"/>
        </w:rPr>
        <w:t> </w:t>
      </w:r>
      <w:r>
        <w:rPr/>
        <w:t>digital</w:t>
      </w:r>
      <w:r>
        <w:rPr>
          <w:spacing w:val="24"/>
        </w:rPr>
        <w:t> </w:t>
      </w:r>
      <w:r>
        <w:rPr/>
        <w:t>infrastructure,</w:t>
      </w:r>
      <w:r>
        <w:rPr>
          <w:spacing w:val="26"/>
        </w:rPr>
        <w:t> </w:t>
      </w:r>
      <w:r>
        <w:rPr/>
        <w:t>and</w:t>
      </w:r>
      <w:r>
        <w:rPr>
          <w:spacing w:val="26"/>
        </w:rPr>
        <w:t> </w:t>
      </w:r>
      <w:r>
        <w:rPr/>
        <w:t>strategic</w:t>
      </w:r>
      <w:r>
        <w:rPr>
          <w:spacing w:val="23"/>
        </w:rPr>
        <w:t> </w:t>
      </w:r>
      <w:r>
        <w:rPr/>
        <w:t>domestic</w:t>
      </w:r>
      <w:r>
        <w:rPr>
          <w:spacing w:val="25"/>
        </w:rPr>
        <w:t> </w:t>
      </w:r>
      <w:r>
        <w:rPr/>
        <w:t>demand.</w:t>
      </w:r>
      <w:r>
        <w:rPr>
          <w:spacing w:val="16"/>
        </w:rPr>
        <w:t> </w:t>
      </w:r>
      <w:r>
        <w:rPr/>
        <w:t>While</w:t>
      </w:r>
      <w:r>
        <w:rPr>
          <w:spacing w:val="24"/>
        </w:rPr>
        <w:t> </w:t>
      </w:r>
      <w:r>
        <w:rPr>
          <w:spacing w:val="-2"/>
        </w:rPr>
        <w:t>China</w:t>
      </w:r>
    </w:p>
    <w:p>
      <w:pPr>
        <w:pStyle w:val="BodyText"/>
        <w:spacing w:after="0" w:line="360" w:lineRule="auto"/>
        <w:jc w:val="both"/>
        <w:sectPr>
          <w:pgSz w:w="11910" w:h="16840"/>
          <w:pgMar w:header="0" w:footer="1009" w:top="1480" w:bottom="1280" w:left="1417" w:right="1417"/>
        </w:sectPr>
      </w:pPr>
    </w:p>
    <w:p>
      <w:pPr>
        <w:pStyle w:val="BodyText"/>
        <w:spacing w:line="360" w:lineRule="auto" w:before="61"/>
        <w:ind w:left="23" w:right="20"/>
        <w:jc w:val="both"/>
      </w:pPr>
      <w:r>
        <w:rPr/>
        <w:t>represents a high-maturity market constrained by regulatory issues, Southeast Asia shows momentum in early growth, and Brazil reflects a volatile but structurally mature PE </w:t>
      </w:r>
      <w:r>
        <w:rPr>
          <w:spacing w:val="-2"/>
        </w:rPr>
        <w:t>environment.</w:t>
      </w:r>
    </w:p>
    <w:p>
      <w:pPr>
        <w:pStyle w:val="Heading2"/>
        <w:numPr>
          <w:ilvl w:val="1"/>
          <w:numId w:val="5"/>
        </w:numPr>
        <w:tabs>
          <w:tab w:pos="411" w:val="left" w:leader="none"/>
        </w:tabs>
        <w:spacing w:line="240" w:lineRule="auto" w:before="160" w:after="0"/>
        <w:ind w:left="411" w:right="0" w:hanging="388"/>
        <w:jc w:val="both"/>
      </w:pPr>
      <w:bookmarkStart w:name="_bookmark60" w:id="61"/>
      <w:bookmarkEnd w:id="61"/>
      <w:r>
        <w:rPr>
          <w:b w:val="0"/>
        </w:rPr>
      </w:r>
      <w:r>
        <w:rPr/>
        <w:t>Case</w:t>
      </w:r>
      <w:r>
        <w:rPr>
          <w:spacing w:val="-4"/>
        </w:rPr>
        <w:t> </w:t>
      </w:r>
      <w:r>
        <w:rPr>
          <w:spacing w:val="-2"/>
        </w:rPr>
        <w:t>Studies</w:t>
      </w:r>
    </w:p>
    <w:p>
      <w:pPr>
        <w:pStyle w:val="BodyText"/>
        <w:spacing w:line="360" w:lineRule="auto" w:before="229"/>
        <w:ind w:left="23" w:right="20"/>
        <w:jc w:val="both"/>
      </w:pPr>
      <w:r>
        <w:rPr/>
        <w:t>As shown in the case studies below, the results of exit in the context of private equity investments in Indian business environments, with varying business models and governance structures,</w:t>
      </w:r>
      <w:r>
        <w:rPr>
          <w:spacing w:val="-3"/>
        </w:rPr>
        <w:t> </w:t>
      </w:r>
      <w:r>
        <w:rPr/>
        <w:t>can</w:t>
      </w:r>
      <w:r>
        <w:rPr>
          <w:spacing w:val="-3"/>
        </w:rPr>
        <w:t> </w:t>
      </w:r>
      <w:r>
        <w:rPr/>
        <w:t>be</w:t>
      </w:r>
      <w:r>
        <w:rPr>
          <w:spacing w:val="-4"/>
        </w:rPr>
        <w:t> </w:t>
      </w:r>
      <w:r>
        <w:rPr/>
        <w:t>illustrated.</w:t>
      </w:r>
      <w:r>
        <w:rPr>
          <w:spacing w:val="-9"/>
        </w:rPr>
        <w:t> </w:t>
      </w:r>
      <w:r>
        <w:rPr/>
        <w:t>These</w:t>
      </w:r>
      <w:r>
        <w:rPr>
          <w:spacing w:val="-4"/>
        </w:rPr>
        <w:t> </w:t>
      </w:r>
      <w:r>
        <w:rPr/>
        <w:t>cases</w:t>
      </w:r>
      <w:r>
        <w:rPr>
          <w:spacing w:val="-4"/>
        </w:rPr>
        <w:t> </w:t>
      </w:r>
      <w:r>
        <w:rPr/>
        <w:t>reflect</w:t>
      </w:r>
      <w:r>
        <w:rPr>
          <w:spacing w:val="-3"/>
        </w:rPr>
        <w:t> </w:t>
      </w:r>
      <w:r>
        <w:rPr/>
        <w:t>three</w:t>
      </w:r>
      <w:r>
        <w:rPr>
          <w:spacing w:val="-4"/>
        </w:rPr>
        <w:t> </w:t>
      </w:r>
      <w:r>
        <w:rPr/>
        <w:t>distinct</w:t>
      </w:r>
      <w:r>
        <w:rPr>
          <w:spacing w:val="-3"/>
        </w:rPr>
        <w:t> </w:t>
      </w:r>
      <w:r>
        <w:rPr/>
        <w:t>scenarios:</w:t>
      </w:r>
      <w:r>
        <w:rPr>
          <w:spacing w:val="-2"/>
        </w:rPr>
        <w:t> </w:t>
      </w:r>
      <w:r>
        <w:rPr/>
        <w:t>a</w:t>
      </w:r>
      <w:r>
        <w:rPr>
          <w:spacing w:val="-4"/>
        </w:rPr>
        <w:t> </w:t>
      </w:r>
      <w:r>
        <w:rPr/>
        <w:t>successful</w:t>
      </w:r>
      <w:r>
        <w:rPr>
          <w:spacing w:val="-3"/>
        </w:rPr>
        <w:t> </w:t>
      </w:r>
      <w:r>
        <w:rPr/>
        <w:t>strategic acquisition, a</w:t>
      </w:r>
      <w:r>
        <w:rPr>
          <w:spacing w:val="-1"/>
        </w:rPr>
        <w:t> </w:t>
      </w:r>
      <w:r>
        <w:rPr/>
        <w:t>decline</w:t>
      </w:r>
      <w:r>
        <w:rPr>
          <w:spacing w:val="-1"/>
        </w:rPr>
        <w:t> </w:t>
      </w:r>
      <w:r>
        <w:rPr/>
        <w:t>in valuation following intensive</w:t>
      </w:r>
      <w:r>
        <w:rPr>
          <w:spacing w:val="-1"/>
        </w:rPr>
        <w:t> </w:t>
      </w:r>
      <w:r>
        <w:rPr/>
        <w:t>financing for growth, and a</w:t>
      </w:r>
      <w:r>
        <w:rPr>
          <w:spacing w:val="-1"/>
        </w:rPr>
        <w:t> </w:t>
      </w:r>
      <w:r>
        <w:rPr/>
        <w:t>structurally motivated healthcare amalgamation. such as scalability, exit liquidity, and governance sensitivity (Levy, 2025).</w:t>
      </w:r>
    </w:p>
    <w:p>
      <w:pPr>
        <w:pStyle w:val="Heading3"/>
        <w:numPr>
          <w:ilvl w:val="2"/>
          <w:numId w:val="5"/>
        </w:numPr>
        <w:tabs>
          <w:tab w:pos="563" w:val="left" w:leader="none"/>
        </w:tabs>
        <w:spacing w:line="240" w:lineRule="auto" w:before="161" w:after="0"/>
        <w:ind w:left="563" w:right="0" w:hanging="540"/>
        <w:jc w:val="both"/>
      </w:pPr>
      <w:bookmarkStart w:name="_bookmark61" w:id="62"/>
      <w:bookmarkEnd w:id="62"/>
      <w:r>
        <w:rPr>
          <w:b w:val="0"/>
        </w:rPr>
      </w:r>
      <w:r>
        <w:rPr>
          <w:spacing w:val="-2"/>
        </w:rPr>
        <w:t>Zomato</w:t>
      </w:r>
    </w:p>
    <w:p>
      <w:pPr>
        <w:pStyle w:val="BodyText"/>
        <w:spacing w:line="360" w:lineRule="auto" w:before="219"/>
        <w:ind w:left="23" w:right="19"/>
        <w:jc w:val="both"/>
      </w:pPr>
      <w:r>
        <w:rPr/>
        <w:t>Zomato is one of the best examples of a success story in India’s private equity landscape. Established</w:t>
      </w:r>
      <w:r>
        <w:rPr>
          <w:spacing w:val="-11"/>
        </w:rPr>
        <w:t> </w:t>
      </w:r>
      <w:r>
        <w:rPr/>
        <w:t>in</w:t>
      </w:r>
      <w:r>
        <w:rPr>
          <w:spacing w:val="-10"/>
        </w:rPr>
        <w:t> </w:t>
      </w:r>
      <w:r>
        <w:rPr/>
        <w:t>2010,</w:t>
      </w:r>
      <w:r>
        <w:rPr>
          <w:spacing w:val="-11"/>
        </w:rPr>
        <w:t> </w:t>
      </w:r>
      <w:r>
        <w:rPr/>
        <w:t>the</w:t>
      </w:r>
      <w:r>
        <w:rPr>
          <w:spacing w:val="-11"/>
        </w:rPr>
        <w:t> </w:t>
      </w:r>
      <w:r>
        <w:rPr/>
        <w:t>company</w:t>
      </w:r>
      <w:r>
        <w:rPr>
          <w:spacing w:val="-11"/>
        </w:rPr>
        <w:t> </w:t>
      </w:r>
      <w:r>
        <w:rPr/>
        <w:t>raised</w:t>
      </w:r>
      <w:r>
        <w:rPr>
          <w:spacing w:val="-11"/>
        </w:rPr>
        <w:t> </w:t>
      </w:r>
      <w:r>
        <w:rPr/>
        <w:t>several</w:t>
      </w:r>
      <w:r>
        <w:rPr>
          <w:spacing w:val="-10"/>
        </w:rPr>
        <w:t> </w:t>
      </w:r>
      <w:r>
        <w:rPr/>
        <w:t>rounds</w:t>
      </w:r>
      <w:r>
        <w:rPr>
          <w:spacing w:val="-10"/>
        </w:rPr>
        <w:t> </w:t>
      </w:r>
      <w:r>
        <w:rPr/>
        <w:t>of</w:t>
      </w:r>
      <w:r>
        <w:rPr>
          <w:spacing w:val="-11"/>
        </w:rPr>
        <w:t> </w:t>
      </w:r>
      <w:r>
        <w:rPr/>
        <w:t>financing</w:t>
      </w:r>
      <w:r>
        <w:rPr>
          <w:spacing w:val="-10"/>
        </w:rPr>
        <w:t> </w:t>
      </w:r>
      <w:r>
        <w:rPr/>
        <w:t>from</w:t>
      </w:r>
      <w:r>
        <w:rPr>
          <w:spacing w:val="-10"/>
        </w:rPr>
        <w:t> </w:t>
      </w:r>
      <w:r>
        <w:rPr/>
        <w:t>global</w:t>
      </w:r>
      <w:r>
        <w:rPr>
          <w:spacing w:val="-11"/>
        </w:rPr>
        <w:t> </w:t>
      </w:r>
      <w:r>
        <w:rPr/>
        <w:t>private</w:t>
      </w:r>
      <w:r>
        <w:rPr>
          <w:spacing w:val="-11"/>
        </w:rPr>
        <w:t> </w:t>
      </w:r>
      <w:r>
        <w:rPr/>
        <w:t>equity and</w:t>
      </w:r>
      <w:r>
        <w:rPr>
          <w:spacing w:val="-10"/>
        </w:rPr>
        <w:t> </w:t>
      </w:r>
      <w:r>
        <w:rPr/>
        <w:t>venture</w:t>
      </w:r>
      <w:r>
        <w:rPr>
          <w:spacing w:val="-5"/>
        </w:rPr>
        <w:t> </w:t>
      </w:r>
      <w:r>
        <w:rPr/>
        <w:t>capital</w:t>
      </w:r>
      <w:r>
        <w:rPr>
          <w:spacing w:val="-5"/>
        </w:rPr>
        <w:t> </w:t>
      </w:r>
      <w:r>
        <w:rPr/>
        <w:t>funds,</w:t>
      </w:r>
      <w:r>
        <w:rPr>
          <w:spacing w:val="-6"/>
        </w:rPr>
        <w:t> </w:t>
      </w:r>
      <w:r>
        <w:rPr/>
        <w:t>including</w:t>
      </w:r>
      <w:r>
        <w:rPr>
          <w:spacing w:val="-5"/>
        </w:rPr>
        <w:t> </w:t>
      </w:r>
      <w:r>
        <w:rPr/>
        <w:t>Sequoia</w:t>
      </w:r>
      <w:r>
        <w:rPr>
          <w:spacing w:val="-6"/>
        </w:rPr>
        <w:t> </w:t>
      </w:r>
      <w:r>
        <w:rPr/>
        <w:t>Capital,</w:t>
      </w:r>
      <w:r>
        <w:rPr>
          <w:spacing w:val="-15"/>
        </w:rPr>
        <w:t> </w:t>
      </w:r>
      <w:r>
        <w:rPr/>
        <w:t>Ant</w:t>
      </w:r>
      <w:r>
        <w:rPr>
          <w:spacing w:val="-6"/>
        </w:rPr>
        <w:t> </w:t>
      </w:r>
      <w:r>
        <w:rPr/>
        <w:t>Group,</w:t>
      </w:r>
      <w:r>
        <w:rPr>
          <w:spacing w:val="-3"/>
        </w:rPr>
        <w:t> </w:t>
      </w:r>
      <w:r>
        <w:rPr/>
        <w:t>and</w:t>
      </w:r>
      <w:r>
        <w:rPr>
          <w:spacing w:val="-6"/>
        </w:rPr>
        <w:t> </w:t>
      </w:r>
      <w:r>
        <w:rPr/>
        <w:t>Info</w:t>
      </w:r>
      <w:r>
        <w:rPr>
          <w:spacing w:val="-7"/>
        </w:rPr>
        <w:t> </w:t>
      </w:r>
      <w:r>
        <w:rPr/>
        <w:t>Edge.</w:t>
      </w:r>
      <w:r>
        <w:rPr>
          <w:spacing w:val="-6"/>
        </w:rPr>
        <w:t> </w:t>
      </w:r>
      <w:r>
        <w:rPr/>
        <w:t>Zomato</w:t>
      </w:r>
      <w:r>
        <w:rPr>
          <w:spacing w:val="-5"/>
        </w:rPr>
        <w:t> </w:t>
      </w:r>
      <w:r>
        <w:rPr/>
        <w:t>grew rapidly, leveraging its technology-driven platform to expand its market share in food delivery and restaurant discovery services. In 2021, Zomato executed a highly successful IPO, raising significant capital and providing liquidity for early-stage investors. The IPO represented one of</w:t>
      </w:r>
      <w:r>
        <w:rPr>
          <w:spacing w:val="-14"/>
        </w:rPr>
        <w:t> </w:t>
      </w:r>
      <w:r>
        <w:rPr/>
        <w:t>the</w:t>
      </w:r>
      <w:r>
        <w:rPr>
          <w:spacing w:val="-14"/>
        </w:rPr>
        <w:t> </w:t>
      </w:r>
      <w:r>
        <w:rPr/>
        <w:t>most</w:t>
      </w:r>
      <w:r>
        <w:rPr>
          <w:spacing w:val="-12"/>
        </w:rPr>
        <w:t> </w:t>
      </w:r>
      <w:r>
        <w:rPr/>
        <w:t>prominent</w:t>
      </w:r>
      <w:r>
        <w:rPr>
          <w:spacing w:val="-13"/>
        </w:rPr>
        <w:t> </w:t>
      </w:r>
      <w:r>
        <w:rPr/>
        <w:t>exit</w:t>
      </w:r>
      <w:r>
        <w:rPr>
          <w:spacing w:val="-13"/>
        </w:rPr>
        <w:t> </w:t>
      </w:r>
      <w:r>
        <w:rPr/>
        <w:t>routes</w:t>
      </w:r>
      <w:r>
        <w:rPr>
          <w:spacing w:val="-13"/>
        </w:rPr>
        <w:t> </w:t>
      </w:r>
      <w:r>
        <w:rPr/>
        <w:t>in</w:t>
      </w:r>
      <w:r>
        <w:rPr>
          <w:spacing w:val="-13"/>
        </w:rPr>
        <w:t> </w:t>
      </w:r>
      <w:r>
        <w:rPr/>
        <w:t>the</w:t>
      </w:r>
      <w:r>
        <w:rPr>
          <w:spacing w:val="-14"/>
        </w:rPr>
        <w:t> </w:t>
      </w:r>
      <w:r>
        <w:rPr/>
        <w:t>Indian</w:t>
      </w:r>
      <w:r>
        <w:rPr>
          <w:spacing w:val="-13"/>
        </w:rPr>
        <w:t> </w:t>
      </w:r>
      <w:r>
        <w:rPr/>
        <w:t>market,</w:t>
      </w:r>
      <w:r>
        <w:rPr>
          <w:spacing w:val="-13"/>
        </w:rPr>
        <w:t> </w:t>
      </w:r>
      <w:r>
        <w:rPr/>
        <w:t>showcasing</w:t>
      </w:r>
      <w:r>
        <w:rPr>
          <w:spacing w:val="-13"/>
        </w:rPr>
        <w:t> </w:t>
      </w:r>
      <w:r>
        <w:rPr/>
        <w:t>the</w:t>
      </w:r>
      <w:r>
        <w:rPr>
          <w:spacing w:val="-14"/>
        </w:rPr>
        <w:t> </w:t>
      </w:r>
      <w:r>
        <w:rPr/>
        <w:t>potential</w:t>
      </w:r>
      <w:r>
        <w:rPr>
          <w:spacing w:val="-13"/>
        </w:rPr>
        <w:t> </w:t>
      </w:r>
      <w:r>
        <w:rPr/>
        <w:t>for</w:t>
      </w:r>
      <w:r>
        <w:rPr>
          <w:spacing w:val="-15"/>
        </w:rPr>
        <w:t> </w:t>
      </w:r>
      <w:r>
        <w:rPr/>
        <w:t>tech-driven platforms in India to achieve scalable growth and successful public market exits.</w:t>
      </w:r>
    </w:p>
    <w:p>
      <w:pPr>
        <w:pStyle w:val="Heading3"/>
        <w:numPr>
          <w:ilvl w:val="2"/>
          <w:numId w:val="5"/>
        </w:numPr>
        <w:tabs>
          <w:tab w:pos="563" w:val="left" w:leader="none"/>
        </w:tabs>
        <w:spacing w:line="240" w:lineRule="auto" w:before="159" w:after="0"/>
        <w:ind w:left="563" w:right="0" w:hanging="540"/>
        <w:jc w:val="both"/>
      </w:pPr>
      <w:bookmarkStart w:name="_bookmark62" w:id="63"/>
      <w:bookmarkEnd w:id="63"/>
      <w:r>
        <w:rPr>
          <w:b w:val="0"/>
        </w:rPr>
      </w:r>
      <w:r>
        <w:rPr>
          <w:spacing w:val="-2"/>
        </w:rPr>
        <w:t>Flipkart</w:t>
      </w:r>
    </w:p>
    <w:p>
      <w:pPr>
        <w:pStyle w:val="BodyText"/>
        <w:spacing w:line="360" w:lineRule="auto" w:before="218"/>
        <w:ind w:left="23" w:right="14"/>
        <w:jc w:val="both"/>
      </w:pPr>
      <w:r>
        <w:rPr/>
        <w:t>Flipkart</w:t>
      </w:r>
      <w:r>
        <w:rPr>
          <w:spacing w:val="-2"/>
        </w:rPr>
        <w:t> </w:t>
      </w:r>
      <w:r>
        <w:rPr/>
        <w:t>is</w:t>
      </w:r>
      <w:r>
        <w:rPr>
          <w:spacing w:val="-3"/>
        </w:rPr>
        <w:t> </w:t>
      </w:r>
      <w:r>
        <w:rPr/>
        <w:t>one</w:t>
      </w:r>
      <w:r>
        <w:rPr>
          <w:spacing w:val="-2"/>
        </w:rPr>
        <w:t> </w:t>
      </w:r>
      <w:r>
        <w:rPr/>
        <w:t>of</w:t>
      </w:r>
      <w:r>
        <w:rPr>
          <w:spacing w:val="-4"/>
        </w:rPr>
        <w:t> </w:t>
      </w:r>
      <w:r>
        <w:rPr/>
        <w:t>the</w:t>
      </w:r>
      <w:r>
        <w:rPr>
          <w:spacing w:val="-2"/>
        </w:rPr>
        <w:t> </w:t>
      </w:r>
      <w:r>
        <w:rPr/>
        <w:t>best</w:t>
      </w:r>
      <w:r>
        <w:rPr>
          <w:spacing w:val="-2"/>
        </w:rPr>
        <w:t> </w:t>
      </w:r>
      <w:r>
        <w:rPr/>
        <w:t>examples</w:t>
      </w:r>
      <w:r>
        <w:rPr>
          <w:spacing w:val="-3"/>
        </w:rPr>
        <w:t> </w:t>
      </w:r>
      <w:r>
        <w:rPr/>
        <w:t>of</w:t>
      </w:r>
      <w:r>
        <w:rPr>
          <w:spacing w:val="-2"/>
        </w:rPr>
        <w:t> </w:t>
      </w:r>
      <w:r>
        <w:rPr/>
        <w:t>a</w:t>
      </w:r>
      <w:r>
        <w:rPr>
          <w:spacing w:val="-4"/>
        </w:rPr>
        <w:t> </w:t>
      </w:r>
      <w:r>
        <w:rPr/>
        <w:t>success</w:t>
      </w:r>
      <w:r>
        <w:rPr>
          <w:spacing w:val="-3"/>
        </w:rPr>
        <w:t> </w:t>
      </w:r>
      <w:r>
        <w:rPr/>
        <w:t>story</w:t>
      </w:r>
      <w:r>
        <w:rPr>
          <w:spacing w:val="-2"/>
        </w:rPr>
        <w:t> </w:t>
      </w:r>
      <w:r>
        <w:rPr/>
        <w:t>in</w:t>
      </w:r>
      <w:r>
        <w:rPr>
          <w:spacing w:val="-2"/>
        </w:rPr>
        <w:t> </w:t>
      </w:r>
      <w:r>
        <w:rPr/>
        <w:t>the</w:t>
      </w:r>
      <w:r>
        <w:rPr>
          <w:spacing w:val="-3"/>
        </w:rPr>
        <w:t> </w:t>
      </w:r>
      <w:r>
        <w:rPr/>
        <w:t>Indian</w:t>
      </w:r>
      <w:r>
        <w:rPr>
          <w:spacing w:val="-2"/>
        </w:rPr>
        <w:t> </w:t>
      </w:r>
      <w:r>
        <w:rPr/>
        <w:t>context in</w:t>
      </w:r>
      <w:r>
        <w:rPr>
          <w:spacing w:val="-2"/>
        </w:rPr>
        <w:t> </w:t>
      </w:r>
      <w:r>
        <w:rPr/>
        <w:t>terms</w:t>
      </w:r>
      <w:r>
        <w:rPr>
          <w:spacing w:val="-3"/>
        </w:rPr>
        <w:t> </w:t>
      </w:r>
      <w:r>
        <w:rPr/>
        <w:t>of</w:t>
      </w:r>
      <w:r>
        <w:rPr>
          <w:spacing w:val="-3"/>
        </w:rPr>
        <w:t> </w:t>
      </w:r>
      <w:r>
        <w:rPr/>
        <w:t>the</w:t>
      </w:r>
      <w:r>
        <w:rPr>
          <w:spacing w:val="-2"/>
        </w:rPr>
        <w:t> </w:t>
      </w:r>
      <w:r>
        <w:rPr/>
        <w:t>use of</w:t>
      </w:r>
      <w:r>
        <w:rPr>
          <w:spacing w:val="-7"/>
        </w:rPr>
        <w:t> </w:t>
      </w:r>
      <w:r>
        <w:rPr/>
        <w:t>private</w:t>
      </w:r>
      <w:r>
        <w:rPr>
          <w:spacing w:val="-4"/>
        </w:rPr>
        <w:t> </w:t>
      </w:r>
      <w:r>
        <w:rPr/>
        <w:t>equity.</w:t>
      </w:r>
      <w:r>
        <w:rPr>
          <w:spacing w:val="-11"/>
        </w:rPr>
        <w:t> </w:t>
      </w:r>
      <w:r>
        <w:rPr/>
        <w:t>The</w:t>
      </w:r>
      <w:r>
        <w:rPr>
          <w:spacing w:val="-5"/>
        </w:rPr>
        <w:t> </w:t>
      </w:r>
      <w:r>
        <w:rPr/>
        <w:t>company</w:t>
      </w:r>
      <w:r>
        <w:rPr>
          <w:spacing w:val="-6"/>
        </w:rPr>
        <w:t> </w:t>
      </w:r>
      <w:r>
        <w:rPr/>
        <w:t>was</w:t>
      </w:r>
      <w:r>
        <w:rPr>
          <w:spacing w:val="-4"/>
        </w:rPr>
        <w:t> </w:t>
      </w:r>
      <w:r>
        <w:rPr/>
        <w:t>established</w:t>
      </w:r>
      <w:r>
        <w:rPr>
          <w:spacing w:val="-6"/>
        </w:rPr>
        <w:t> </w:t>
      </w:r>
      <w:r>
        <w:rPr/>
        <w:t>in</w:t>
      </w:r>
      <w:r>
        <w:rPr>
          <w:spacing w:val="-3"/>
        </w:rPr>
        <w:t> </w:t>
      </w:r>
      <w:r>
        <w:rPr/>
        <w:t>2007</w:t>
      </w:r>
      <w:r>
        <w:rPr>
          <w:spacing w:val="-6"/>
        </w:rPr>
        <w:t> </w:t>
      </w:r>
      <w:r>
        <w:rPr/>
        <w:t>and</w:t>
      </w:r>
      <w:r>
        <w:rPr>
          <w:spacing w:val="-4"/>
        </w:rPr>
        <w:t> </w:t>
      </w:r>
      <w:r>
        <w:rPr/>
        <w:t>received</w:t>
      </w:r>
      <w:r>
        <w:rPr>
          <w:spacing w:val="-4"/>
        </w:rPr>
        <w:t> </w:t>
      </w:r>
      <w:r>
        <w:rPr/>
        <w:t>several</w:t>
      </w:r>
      <w:r>
        <w:rPr>
          <w:spacing w:val="-5"/>
        </w:rPr>
        <w:t> </w:t>
      </w:r>
      <w:r>
        <w:rPr/>
        <w:t>financing</w:t>
      </w:r>
      <w:r>
        <w:rPr>
          <w:spacing w:val="-3"/>
        </w:rPr>
        <w:t> </w:t>
      </w:r>
      <w:r>
        <w:rPr/>
        <w:t>rounds via investment funds of global private equity and venture capital funds, such as Tiger Global, Accel,</w:t>
      </w:r>
      <w:r>
        <w:rPr>
          <w:spacing w:val="-12"/>
        </w:rPr>
        <w:t> </w:t>
      </w:r>
      <w:r>
        <w:rPr/>
        <w:t>Naspers,</w:t>
      </w:r>
      <w:r>
        <w:rPr>
          <w:spacing w:val="-15"/>
        </w:rPr>
        <w:t> </w:t>
      </w:r>
      <w:r>
        <w:rPr/>
        <w:t>and</w:t>
      </w:r>
      <w:r>
        <w:rPr>
          <w:spacing w:val="-14"/>
        </w:rPr>
        <w:t> </w:t>
      </w:r>
      <w:r>
        <w:rPr/>
        <w:t>SoftBank.</w:t>
      </w:r>
      <w:r>
        <w:rPr>
          <w:spacing w:val="-14"/>
        </w:rPr>
        <w:t> </w:t>
      </w:r>
      <w:r>
        <w:rPr/>
        <w:t>Flipkart</w:t>
      </w:r>
      <w:r>
        <w:rPr>
          <w:spacing w:val="-15"/>
        </w:rPr>
        <w:t> </w:t>
      </w:r>
      <w:r>
        <w:rPr/>
        <w:t>had</w:t>
      </w:r>
      <w:r>
        <w:rPr>
          <w:spacing w:val="-14"/>
        </w:rPr>
        <w:t> </w:t>
      </w:r>
      <w:r>
        <w:rPr/>
        <w:t>the</w:t>
      </w:r>
      <w:r>
        <w:rPr>
          <w:spacing w:val="-15"/>
        </w:rPr>
        <w:t> </w:t>
      </w:r>
      <w:r>
        <w:rPr/>
        <w:t>opportunity</w:t>
      </w:r>
      <w:r>
        <w:rPr>
          <w:spacing w:val="-14"/>
        </w:rPr>
        <w:t> </w:t>
      </w:r>
      <w:r>
        <w:rPr/>
        <w:t>to</w:t>
      </w:r>
      <w:r>
        <w:rPr>
          <w:spacing w:val="-14"/>
        </w:rPr>
        <w:t> </w:t>
      </w:r>
      <w:r>
        <w:rPr/>
        <w:t>grow</w:t>
      </w:r>
      <w:r>
        <w:rPr>
          <w:spacing w:val="-15"/>
        </w:rPr>
        <w:t> </w:t>
      </w:r>
      <w:r>
        <w:rPr/>
        <w:t>at</w:t>
      </w:r>
      <w:r>
        <w:rPr>
          <w:spacing w:val="-14"/>
        </w:rPr>
        <w:t> </w:t>
      </w:r>
      <w:r>
        <w:rPr/>
        <w:t>high</w:t>
      </w:r>
      <w:r>
        <w:rPr>
          <w:spacing w:val="-12"/>
        </w:rPr>
        <w:t> </w:t>
      </w:r>
      <w:r>
        <w:rPr/>
        <w:t>valuation</w:t>
      </w:r>
      <w:r>
        <w:rPr>
          <w:spacing w:val="-14"/>
        </w:rPr>
        <w:t> </w:t>
      </w:r>
      <w:r>
        <w:rPr/>
        <w:t>as</w:t>
      </w:r>
      <w:r>
        <w:rPr>
          <w:spacing w:val="-14"/>
        </w:rPr>
        <w:t> </w:t>
      </w:r>
      <w:r>
        <w:rPr/>
        <w:t>a</w:t>
      </w:r>
      <w:r>
        <w:rPr>
          <w:spacing w:val="-13"/>
        </w:rPr>
        <w:t> </w:t>
      </w:r>
      <w:r>
        <w:rPr/>
        <w:t>result of</w:t>
      </w:r>
      <w:r>
        <w:rPr>
          <w:spacing w:val="-5"/>
        </w:rPr>
        <w:t> </w:t>
      </w:r>
      <w:r>
        <w:rPr/>
        <w:t>rapid</w:t>
      </w:r>
      <w:r>
        <w:rPr>
          <w:spacing w:val="-2"/>
        </w:rPr>
        <w:t> </w:t>
      </w:r>
      <w:r>
        <w:rPr/>
        <w:t>expansion</w:t>
      </w:r>
      <w:r>
        <w:rPr>
          <w:spacing w:val="-2"/>
        </w:rPr>
        <w:t> </w:t>
      </w:r>
      <w:r>
        <w:rPr/>
        <w:t>in</w:t>
      </w:r>
      <w:r>
        <w:rPr>
          <w:spacing w:val="-2"/>
        </w:rPr>
        <w:t> </w:t>
      </w:r>
      <w:r>
        <w:rPr/>
        <w:t>terms</w:t>
      </w:r>
      <w:r>
        <w:rPr>
          <w:spacing w:val="-2"/>
        </w:rPr>
        <w:t> </w:t>
      </w:r>
      <w:r>
        <w:rPr/>
        <w:t>of</w:t>
      </w:r>
      <w:r>
        <w:rPr>
          <w:spacing w:val="-3"/>
        </w:rPr>
        <w:t> </w:t>
      </w:r>
      <w:r>
        <w:rPr/>
        <w:t>network</w:t>
      </w:r>
      <w:r>
        <w:rPr>
          <w:spacing w:val="-3"/>
        </w:rPr>
        <w:t> </w:t>
      </w:r>
      <w:r>
        <w:rPr/>
        <w:t>effects</w:t>
      </w:r>
      <w:r>
        <w:rPr>
          <w:spacing w:val="-2"/>
        </w:rPr>
        <w:t> </w:t>
      </w:r>
      <w:r>
        <w:rPr/>
        <w:t>and</w:t>
      </w:r>
      <w:r>
        <w:rPr>
          <w:spacing w:val="-2"/>
        </w:rPr>
        <w:t> </w:t>
      </w:r>
      <w:r>
        <w:rPr/>
        <w:t>capital</w:t>
      </w:r>
      <w:r>
        <w:rPr>
          <w:spacing w:val="-2"/>
        </w:rPr>
        <w:t> </w:t>
      </w:r>
      <w:r>
        <w:rPr/>
        <w:t>allocation</w:t>
      </w:r>
      <w:r>
        <w:rPr>
          <w:spacing w:val="-2"/>
        </w:rPr>
        <w:t> </w:t>
      </w:r>
      <w:r>
        <w:rPr/>
        <w:t>based</w:t>
      </w:r>
      <w:r>
        <w:rPr>
          <w:spacing w:val="-2"/>
        </w:rPr>
        <w:t> </w:t>
      </w:r>
      <w:r>
        <w:rPr/>
        <w:t>on</w:t>
      </w:r>
      <w:r>
        <w:rPr>
          <w:spacing w:val="-2"/>
        </w:rPr>
        <w:t> </w:t>
      </w:r>
      <w:r>
        <w:rPr/>
        <w:t>market</w:t>
      </w:r>
      <w:r>
        <w:rPr>
          <w:spacing w:val="-2"/>
        </w:rPr>
        <w:t> </w:t>
      </w:r>
      <w:r>
        <w:rPr/>
        <w:t>share.</w:t>
      </w:r>
      <w:r>
        <w:rPr>
          <w:spacing w:val="-15"/>
        </w:rPr>
        <w:t> </w:t>
      </w:r>
      <w:r>
        <w:rPr/>
        <w:t>A 77</w:t>
      </w:r>
      <w:r>
        <w:rPr>
          <w:spacing w:val="-15"/>
        </w:rPr>
        <w:t> </w:t>
      </w:r>
      <w:r>
        <w:rPr/>
        <w:t>percent</w:t>
      </w:r>
      <w:r>
        <w:rPr>
          <w:spacing w:val="-15"/>
        </w:rPr>
        <w:t> </w:t>
      </w:r>
      <w:r>
        <w:rPr/>
        <w:t>stake</w:t>
      </w:r>
      <w:r>
        <w:rPr>
          <w:spacing w:val="-15"/>
        </w:rPr>
        <w:t> </w:t>
      </w:r>
      <w:r>
        <w:rPr/>
        <w:t>was</w:t>
      </w:r>
      <w:r>
        <w:rPr>
          <w:spacing w:val="-15"/>
        </w:rPr>
        <w:t> </w:t>
      </w:r>
      <w:r>
        <w:rPr/>
        <w:t>acquired</w:t>
      </w:r>
      <w:r>
        <w:rPr>
          <w:spacing w:val="-15"/>
        </w:rPr>
        <w:t> </w:t>
      </w:r>
      <w:r>
        <w:rPr/>
        <w:t>by</w:t>
      </w:r>
      <w:r>
        <w:rPr>
          <w:spacing w:val="-15"/>
        </w:rPr>
        <w:t> </w:t>
      </w:r>
      <w:r>
        <w:rPr/>
        <w:t>Walmart</w:t>
      </w:r>
      <w:r>
        <w:rPr>
          <w:spacing w:val="-15"/>
        </w:rPr>
        <w:t> </w:t>
      </w:r>
      <w:r>
        <w:rPr/>
        <w:t>in</w:t>
      </w:r>
      <w:r>
        <w:rPr>
          <w:spacing w:val="-15"/>
        </w:rPr>
        <w:t> </w:t>
      </w:r>
      <w:r>
        <w:rPr/>
        <w:t>2018</w:t>
      </w:r>
      <w:r>
        <w:rPr>
          <w:spacing w:val="-15"/>
        </w:rPr>
        <w:t> </w:t>
      </w:r>
      <w:r>
        <w:rPr/>
        <w:t>at</w:t>
      </w:r>
      <w:r>
        <w:rPr>
          <w:spacing w:val="-15"/>
        </w:rPr>
        <w:t> </w:t>
      </w:r>
      <w:r>
        <w:rPr/>
        <w:t>USD</w:t>
      </w:r>
      <w:r>
        <w:rPr>
          <w:spacing w:val="-15"/>
        </w:rPr>
        <w:t> </w:t>
      </w:r>
      <w:r>
        <w:rPr/>
        <w:t>16</w:t>
      </w:r>
      <w:r>
        <w:rPr>
          <w:spacing w:val="-15"/>
        </w:rPr>
        <w:t> </w:t>
      </w:r>
      <w:r>
        <w:rPr/>
        <w:t>billion,</w:t>
      </w:r>
      <w:r>
        <w:rPr>
          <w:spacing w:val="-15"/>
        </w:rPr>
        <w:t> </w:t>
      </w:r>
      <w:r>
        <w:rPr/>
        <w:t>which</w:t>
      </w:r>
      <w:r>
        <w:rPr>
          <w:spacing w:val="-15"/>
        </w:rPr>
        <w:t> </w:t>
      </w:r>
      <w:r>
        <w:rPr/>
        <w:t>is</w:t>
      </w:r>
      <w:r>
        <w:rPr>
          <w:spacing w:val="-15"/>
        </w:rPr>
        <w:t> </w:t>
      </w:r>
      <w:r>
        <w:rPr/>
        <w:t>one</w:t>
      </w:r>
      <w:r>
        <w:rPr>
          <w:spacing w:val="-15"/>
        </w:rPr>
        <w:t> </w:t>
      </w:r>
      <w:r>
        <w:rPr/>
        <w:t>of</w:t>
      </w:r>
      <w:r>
        <w:rPr>
          <w:spacing w:val="-15"/>
        </w:rPr>
        <w:t> </w:t>
      </w:r>
      <w:r>
        <w:rPr/>
        <w:t>the</w:t>
      </w:r>
      <w:r>
        <w:rPr>
          <w:spacing w:val="-15"/>
        </w:rPr>
        <w:t> </w:t>
      </w:r>
      <w:r>
        <w:rPr/>
        <w:t>largest M&amp;A</w:t>
      </w:r>
      <w:r>
        <w:rPr>
          <w:spacing w:val="-21"/>
        </w:rPr>
        <w:t> </w:t>
      </w:r>
      <w:r>
        <w:rPr/>
        <w:t>exits</w:t>
      </w:r>
      <w:r>
        <w:rPr>
          <w:spacing w:val="-13"/>
        </w:rPr>
        <w:t> </w:t>
      </w:r>
      <w:r>
        <w:rPr/>
        <w:t>in</w:t>
      </w:r>
      <w:r>
        <w:rPr>
          <w:spacing w:val="-9"/>
        </w:rPr>
        <w:t> </w:t>
      </w:r>
      <w:r>
        <w:rPr/>
        <w:t>the</w:t>
      </w:r>
      <w:r>
        <w:rPr>
          <w:spacing w:val="-9"/>
        </w:rPr>
        <w:t> </w:t>
      </w:r>
      <w:r>
        <w:rPr/>
        <w:t>retail</w:t>
      </w:r>
      <w:r>
        <w:rPr>
          <w:spacing w:val="-9"/>
        </w:rPr>
        <w:t> </w:t>
      </w:r>
      <w:r>
        <w:rPr/>
        <w:t>industry</w:t>
      </w:r>
      <w:r>
        <w:rPr>
          <w:spacing w:val="-9"/>
        </w:rPr>
        <w:t> </w:t>
      </w:r>
      <w:r>
        <w:rPr/>
        <w:t>across</w:t>
      </w:r>
      <w:r>
        <w:rPr>
          <w:spacing w:val="-10"/>
        </w:rPr>
        <w:t> </w:t>
      </w:r>
      <w:r>
        <w:rPr/>
        <w:t>the</w:t>
      </w:r>
      <w:r>
        <w:rPr>
          <w:spacing w:val="-9"/>
        </w:rPr>
        <w:t> </w:t>
      </w:r>
      <w:r>
        <w:rPr/>
        <w:t>world,</w:t>
      </w:r>
      <w:r>
        <w:rPr>
          <w:spacing w:val="-9"/>
        </w:rPr>
        <w:t> </w:t>
      </w:r>
      <w:r>
        <w:rPr/>
        <w:t>and</w:t>
      </w:r>
      <w:r>
        <w:rPr>
          <w:spacing w:val="-9"/>
        </w:rPr>
        <w:t> </w:t>
      </w:r>
      <w:r>
        <w:rPr/>
        <w:t>the</w:t>
      </w:r>
      <w:r>
        <w:rPr>
          <w:spacing w:val="-10"/>
        </w:rPr>
        <w:t> </w:t>
      </w:r>
      <w:r>
        <w:rPr/>
        <w:t>largest</w:t>
      </w:r>
      <w:r>
        <w:rPr>
          <w:spacing w:val="-8"/>
        </w:rPr>
        <w:t> </w:t>
      </w:r>
      <w:r>
        <w:rPr/>
        <w:t>one</w:t>
      </w:r>
      <w:r>
        <w:rPr>
          <w:spacing w:val="-11"/>
        </w:rPr>
        <w:t> </w:t>
      </w:r>
      <w:r>
        <w:rPr/>
        <w:t>in</w:t>
      </w:r>
      <w:r>
        <w:rPr>
          <w:spacing w:val="-8"/>
        </w:rPr>
        <w:t> </w:t>
      </w:r>
      <w:r>
        <w:rPr/>
        <w:t>Indian</w:t>
      </w:r>
      <w:r>
        <w:rPr>
          <w:spacing w:val="-10"/>
        </w:rPr>
        <w:t> </w:t>
      </w:r>
      <w:r>
        <w:rPr/>
        <w:t>private</w:t>
      </w:r>
      <w:r>
        <w:rPr>
          <w:spacing w:val="-9"/>
        </w:rPr>
        <w:t> </w:t>
      </w:r>
      <w:r>
        <w:rPr>
          <w:spacing w:val="-2"/>
        </w:rPr>
        <w:t>markets.</w:t>
      </w:r>
    </w:p>
    <w:p>
      <w:pPr>
        <w:pStyle w:val="Heading2"/>
        <w:numPr>
          <w:ilvl w:val="1"/>
          <w:numId w:val="5"/>
        </w:numPr>
        <w:tabs>
          <w:tab w:pos="540" w:val="left" w:leader="none"/>
        </w:tabs>
        <w:spacing w:line="240" w:lineRule="auto" w:before="161" w:after="0"/>
        <w:ind w:left="540" w:right="0" w:hanging="517"/>
        <w:jc w:val="both"/>
      </w:pPr>
      <w:bookmarkStart w:name="_bookmark63" w:id="64"/>
      <w:bookmarkEnd w:id="64"/>
      <w:r>
        <w:rPr>
          <w:b w:val="0"/>
        </w:rPr>
      </w:r>
      <w:r>
        <w:rPr/>
        <w:t>Synthesis</w:t>
      </w:r>
      <w:r>
        <w:rPr>
          <w:spacing w:val="-8"/>
        </w:rPr>
        <w:t> </w:t>
      </w:r>
      <w:r>
        <w:rPr/>
        <w:t>and</w:t>
      </w:r>
      <w:r>
        <w:rPr>
          <w:spacing w:val="-12"/>
        </w:rPr>
        <w:t> </w:t>
      </w:r>
      <w:r>
        <w:rPr/>
        <w:t>Theory</w:t>
      </w:r>
      <w:r>
        <w:rPr>
          <w:spacing w:val="-8"/>
        </w:rPr>
        <w:t> </w:t>
      </w:r>
      <w:r>
        <w:rPr>
          <w:spacing w:val="-4"/>
        </w:rPr>
        <w:t>Link</w:t>
      </w:r>
    </w:p>
    <w:p>
      <w:pPr>
        <w:pStyle w:val="BodyText"/>
        <w:spacing w:line="360" w:lineRule="auto" w:before="229"/>
        <w:ind w:left="23" w:right="20"/>
        <w:jc w:val="both"/>
      </w:pPr>
      <w:r>
        <w:rPr/>
        <w:t>The empirical findings in this chapter align with the theoretical background presented in previous chapters, particularly in terms of</w:t>
      </w:r>
      <w:r>
        <w:rPr>
          <w:spacing w:val="-12"/>
        </w:rPr>
        <w:t> </w:t>
      </w:r>
      <w:r>
        <w:rPr/>
        <w:t>Agency</w:t>
      </w:r>
      <w:r>
        <w:rPr>
          <w:spacing w:val="-4"/>
        </w:rPr>
        <w:t> </w:t>
      </w:r>
      <w:r>
        <w:rPr/>
        <w:t>Theory and Institutional</w:t>
      </w:r>
      <w:r>
        <w:rPr>
          <w:spacing w:val="-4"/>
        </w:rPr>
        <w:t> </w:t>
      </w:r>
      <w:r>
        <w:rPr/>
        <w:t>Theory, as well as frameworks</w:t>
      </w:r>
      <w:r>
        <w:rPr>
          <w:spacing w:val="-14"/>
        </w:rPr>
        <w:t> </w:t>
      </w:r>
      <w:r>
        <w:rPr/>
        <w:t>on</w:t>
      </w:r>
      <w:r>
        <w:rPr>
          <w:spacing w:val="-11"/>
        </w:rPr>
        <w:t> </w:t>
      </w:r>
      <w:r>
        <w:rPr/>
        <w:t>private</w:t>
      </w:r>
      <w:r>
        <w:rPr>
          <w:spacing w:val="-12"/>
        </w:rPr>
        <w:t> </w:t>
      </w:r>
      <w:r>
        <w:rPr/>
        <w:t>equity</w:t>
      </w:r>
      <w:r>
        <w:rPr>
          <w:spacing w:val="-11"/>
        </w:rPr>
        <w:t> </w:t>
      </w:r>
      <w:r>
        <w:rPr/>
        <w:t>value</w:t>
      </w:r>
      <w:r>
        <w:rPr>
          <w:spacing w:val="-12"/>
        </w:rPr>
        <w:t> </w:t>
      </w:r>
      <w:r>
        <w:rPr/>
        <w:t>creation.</w:t>
      </w:r>
      <w:r>
        <w:rPr>
          <w:spacing w:val="-12"/>
        </w:rPr>
        <w:t> </w:t>
      </w:r>
      <w:r>
        <w:rPr/>
        <w:t>The</w:t>
      </w:r>
      <w:r>
        <w:rPr>
          <w:spacing w:val="-12"/>
        </w:rPr>
        <w:t> </w:t>
      </w:r>
      <w:r>
        <w:rPr/>
        <w:t>shift</w:t>
      </w:r>
      <w:r>
        <w:rPr>
          <w:spacing w:val="-11"/>
        </w:rPr>
        <w:t> </w:t>
      </w:r>
      <w:r>
        <w:rPr/>
        <w:t>in</w:t>
      </w:r>
      <w:r>
        <w:rPr>
          <w:spacing w:val="-11"/>
        </w:rPr>
        <w:t> </w:t>
      </w:r>
      <w:r>
        <w:rPr/>
        <w:t>investment</w:t>
      </w:r>
      <w:r>
        <w:rPr>
          <w:spacing w:val="-11"/>
        </w:rPr>
        <w:t> </w:t>
      </w:r>
      <w:r>
        <w:rPr/>
        <w:t>direction</w:t>
      </w:r>
      <w:r>
        <w:rPr>
          <w:spacing w:val="-11"/>
        </w:rPr>
        <w:t> </w:t>
      </w:r>
      <w:r>
        <w:rPr/>
        <w:t>towards</w:t>
      </w:r>
      <w:r>
        <w:rPr>
          <w:spacing w:val="-8"/>
        </w:rPr>
        <w:t> </w:t>
      </w:r>
      <w:r>
        <w:rPr>
          <w:spacing w:val="-2"/>
        </w:rPr>
        <w:t>control-</w:t>
      </w:r>
    </w:p>
    <w:p>
      <w:pPr>
        <w:pStyle w:val="BodyText"/>
        <w:spacing w:after="0" w:line="360" w:lineRule="auto"/>
        <w:jc w:val="both"/>
        <w:sectPr>
          <w:pgSz w:w="11910" w:h="16840"/>
          <w:pgMar w:header="0" w:footer="1009" w:top="1360" w:bottom="1280" w:left="1417" w:right="1417"/>
        </w:sectPr>
      </w:pPr>
    </w:p>
    <w:p>
      <w:pPr>
        <w:pStyle w:val="BodyText"/>
        <w:spacing w:line="360" w:lineRule="auto" w:before="61"/>
        <w:ind w:left="23" w:right="23"/>
        <w:jc w:val="both"/>
      </w:pPr>
      <w:r>
        <w:rPr/>
        <w:t>oriented</w:t>
      </w:r>
      <w:r>
        <w:rPr>
          <w:spacing w:val="-4"/>
        </w:rPr>
        <w:t> </w:t>
      </w:r>
      <w:r>
        <w:rPr/>
        <w:t>strategies</w:t>
      </w:r>
      <w:r>
        <w:rPr>
          <w:spacing w:val="-5"/>
        </w:rPr>
        <w:t> </w:t>
      </w:r>
      <w:r>
        <w:rPr/>
        <w:t>post-2016,</w:t>
      </w:r>
      <w:r>
        <w:rPr>
          <w:spacing w:val="-4"/>
        </w:rPr>
        <w:t> </w:t>
      </w:r>
      <w:r>
        <w:rPr/>
        <w:t>notably</w:t>
      </w:r>
      <w:r>
        <w:rPr>
          <w:spacing w:val="-4"/>
        </w:rPr>
        <w:t> </w:t>
      </w:r>
      <w:r>
        <w:rPr/>
        <w:t>through</w:t>
      </w:r>
      <w:r>
        <w:rPr>
          <w:spacing w:val="-4"/>
        </w:rPr>
        <w:t> </w:t>
      </w:r>
      <w:r>
        <w:rPr/>
        <w:t>the</w:t>
      </w:r>
      <w:r>
        <w:rPr>
          <w:spacing w:val="-8"/>
        </w:rPr>
        <w:t> </w:t>
      </w:r>
      <w:r>
        <w:rPr/>
        <w:t>increased</w:t>
      </w:r>
      <w:r>
        <w:rPr>
          <w:spacing w:val="-4"/>
        </w:rPr>
        <w:t> </w:t>
      </w:r>
      <w:r>
        <w:rPr/>
        <w:t>use</w:t>
      </w:r>
      <w:r>
        <w:rPr>
          <w:spacing w:val="-5"/>
        </w:rPr>
        <w:t> </w:t>
      </w:r>
      <w:r>
        <w:rPr/>
        <w:t>of</w:t>
      </w:r>
      <w:r>
        <w:rPr>
          <w:spacing w:val="-4"/>
        </w:rPr>
        <w:t> </w:t>
      </w:r>
      <w:r>
        <w:rPr/>
        <w:t>buyout</w:t>
      </w:r>
      <w:r>
        <w:rPr>
          <w:spacing w:val="-4"/>
        </w:rPr>
        <w:t> </w:t>
      </w:r>
      <w:r>
        <w:rPr/>
        <w:t>structures,</w:t>
      </w:r>
      <w:r>
        <w:rPr>
          <w:spacing w:val="-4"/>
        </w:rPr>
        <w:t> </w:t>
      </w:r>
      <w:r>
        <w:rPr/>
        <w:t>supports Agency Theory. According to this theory, private equity investors seek greater governance control to mitigate information asymmetry and managerial opportunism. This is reflected in the growing prevalence of acquisition and PIPE (Private Investment in Public Equity) deals, which grant investors strategic control and board-level authority.</w:t>
      </w:r>
    </w:p>
    <w:p>
      <w:pPr>
        <w:pStyle w:val="BodyText"/>
        <w:spacing w:line="360" w:lineRule="auto" w:before="160"/>
        <w:ind w:left="23" w:right="18"/>
        <w:jc w:val="both"/>
      </w:pPr>
      <w:r>
        <w:rPr/>
        <w:t>The influence of regulatory changes, such as the</w:t>
      </w:r>
      <w:r>
        <w:rPr>
          <w:spacing w:val="-1"/>
        </w:rPr>
        <w:t> </w:t>
      </w:r>
      <w:r>
        <w:rPr/>
        <w:t>AIF Regulations (2012) and the Insolvency and Bankruptcy Code (IBC, 2016), aligns with Institutional Theory, emphasizing how institutional frameworks shape investment behavior. These regulations facilitated more effective contract enforcement, better protection for investors, and more reliable exit routes, contributing to the increase in deal activity and sectoral liquidity post-2016. The regulatory reforms also played a crucial role in enhancing market maturity (Bagh et al., 2025).</w:t>
      </w:r>
    </w:p>
    <w:p>
      <w:pPr>
        <w:pStyle w:val="BodyText"/>
        <w:spacing w:line="360" w:lineRule="auto" w:before="161"/>
        <w:ind w:left="23" w:right="19"/>
        <w:jc w:val="both"/>
      </w:pPr>
      <w:r>
        <w:rPr/>
        <w:t>Lastly, sector-specific value creation mechanisms vary. Technology investments emphasize scalability, network effects, and customer acquisition to boost valuations, while industry and healthcare</w:t>
      </w:r>
      <w:r>
        <w:rPr>
          <w:spacing w:val="-15"/>
        </w:rPr>
        <w:t> </w:t>
      </w:r>
      <w:r>
        <w:rPr/>
        <w:t>investments</w:t>
      </w:r>
      <w:r>
        <w:rPr>
          <w:spacing w:val="-15"/>
        </w:rPr>
        <w:t> </w:t>
      </w:r>
      <w:r>
        <w:rPr/>
        <w:t>focus</w:t>
      </w:r>
      <w:r>
        <w:rPr>
          <w:spacing w:val="-15"/>
        </w:rPr>
        <w:t> </w:t>
      </w:r>
      <w:r>
        <w:rPr/>
        <w:t>on</w:t>
      </w:r>
      <w:r>
        <w:rPr>
          <w:spacing w:val="-15"/>
        </w:rPr>
        <w:t> </w:t>
      </w:r>
      <w:r>
        <w:rPr/>
        <w:t>operational</w:t>
      </w:r>
      <w:r>
        <w:rPr>
          <w:spacing w:val="-15"/>
        </w:rPr>
        <w:t> </w:t>
      </w:r>
      <w:r>
        <w:rPr/>
        <w:t>efficiencies</w:t>
      </w:r>
      <w:r>
        <w:rPr>
          <w:spacing w:val="-15"/>
        </w:rPr>
        <w:t> </w:t>
      </w:r>
      <w:r>
        <w:rPr/>
        <w:t>and</w:t>
      </w:r>
      <w:r>
        <w:rPr>
          <w:spacing w:val="-15"/>
        </w:rPr>
        <w:t> </w:t>
      </w:r>
      <w:r>
        <w:rPr/>
        <w:t>turnaround</w:t>
      </w:r>
      <w:r>
        <w:rPr>
          <w:spacing w:val="-15"/>
        </w:rPr>
        <w:t> </w:t>
      </w:r>
      <w:r>
        <w:rPr/>
        <w:t>strategies,</w:t>
      </w:r>
      <w:r>
        <w:rPr>
          <w:spacing w:val="-15"/>
        </w:rPr>
        <w:t> </w:t>
      </w:r>
      <w:r>
        <w:rPr/>
        <w:t>highlighting diverse approaches to generating value in different sectors.</w:t>
      </w:r>
    </w:p>
    <w:p>
      <w:pPr>
        <w:pStyle w:val="Heading2"/>
        <w:numPr>
          <w:ilvl w:val="1"/>
          <w:numId w:val="5"/>
        </w:numPr>
        <w:tabs>
          <w:tab w:pos="525" w:val="left" w:leader="none"/>
        </w:tabs>
        <w:spacing w:line="240" w:lineRule="auto" w:before="160" w:after="0"/>
        <w:ind w:left="525" w:right="0" w:hanging="502"/>
        <w:jc w:val="both"/>
      </w:pPr>
      <w:bookmarkStart w:name="_bookmark64" w:id="65"/>
      <w:bookmarkEnd w:id="65"/>
      <w:r>
        <w:rPr>
          <w:b w:val="0"/>
        </w:rPr>
      </w:r>
      <w:r>
        <w:rPr/>
        <w:t>Summary</w:t>
      </w:r>
      <w:r>
        <w:rPr>
          <w:spacing w:val="-7"/>
        </w:rPr>
        <w:t> </w:t>
      </w:r>
      <w:r>
        <w:rPr/>
        <w:t>of</w:t>
      </w:r>
      <w:r>
        <w:rPr>
          <w:spacing w:val="-3"/>
        </w:rPr>
        <w:t> </w:t>
      </w:r>
      <w:r>
        <w:rPr/>
        <w:t>Key</w:t>
      </w:r>
      <w:r>
        <w:rPr>
          <w:spacing w:val="-4"/>
        </w:rPr>
        <w:t> </w:t>
      </w:r>
      <w:r>
        <w:rPr>
          <w:spacing w:val="-2"/>
        </w:rPr>
        <w:t>Findings</w:t>
      </w:r>
    </w:p>
    <w:p>
      <w:pPr>
        <w:pStyle w:val="BodyText"/>
        <w:spacing w:line="360" w:lineRule="auto" w:before="228"/>
        <w:ind w:left="23" w:right="19"/>
        <w:jc w:val="both"/>
      </w:pPr>
      <w:r>
        <w:rPr/>
        <w:t>The discussion shows that the Indian private equity market has grown by a substantial extent amid 2005 and 2024 because of the increasing volumes of deals and amount of amount and sectoral</w:t>
      </w:r>
      <w:r>
        <w:rPr>
          <w:spacing w:val="-15"/>
        </w:rPr>
        <w:t> </w:t>
      </w:r>
      <w:r>
        <w:rPr/>
        <w:t>focus</w:t>
      </w:r>
      <w:r>
        <w:rPr>
          <w:spacing w:val="-15"/>
        </w:rPr>
        <w:t> </w:t>
      </w:r>
      <w:r>
        <w:rPr/>
        <w:t>in</w:t>
      </w:r>
      <w:r>
        <w:rPr>
          <w:spacing w:val="-15"/>
        </w:rPr>
        <w:t> </w:t>
      </w:r>
      <w:r>
        <w:rPr/>
        <w:t>Technology,</w:t>
      </w:r>
      <w:r>
        <w:rPr>
          <w:spacing w:val="-15"/>
        </w:rPr>
        <w:t> </w:t>
      </w:r>
      <w:r>
        <w:rPr/>
        <w:t>Consumer</w:t>
      </w:r>
      <w:r>
        <w:rPr>
          <w:spacing w:val="-15"/>
        </w:rPr>
        <w:t> </w:t>
      </w:r>
      <w:r>
        <w:rPr/>
        <w:t>Cyclicals,</w:t>
      </w:r>
      <w:r>
        <w:rPr>
          <w:spacing w:val="-15"/>
        </w:rPr>
        <w:t> </w:t>
      </w:r>
      <w:r>
        <w:rPr/>
        <w:t>and</w:t>
      </w:r>
      <w:r>
        <w:rPr>
          <w:spacing w:val="-15"/>
        </w:rPr>
        <w:t> </w:t>
      </w:r>
      <w:r>
        <w:rPr/>
        <w:t>Financials.</w:t>
      </w:r>
      <w:r>
        <w:rPr>
          <w:spacing w:val="-15"/>
        </w:rPr>
        <w:t> </w:t>
      </w:r>
      <w:r>
        <w:rPr/>
        <w:t>The</w:t>
      </w:r>
      <w:r>
        <w:rPr>
          <w:spacing w:val="-15"/>
        </w:rPr>
        <w:t> </w:t>
      </w:r>
      <w:r>
        <w:rPr/>
        <w:t>market</w:t>
      </w:r>
      <w:r>
        <w:rPr>
          <w:spacing w:val="-15"/>
        </w:rPr>
        <w:t> </w:t>
      </w:r>
      <w:r>
        <w:rPr/>
        <w:t>has</w:t>
      </w:r>
      <w:r>
        <w:rPr>
          <w:spacing w:val="-15"/>
        </w:rPr>
        <w:t> </w:t>
      </w:r>
      <w:r>
        <w:rPr/>
        <w:t>transformed into a more balanced structure in terms of including both minority growth rounds and either acquisition and control transactions, especially since the operationalization of IBC in 2016. Exit exit activity attests to a liquidity improving trend, and M&amp;A</w:t>
      </w:r>
      <w:r>
        <w:rPr>
          <w:spacing w:val="-7"/>
        </w:rPr>
        <w:t> </w:t>
      </w:r>
      <w:r>
        <w:rPr/>
        <w:t>as the leading exit channel, and IPOs as an opening of opportunity, as opposed to a regular exit channel. The sectoral liquidity trends show that scalability and transparency in governance support the exit availability, whereas the assets-intensive sectors still have structural frictions.</w:t>
      </w:r>
    </w:p>
    <w:p>
      <w:pPr>
        <w:pStyle w:val="BodyText"/>
        <w:spacing w:line="360" w:lineRule="auto" w:before="163"/>
        <w:ind w:left="23" w:right="28"/>
        <w:jc w:val="both"/>
      </w:pPr>
      <w:r>
        <w:rPr/>
        <w:t>India, in comparison, is more regulated and has a higher exit reliability than Indonesia, Vietnam, and Brazil, yet remains smaller than China.</w:t>
      </w:r>
    </w:p>
    <w:p>
      <w:pPr>
        <w:pStyle w:val="BodyText"/>
        <w:spacing w:after="0" w:line="360" w:lineRule="auto"/>
        <w:jc w:val="both"/>
        <w:sectPr>
          <w:pgSz w:w="11910" w:h="16840"/>
          <w:pgMar w:header="0" w:footer="1009" w:top="1360" w:bottom="1200" w:left="1417" w:right="1417"/>
        </w:sectPr>
      </w:pPr>
    </w:p>
    <w:p>
      <w:pPr>
        <w:pStyle w:val="Heading1"/>
        <w:ind w:firstLine="0"/>
      </w:pPr>
      <w:bookmarkStart w:name="_bookmark65" w:id="66"/>
      <w:bookmarkEnd w:id="66"/>
      <w:r>
        <w:rPr>
          <w:b w:val="0"/>
        </w:rPr>
      </w:r>
      <w:r>
        <w:rPr>
          <w:spacing w:val="-2"/>
        </w:rPr>
        <w:t>References</w:t>
      </w:r>
    </w:p>
    <w:p>
      <w:pPr>
        <w:pStyle w:val="BodyText"/>
        <w:spacing w:line="480" w:lineRule="auto" w:before="239"/>
        <w:ind w:left="743" w:hanging="720"/>
      </w:pPr>
      <w:r>
        <w:rPr/>
        <w:t>Bagh, T., Hunjra, A. I., Ntim, C., &amp; Naseer, M. M. (2025). Capitalizing on risk: How Corporate Financial flexibility, Investment efficiency, and Institutional Ownership Shape</w:t>
      </w:r>
      <w:r>
        <w:rPr>
          <w:spacing w:val="-5"/>
        </w:rPr>
        <w:t> </w:t>
      </w:r>
      <w:r>
        <w:rPr/>
        <w:t>risk-taking</w:t>
      </w:r>
      <w:r>
        <w:rPr>
          <w:spacing w:val="-4"/>
        </w:rPr>
        <w:t> </w:t>
      </w:r>
      <w:r>
        <w:rPr/>
        <w:t>Dynamics.</w:t>
      </w:r>
      <w:r>
        <w:rPr>
          <w:spacing w:val="-4"/>
        </w:rPr>
        <w:t> </w:t>
      </w:r>
      <w:r>
        <w:rPr>
          <w:i/>
        </w:rPr>
        <w:t>International</w:t>
      </w:r>
      <w:r>
        <w:rPr>
          <w:i/>
          <w:spacing w:val="-4"/>
        </w:rPr>
        <w:t> </w:t>
      </w:r>
      <w:r>
        <w:rPr>
          <w:i/>
        </w:rPr>
        <w:t>Review</w:t>
      </w:r>
      <w:r>
        <w:rPr>
          <w:i/>
          <w:spacing w:val="-2"/>
        </w:rPr>
        <w:t> </w:t>
      </w:r>
      <w:r>
        <w:rPr>
          <w:i/>
        </w:rPr>
        <w:t>of</w:t>
      </w:r>
      <w:r>
        <w:rPr>
          <w:i/>
          <w:spacing w:val="-4"/>
        </w:rPr>
        <w:t> </w:t>
      </w:r>
      <w:r>
        <w:rPr>
          <w:i/>
        </w:rPr>
        <w:t>Economics</w:t>
      </w:r>
      <w:r>
        <w:rPr>
          <w:i/>
          <w:spacing w:val="-5"/>
        </w:rPr>
        <w:t> </w:t>
      </w:r>
      <w:r>
        <w:rPr>
          <w:i/>
        </w:rPr>
        <w:t>&amp;</w:t>
      </w:r>
      <w:r>
        <w:rPr>
          <w:i/>
          <w:spacing w:val="-4"/>
        </w:rPr>
        <w:t> </w:t>
      </w:r>
      <w:r>
        <w:rPr>
          <w:i/>
        </w:rPr>
        <w:t>Finance</w:t>
      </w:r>
      <w:r>
        <w:rPr/>
        <w:t>,</w:t>
      </w:r>
      <w:r>
        <w:rPr>
          <w:spacing w:val="-4"/>
        </w:rPr>
        <w:t> </w:t>
      </w:r>
      <w:r>
        <w:rPr/>
        <w:t>104068. </w:t>
      </w:r>
      <w:r>
        <w:rPr>
          <w:spacing w:val="-2"/>
        </w:rPr>
        <w:t>https://doi.org/10.1016/j.iref.2025.104068</w:t>
      </w:r>
    </w:p>
    <w:p>
      <w:pPr>
        <w:pStyle w:val="BodyText"/>
        <w:spacing w:line="360" w:lineRule="auto"/>
        <w:ind w:left="743" w:right="24" w:hanging="720"/>
        <w:jc w:val="both"/>
      </w:pPr>
      <w:r>
        <w:rPr/>
        <w:t>Adams, N., None Temitope Oluwafunmike Sanyaolu, None Christianah Pelumi Efunniyi, Anthony, L., &amp; Azubuko, F. (2024). Market trend analysis in product development: Techniques and tools. International Journal of Management &amp; Entrepreneurship Research, 6(9), 2889–2912. </w:t>
      </w:r>
      <w:hyperlink r:id="rId50">
        <w:r>
          <w:rPr>
            <w:color w:val="0462C1"/>
            <w:u w:val="single" w:color="0462C1"/>
          </w:rPr>
          <w:t>https://doi.org/10.51594/ijmer.v6i9.1530</w:t>
        </w:r>
      </w:hyperlink>
    </w:p>
    <w:p>
      <w:pPr>
        <w:pStyle w:val="BodyText"/>
        <w:spacing w:line="360" w:lineRule="auto"/>
        <w:ind w:left="743" w:right="19" w:hanging="720"/>
        <w:jc w:val="both"/>
      </w:pPr>
      <w:r>
        <w:rPr/>
        <w:t>Carney,</w:t>
      </w:r>
      <w:r>
        <w:rPr>
          <w:spacing w:val="-9"/>
        </w:rPr>
        <w:t> </w:t>
      </w:r>
      <w:r>
        <w:rPr/>
        <w:t>R.</w:t>
      </w:r>
      <w:r>
        <w:rPr>
          <w:spacing w:val="-14"/>
        </w:rPr>
        <w:t> </w:t>
      </w:r>
      <w:r>
        <w:rPr/>
        <w:t>W.,</w:t>
      </w:r>
      <w:r>
        <w:rPr>
          <w:spacing w:val="-8"/>
        </w:rPr>
        <w:t> </w:t>
      </w:r>
      <w:r>
        <w:rPr/>
        <w:t>Sadok</w:t>
      </w:r>
      <w:r>
        <w:rPr>
          <w:spacing w:val="-9"/>
        </w:rPr>
        <w:t> </w:t>
      </w:r>
      <w:r>
        <w:rPr/>
        <w:t>El</w:t>
      </w:r>
      <w:r>
        <w:rPr>
          <w:spacing w:val="-7"/>
        </w:rPr>
        <w:t> </w:t>
      </w:r>
      <w:r>
        <w:rPr/>
        <w:t>Ghoul,</w:t>
      </w:r>
      <w:r>
        <w:rPr>
          <w:spacing w:val="-9"/>
        </w:rPr>
        <w:t> </w:t>
      </w:r>
      <w:r>
        <w:rPr/>
        <w:t>Omrane</w:t>
      </w:r>
      <w:r>
        <w:rPr>
          <w:spacing w:val="-10"/>
        </w:rPr>
        <w:t> </w:t>
      </w:r>
      <w:r>
        <w:rPr/>
        <w:t>Guedhami,</w:t>
      </w:r>
      <w:r>
        <w:rPr>
          <w:spacing w:val="-9"/>
        </w:rPr>
        <w:t> </w:t>
      </w:r>
      <w:r>
        <w:rPr/>
        <w:t>&amp;</w:t>
      </w:r>
      <w:r>
        <w:rPr>
          <w:spacing w:val="-13"/>
        </w:rPr>
        <w:t> </w:t>
      </w:r>
      <w:r>
        <w:rPr/>
        <w:t>Wang,</w:t>
      </w:r>
      <w:r>
        <w:rPr>
          <w:spacing w:val="-8"/>
        </w:rPr>
        <w:t> </w:t>
      </w:r>
      <w:r>
        <w:rPr/>
        <w:t>H.</w:t>
      </w:r>
      <w:r>
        <w:rPr>
          <w:spacing w:val="-7"/>
        </w:rPr>
        <w:t> </w:t>
      </w:r>
      <w:r>
        <w:rPr/>
        <w:t>(2024).</w:t>
      </w:r>
      <w:r>
        <w:rPr>
          <w:spacing w:val="-7"/>
        </w:rPr>
        <w:t> </w:t>
      </w:r>
      <w:r>
        <w:rPr/>
        <w:t>Geopolitical</w:t>
      </w:r>
      <w:r>
        <w:rPr>
          <w:spacing w:val="-8"/>
        </w:rPr>
        <w:t> </w:t>
      </w:r>
      <w:r>
        <w:rPr/>
        <w:t>risk</w:t>
      </w:r>
      <w:r>
        <w:rPr>
          <w:spacing w:val="-7"/>
        </w:rPr>
        <w:t> </w:t>
      </w:r>
      <w:r>
        <w:rPr/>
        <w:t>and the</w:t>
      </w:r>
      <w:r>
        <w:rPr>
          <w:spacing w:val="-15"/>
        </w:rPr>
        <w:t> </w:t>
      </w:r>
      <w:r>
        <w:rPr/>
        <w:t>cost</w:t>
      </w:r>
      <w:r>
        <w:rPr>
          <w:spacing w:val="-15"/>
        </w:rPr>
        <w:t> </w:t>
      </w:r>
      <w:r>
        <w:rPr/>
        <w:t>of</w:t>
      </w:r>
      <w:r>
        <w:rPr>
          <w:spacing w:val="-15"/>
        </w:rPr>
        <w:t> </w:t>
      </w:r>
      <w:r>
        <w:rPr/>
        <w:t>capital</w:t>
      </w:r>
      <w:r>
        <w:rPr>
          <w:spacing w:val="-15"/>
        </w:rPr>
        <w:t> </w:t>
      </w:r>
      <w:r>
        <w:rPr/>
        <w:t>in</w:t>
      </w:r>
      <w:r>
        <w:rPr>
          <w:spacing w:val="-15"/>
        </w:rPr>
        <w:t> </w:t>
      </w:r>
      <w:r>
        <w:rPr/>
        <w:t>emerging</w:t>
      </w:r>
      <w:r>
        <w:rPr>
          <w:spacing w:val="-15"/>
        </w:rPr>
        <w:t> </w:t>
      </w:r>
      <w:r>
        <w:rPr/>
        <w:t>economies.</w:t>
      </w:r>
      <w:r>
        <w:rPr>
          <w:spacing w:val="-15"/>
        </w:rPr>
        <w:t> </w:t>
      </w:r>
      <w:r>
        <w:rPr/>
        <w:t>Emerging</w:t>
      </w:r>
      <w:r>
        <w:rPr>
          <w:spacing w:val="-15"/>
        </w:rPr>
        <w:t> </w:t>
      </w:r>
      <w:r>
        <w:rPr/>
        <w:t>Markets</w:t>
      </w:r>
      <w:r>
        <w:rPr>
          <w:spacing w:val="-15"/>
        </w:rPr>
        <w:t> </w:t>
      </w:r>
      <w:r>
        <w:rPr/>
        <w:t>Review,</w:t>
      </w:r>
      <w:r>
        <w:rPr>
          <w:spacing w:val="-15"/>
        </w:rPr>
        <w:t> </w:t>
      </w:r>
      <w:r>
        <w:rPr/>
        <w:t>101149–101149. </w:t>
      </w:r>
      <w:hyperlink r:id="rId51">
        <w:r>
          <w:rPr>
            <w:color w:val="0462C1"/>
            <w:spacing w:val="-2"/>
            <w:u w:val="single" w:color="0462C1"/>
          </w:rPr>
          <w:t>https://doi.org/10.1016/j.ememar.2024.101149</w:t>
        </w:r>
      </w:hyperlink>
    </w:p>
    <w:p>
      <w:pPr>
        <w:pStyle w:val="BodyText"/>
        <w:spacing w:line="480" w:lineRule="auto"/>
        <w:ind w:left="743" w:hanging="720"/>
      </w:pPr>
      <w:r>
        <w:rPr/>
        <w:t>Farid, H. M. A., Iram, S., Shakeel, H. M., Hill, R., &amp; Simic, V. (2025). An expert-driven digital</w:t>
      </w:r>
      <w:r>
        <w:rPr>
          <w:spacing w:val="-4"/>
        </w:rPr>
        <w:t> </w:t>
      </w:r>
      <w:r>
        <w:rPr/>
        <w:t>platform</w:t>
      </w:r>
      <w:r>
        <w:rPr>
          <w:spacing w:val="-4"/>
        </w:rPr>
        <w:t> </w:t>
      </w:r>
      <w:r>
        <w:rPr/>
        <w:t>for</w:t>
      </w:r>
      <w:r>
        <w:rPr>
          <w:spacing w:val="-4"/>
        </w:rPr>
        <w:t> </w:t>
      </w:r>
      <w:r>
        <w:rPr/>
        <w:t>decision</w:t>
      </w:r>
      <w:r>
        <w:rPr>
          <w:spacing w:val="-4"/>
        </w:rPr>
        <w:t> </w:t>
      </w:r>
      <w:r>
        <w:rPr/>
        <w:t>support</w:t>
      </w:r>
      <w:r>
        <w:rPr>
          <w:spacing w:val="-4"/>
        </w:rPr>
        <w:t> </w:t>
      </w:r>
      <w:r>
        <w:rPr/>
        <w:t>in</w:t>
      </w:r>
      <w:r>
        <w:rPr>
          <w:spacing w:val="-4"/>
        </w:rPr>
        <w:t> </w:t>
      </w:r>
      <w:r>
        <w:rPr/>
        <w:t>sustainable</w:t>
      </w:r>
      <w:r>
        <w:rPr>
          <w:spacing w:val="-4"/>
        </w:rPr>
        <w:t> </w:t>
      </w:r>
      <w:r>
        <w:rPr/>
        <w:t>building</w:t>
      </w:r>
      <w:r>
        <w:rPr>
          <w:spacing w:val="-4"/>
        </w:rPr>
        <w:t> </w:t>
      </w:r>
      <w:r>
        <w:rPr/>
        <w:t>retrofitting.</w:t>
      </w:r>
      <w:r>
        <w:rPr>
          <w:spacing w:val="-1"/>
        </w:rPr>
        <w:t> </w:t>
      </w:r>
      <w:r>
        <w:rPr>
          <w:i/>
        </w:rPr>
        <w:t>Energy</w:t>
      </w:r>
      <w:r>
        <w:rPr>
          <w:i/>
          <w:spacing w:val="-5"/>
        </w:rPr>
        <w:t> </w:t>
      </w:r>
      <w:r>
        <w:rPr>
          <w:i/>
        </w:rPr>
        <w:t>and Buildings</w:t>
      </w:r>
      <w:r>
        <w:rPr/>
        <w:t>, </w:t>
      </w:r>
      <w:r>
        <w:rPr>
          <w:i/>
        </w:rPr>
        <w:t>352</w:t>
      </w:r>
      <w:r>
        <w:rPr/>
        <w:t>, 116770. https://doi.org/10.1016/j.enbuild.2025.116770</w:t>
      </w:r>
    </w:p>
    <w:p>
      <w:pPr>
        <w:pStyle w:val="BodyText"/>
        <w:spacing w:line="480" w:lineRule="auto"/>
        <w:ind w:left="743" w:right="260" w:hanging="720"/>
      </w:pPr>
      <w:r>
        <w:rPr/>
        <w:t>Kaufman,</w:t>
      </w:r>
      <w:r>
        <w:rPr>
          <w:spacing w:val="-4"/>
        </w:rPr>
        <w:t> </w:t>
      </w:r>
      <w:r>
        <w:rPr/>
        <w:t>D.</w:t>
      </w:r>
      <w:r>
        <w:rPr>
          <w:spacing w:val="-3"/>
        </w:rPr>
        <w:t> </w:t>
      </w:r>
      <w:r>
        <w:rPr/>
        <w:t>F.</w:t>
      </w:r>
      <w:r>
        <w:rPr>
          <w:spacing w:val="-4"/>
        </w:rPr>
        <w:t> </w:t>
      </w:r>
      <w:r>
        <w:rPr/>
        <w:t>(2025).</w:t>
      </w:r>
      <w:r>
        <w:rPr>
          <w:spacing w:val="-4"/>
        </w:rPr>
        <w:t> </w:t>
      </w:r>
      <w:r>
        <w:rPr/>
        <w:t>Following</w:t>
      </w:r>
      <w:r>
        <w:rPr>
          <w:spacing w:val="-4"/>
        </w:rPr>
        <w:t> </w:t>
      </w:r>
      <w:r>
        <w:rPr/>
        <w:t>the</w:t>
      </w:r>
      <w:r>
        <w:rPr>
          <w:spacing w:val="-5"/>
        </w:rPr>
        <w:t> </w:t>
      </w:r>
      <w:r>
        <w:rPr/>
        <w:t>money</w:t>
      </w:r>
      <w:r>
        <w:rPr>
          <w:spacing w:val="-4"/>
        </w:rPr>
        <w:t> </w:t>
      </w:r>
      <w:r>
        <w:rPr/>
        <w:t>by</w:t>
      </w:r>
      <w:r>
        <w:rPr>
          <w:spacing w:val="-4"/>
        </w:rPr>
        <w:t> </w:t>
      </w:r>
      <w:r>
        <w:rPr/>
        <w:t>following</w:t>
      </w:r>
      <w:r>
        <w:rPr>
          <w:spacing w:val="-4"/>
        </w:rPr>
        <w:t> </w:t>
      </w:r>
      <w:r>
        <w:rPr/>
        <w:t>debt:</w:t>
      </w:r>
      <w:r>
        <w:rPr>
          <w:spacing w:val="-4"/>
        </w:rPr>
        <w:t> </w:t>
      </w:r>
      <w:r>
        <w:rPr/>
        <w:t>tracking</w:t>
      </w:r>
      <w:r>
        <w:rPr>
          <w:spacing w:val="-4"/>
        </w:rPr>
        <w:t> </w:t>
      </w:r>
      <w:r>
        <w:rPr/>
        <w:t>Ecuador’s sovereign bonds with financial data platforms. </w:t>
      </w:r>
      <w:r>
        <w:rPr>
          <w:i/>
        </w:rPr>
        <w:t>Geoforum</w:t>
      </w:r>
      <w:r>
        <w:rPr/>
        <w:t>, </w:t>
      </w:r>
      <w:r>
        <w:rPr>
          <w:i/>
        </w:rPr>
        <w:t>167</w:t>
      </w:r>
      <w:r>
        <w:rPr/>
        <w:t>, 104428. </w:t>
      </w:r>
      <w:r>
        <w:rPr>
          <w:spacing w:val="-2"/>
        </w:rPr>
        <w:t>https://doi.org/10.1016/j.geoforum.2025.104428</w:t>
      </w:r>
    </w:p>
    <w:p>
      <w:pPr>
        <w:pStyle w:val="BodyText"/>
        <w:spacing w:line="480" w:lineRule="auto"/>
        <w:ind w:left="743" w:right="67" w:hanging="720"/>
      </w:pPr>
      <w:r>
        <w:rPr/>
        <w:t>Östlund, U., Kidd, L., Wengström, Y., &amp; Rowa-Dewar, N. (2020). Combining Qualitative and</w:t>
      </w:r>
      <w:r>
        <w:rPr>
          <w:spacing w:val="-4"/>
        </w:rPr>
        <w:t> </w:t>
      </w:r>
      <w:r>
        <w:rPr/>
        <w:t>Quantitative</w:t>
      </w:r>
      <w:r>
        <w:rPr>
          <w:spacing w:val="-4"/>
        </w:rPr>
        <w:t> </w:t>
      </w:r>
      <w:r>
        <w:rPr/>
        <w:t>Research</w:t>
      </w:r>
      <w:r>
        <w:rPr>
          <w:spacing w:val="-4"/>
        </w:rPr>
        <w:t> </w:t>
      </w:r>
      <w:r>
        <w:rPr/>
        <w:t>within</w:t>
      </w:r>
      <w:r>
        <w:rPr>
          <w:spacing w:val="-4"/>
        </w:rPr>
        <w:t> </w:t>
      </w:r>
      <w:r>
        <w:rPr/>
        <w:t>Mixed</w:t>
      </w:r>
      <w:r>
        <w:rPr>
          <w:spacing w:val="-4"/>
        </w:rPr>
        <w:t> </w:t>
      </w:r>
      <w:r>
        <w:rPr/>
        <w:t>Method</w:t>
      </w:r>
      <w:r>
        <w:rPr>
          <w:spacing w:val="-4"/>
        </w:rPr>
        <w:t> </w:t>
      </w:r>
      <w:r>
        <w:rPr/>
        <w:t>Research</w:t>
      </w:r>
      <w:r>
        <w:rPr>
          <w:spacing w:val="-4"/>
        </w:rPr>
        <w:t> </w:t>
      </w:r>
      <w:r>
        <w:rPr/>
        <w:t>designs:</w:t>
      </w:r>
      <w:r>
        <w:rPr>
          <w:spacing w:val="-4"/>
        </w:rPr>
        <w:t> </w:t>
      </w:r>
      <w:r>
        <w:rPr/>
        <w:t>a</w:t>
      </w:r>
      <w:r>
        <w:rPr>
          <w:spacing w:val="-4"/>
        </w:rPr>
        <w:t> </w:t>
      </w:r>
      <w:r>
        <w:rPr/>
        <w:t>Methodological Review. </w:t>
      </w:r>
      <w:r>
        <w:rPr>
          <w:i/>
        </w:rPr>
        <w:t>International Journal of Nursing Studies</w:t>
      </w:r>
      <w:r>
        <w:rPr/>
        <w:t>, </w:t>
      </w:r>
      <w:r>
        <w:rPr>
          <w:i/>
        </w:rPr>
        <w:t>48</w:t>
      </w:r>
      <w:r>
        <w:rPr/>
        <w:t>(3), 369–383. </w:t>
      </w:r>
      <w:r>
        <w:rPr>
          <w:spacing w:val="-2"/>
        </w:rPr>
        <w:t>https://doi.org/10.1016/j.ijnurstu.2010.10.005</w:t>
      </w:r>
    </w:p>
    <w:p>
      <w:pPr>
        <w:pStyle w:val="BodyText"/>
        <w:spacing w:line="360" w:lineRule="auto" w:before="1"/>
        <w:ind w:left="743" w:right="21" w:hanging="720"/>
        <w:jc w:val="both"/>
      </w:pPr>
      <w:r>
        <w:rPr>
          <w:spacing w:val="-2"/>
        </w:rPr>
        <w:t>Pina,</w:t>
      </w:r>
      <w:r>
        <w:rPr>
          <w:spacing w:val="-13"/>
        </w:rPr>
        <w:t> </w:t>
      </w:r>
      <w:r>
        <w:rPr>
          <w:spacing w:val="-2"/>
        </w:rPr>
        <w:t>E.,</w:t>
      </w:r>
      <w:r>
        <w:rPr>
          <w:spacing w:val="-13"/>
        </w:rPr>
        <w:t> </w:t>
      </w:r>
      <w:r>
        <w:rPr>
          <w:spacing w:val="-2"/>
        </w:rPr>
        <w:t>Ramos,</w:t>
      </w:r>
      <w:r>
        <w:rPr>
          <w:spacing w:val="-13"/>
        </w:rPr>
        <w:t> </w:t>
      </w:r>
      <w:r>
        <w:rPr>
          <w:spacing w:val="-2"/>
        </w:rPr>
        <w:t>J.,</w:t>
      </w:r>
      <w:r>
        <w:rPr>
          <w:spacing w:val="-13"/>
        </w:rPr>
        <w:t> </w:t>
      </w:r>
      <w:r>
        <w:rPr>
          <w:spacing w:val="-2"/>
        </w:rPr>
        <w:t>Jorge,</w:t>
      </w:r>
      <w:r>
        <w:rPr>
          <w:spacing w:val="-9"/>
        </w:rPr>
        <w:t> </w:t>
      </w:r>
      <w:r>
        <w:rPr>
          <w:spacing w:val="-2"/>
        </w:rPr>
        <w:t>H.,</w:t>
      </w:r>
      <w:r>
        <w:rPr>
          <w:spacing w:val="-13"/>
        </w:rPr>
        <w:t> </w:t>
      </w:r>
      <w:r>
        <w:rPr>
          <w:spacing w:val="-2"/>
        </w:rPr>
        <w:t>Váz,</w:t>
      </w:r>
      <w:r>
        <w:rPr>
          <w:spacing w:val="-10"/>
        </w:rPr>
        <w:t> </w:t>
      </w:r>
      <w:r>
        <w:rPr>
          <w:spacing w:val="-2"/>
        </w:rPr>
        <w:t>P.,</w:t>
      </w:r>
      <w:r>
        <w:rPr>
          <w:spacing w:val="-10"/>
        </w:rPr>
        <w:t> </w:t>
      </w:r>
      <w:r>
        <w:rPr>
          <w:spacing w:val="-2"/>
        </w:rPr>
        <w:t>Silva,</w:t>
      </w:r>
      <w:r>
        <w:rPr>
          <w:spacing w:val="-10"/>
        </w:rPr>
        <w:t> </w:t>
      </w:r>
      <w:r>
        <w:rPr>
          <w:spacing w:val="-2"/>
        </w:rPr>
        <w:t>J.,</w:t>
      </w:r>
      <w:r>
        <w:rPr>
          <w:spacing w:val="-13"/>
        </w:rPr>
        <w:t> </w:t>
      </w:r>
      <w:r>
        <w:rPr>
          <w:spacing w:val="-2"/>
        </w:rPr>
        <w:t>Wanzeller,</w:t>
      </w:r>
      <w:r>
        <w:rPr>
          <w:spacing w:val="-10"/>
        </w:rPr>
        <w:t> </w:t>
      </w:r>
      <w:r>
        <w:rPr>
          <w:spacing w:val="-2"/>
        </w:rPr>
        <w:t>C.,</w:t>
      </w:r>
      <w:r>
        <w:rPr>
          <w:spacing w:val="-13"/>
        </w:rPr>
        <w:t> </w:t>
      </w:r>
      <w:r>
        <w:rPr>
          <w:spacing w:val="-2"/>
        </w:rPr>
        <w:t>Abbasi,</w:t>
      </w:r>
      <w:r>
        <w:rPr>
          <w:spacing w:val="-10"/>
        </w:rPr>
        <w:t> </w:t>
      </w:r>
      <w:r>
        <w:rPr>
          <w:spacing w:val="-2"/>
        </w:rPr>
        <w:t>M.,</w:t>
      </w:r>
      <w:r>
        <w:rPr>
          <w:spacing w:val="-10"/>
        </w:rPr>
        <w:t> </w:t>
      </w:r>
      <w:r>
        <w:rPr>
          <w:spacing w:val="-2"/>
        </w:rPr>
        <w:t>&amp;</w:t>
      </w:r>
      <w:r>
        <w:rPr>
          <w:spacing w:val="-10"/>
        </w:rPr>
        <w:t> </w:t>
      </w:r>
      <w:r>
        <w:rPr>
          <w:spacing w:val="-2"/>
        </w:rPr>
        <w:t>Martins,</w:t>
      </w:r>
      <w:r>
        <w:rPr>
          <w:spacing w:val="-10"/>
        </w:rPr>
        <w:t> </w:t>
      </w:r>
      <w:r>
        <w:rPr>
          <w:spacing w:val="-2"/>
        </w:rPr>
        <w:t>P.</w:t>
      </w:r>
      <w:r>
        <w:rPr>
          <w:spacing w:val="-10"/>
        </w:rPr>
        <w:t> </w:t>
      </w:r>
      <w:r>
        <w:rPr>
          <w:spacing w:val="-2"/>
        </w:rPr>
        <w:t>(2024). </w:t>
      </w:r>
      <w:r>
        <w:rPr/>
        <w:t>Data Privacy and Ethical Considerations in Database Management. Journal of Cybersecurity and Privacy, 4(3), 494–517. MDPI. </w:t>
      </w:r>
      <w:hyperlink r:id="rId52">
        <w:r>
          <w:rPr>
            <w:color w:val="0462C1"/>
            <w:u w:val="single" w:color="0462C1"/>
          </w:rPr>
          <w:t>https://doi.org/10.3390/jcp4030024</w:t>
        </w:r>
      </w:hyperlink>
    </w:p>
    <w:p>
      <w:pPr>
        <w:pStyle w:val="BodyText"/>
        <w:spacing w:line="360" w:lineRule="auto"/>
        <w:ind w:left="743" w:right="25" w:hanging="720"/>
        <w:jc w:val="both"/>
      </w:pPr>
      <w:r>
        <w:rPr/>
        <w:t>Sharneet Singh Jagirdar, &amp; Pradeep Kumar Gupta. (2024). Charting the financial odyssey: a literature review on history and evolution of investment strategies in the stock market (1900–2022). Zhongguo Kuaiji Yu Caiwu Yanjiu/China Accounting and Finance Review. https://doi.org/10.1108/cafr-10-2023-0124</w:t>
      </w:r>
    </w:p>
    <w:p>
      <w:pPr>
        <w:pStyle w:val="BodyText"/>
        <w:spacing w:after="0" w:line="360" w:lineRule="auto"/>
        <w:jc w:val="both"/>
        <w:sectPr>
          <w:pgSz w:w="11910" w:h="16840"/>
          <w:pgMar w:header="0" w:footer="1009" w:top="1360" w:bottom="1280" w:left="1417" w:right="1417"/>
        </w:sectPr>
      </w:pPr>
    </w:p>
    <w:p>
      <w:pPr>
        <w:pStyle w:val="BodyText"/>
        <w:spacing w:line="480" w:lineRule="auto" w:before="61"/>
        <w:ind w:left="743" w:right="260" w:hanging="720"/>
      </w:pPr>
      <w:r>
        <w:rPr/>
        <w:t>Somaya, D., &amp; You, J. (2024). Scalability, venture capital availability, and unicorns: Evidence</w:t>
      </w:r>
      <w:r>
        <w:rPr>
          <w:spacing w:val="-4"/>
        </w:rPr>
        <w:t> </w:t>
      </w:r>
      <w:r>
        <w:rPr/>
        <w:t>from</w:t>
      </w:r>
      <w:r>
        <w:rPr>
          <w:spacing w:val="-3"/>
        </w:rPr>
        <w:t> </w:t>
      </w:r>
      <w:r>
        <w:rPr/>
        <w:t>the</w:t>
      </w:r>
      <w:r>
        <w:rPr>
          <w:spacing w:val="-3"/>
        </w:rPr>
        <w:t> </w:t>
      </w:r>
      <w:r>
        <w:rPr/>
        <w:t>valuation</w:t>
      </w:r>
      <w:r>
        <w:rPr>
          <w:spacing w:val="-3"/>
        </w:rPr>
        <w:t> </w:t>
      </w:r>
      <w:r>
        <w:rPr/>
        <w:t>and</w:t>
      </w:r>
      <w:r>
        <w:rPr>
          <w:spacing w:val="-3"/>
        </w:rPr>
        <w:t> </w:t>
      </w:r>
      <w:r>
        <w:rPr/>
        <w:t>timing</w:t>
      </w:r>
      <w:r>
        <w:rPr>
          <w:spacing w:val="-3"/>
        </w:rPr>
        <w:t> </w:t>
      </w:r>
      <w:r>
        <w:rPr/>
        <w:t>of</w:t>
      </w:r>
      <w:r>
        <w:rPr>
          <w:spacing w:val="-3"/>
        </w:rPr>
        <w:t> </w:t>
      </w:r>
      <w:r>
        <w:rPr/>
        <w:t>IPOs.</w:t>
      </w:r>
      <w:r>
        <w:rPr>
          <w:spacing w:val="-2"/>
        </w:rPr>
        <w:t> </w:t>
      </w:r>
      <w:r>
        <w:rPr>
          <w:i/>
        </w:rPr>
        <w:t>Journal</w:t>
      </w:r>
      <w:r>
        <w:rPr>
          <w:i/>
          <w:spacing w:val="-3"/>
        </w:rPr>
        <w:t> </w:t>
      </w:r>
      <w:r>
        <w:rPr>
          <w:i/>
        </w:rPr>
        <w:t>of</w:t>
      </w:r>
      <w:r>
        <w:rPr>
          <w:i/>
          <w:spacing w:val="-3"/>
        </w:rPr>
        <w:t> </w:t>
      </w:r>
      <w:r>
        <w:rPr>
          <w:i/>
        </w:rPr>
        <w:t>Business</w:t>
      </w:r>
      <w:r>
        <w:rPr>
          <w:i/>
          <w:spacing w:val="-4"/>
        </w:rPr>
        <w:t> </w:t>
      </w:r>
      <w:r>
        <w:rPr>
          <w:i/>
        </w:rPr>
        <w:t>Venturing</w:t>
      </w:r>
      <w:r>
        <w:rPr/>
        <w:t>, </w:t>
      </w:r>
      <w:r>
        <w:rPr>
          <w:i/>
        </w:rPr>
        <w:t>39</w:t>
      </w:r>
      <w:r>
        <w:rPr/>
        <w:t>(1), 106345. https://doi.org/10.1016/j.jbusvent.2023.106345</w:t>
      </w:r>
    </w:p>
    <w:p>
      <w:pPr>
        <w:spacing w:line="480" w:lineRule="auto" w:before="0"/>
        <w:ind w:left="743" w:right="0" w:hanging="720"/>
        <w:jc w:val="left"/>
        <w:rPr>
          <w:sz w:val="24"/>
        </w:rPr>
      </w:pPr>
      <w:r>
        <w:rPr>
          <w:sz w:val="24"/>
        </w:rPr>
        <w:t>Levy,</w:t>
      </w:r>
      <w:r>
        <w:rPr>
          <w:spacing w:val="-4"/>
          <w:sz w:val="24"/>
        </w:rPr>
        <w:t> </w:t>
      </w:r>
      <w:r>
        <w:rPr>
          <w:sz w:val="24"/>
        </w:rPr>
        <w:t>B.</w:t>
      </w:r>
      <w:r>
        <w:rPr>
          <w:spacing w:val="-4"/>
          <w:sz w:val="24"/>
        </w:rPr>
        <w:t> </w:t>
      </w:r>
      <w:r>
        <w:rPr>
          <w:sz w:val="24"/>
        </w:rPr>
        <w:t>(2025,</w:t>
      </w:r>
      <w:r>
        <w:rPr>
          <w:spacing w:val="-4"/>
          <w:sz w:val="24"/>
        </w:rPr>
        <w:t> </w:t>
      </w:r>
      <w:r>
        <w:rPr>
          <w:sz w:val="24"/>
        </w:rPr>
        <w:t>June</w:t>
      </w:r>
      <w:r>
        <w:rPr>
          <w:spacing w:val="-5"/>
          <w:sz w:val="24"/>
        </w:rPr>
        <w:t> </w:t>
      </w:r>
      <w:r>
        <w:rPr>
          <w:sz w:val="24"/>
        </w:rPr>
        <w:t>24).</w:t>
      </w:r>
      <w:r>
        <w:rPr>
          <w:spacing w:val="-2"/>
          <w:sz w:val="24"/>
        </w:rPr>
        <w:t> </w:t>
      </w:r>
      <w:r>
        <w:rPr>
          <w:i/>
          <w:sz w:val="24"/>
        </w:rPr>
        <w:t>Global</w:t>
      </w:r>
      <w:r>
        <w:rPr>
          <w:i/>
          <w:spacing w:val="-4"/>
          <w:sz w:val="24"/>
        </w:rPr>
        <w:t> </w:t>
      </w:r>
      <w:r>
        <w:rPr>
          <w:i/>
          <w:sz w:val="24"/>
        </w:rPr>
        <w:t>M&amp;A</w:t>
      </w:r>
      <w:r>
        <w:rPr>
          <w:i/>
          <w:spacing w:val="-4"/>
          <w:sz w:val="24"/>
        </w:rPr>
        <w:t> </w:t>
      </w:r>
      <w:r>
        <w:rPr>
          <w:i/>
          <w:sz w:val="24"/>
        </w:rPr>
        <w:t>Industry</w:t>
      </w:r>
      <w:r>
        <w:rPr>
          <w:i/>
          <w:spacing w:val="-5"/>
          <w:sz w:val="24"/>
        </w:rPr>
        <w:t> </w:t>
      </w:r>
      <w:r>
        <w:rPr>
          <w:i/>
          <w:sz w:val="24"/>
        </w:rPr>
        <w:t>Trends</w:t>
      </w:r>
      <w:r>
        <w:rPr>
          <w:sz w:val="24"/>
        </w:rPr>
        <w:t>.</w:t>
      </w:r>
      <w:r>
        <w:rPr>
          <w:spacing w:val="-4"/>
          <w:sz w:val="24"/>
        </w:rPr>
        <w:t> </w:t>
      </w:r>
      <w:r>
        <w:rPr>
          <w:sz w:val="24"/>
        </w:rPr>
        <w:t>PwC. </w:t>
      </w:r>
      <w:r>
        <w:rPr>
          <w:spacing w:val="-2"/>
          <w:sz w:val="24"/>
        </w:rPr>
        <w:t>https:/</w:t>
      </w:r>
      <w:hyperlink r:id="rId53">
        <w:r>
          <w:rPr>
            <w:spacing w:val="-2"/>
            <w:sz w:val="24"/>
          </w:rPr>
          <w:t>/www.pwc.com/gx/en/services/deals/trends.html</w:t>
        </w:r>
      </w:hyperlink>
    </w:p>
    <w:p>
      <w:pPr>
        <w:spacing w:line="480" w:lineRule="auto" w:before="0"/>
        <w:ind w:left="743" w:right="260" w:hanging="720"/>
        <w:jc w:val="left"/>
        <w:rPr>
          <w:sz w:val="24"/>
        </w:rPr>
      </w:pPr>
      <w:r>
        <w:rPr>
          <w:sz w:val="24"/>
        </w:rPr>
        <w:t>Staff, E. (2025, September 11). </w:t>
      </w:r>
      <w:r>
        <w:rPr>
          <w:i/>
          <w:sz w:val="24"/>
        </w:rPr>
        <w:t>India Emerges as Bright Spot in Asia-Pacific’s PE-VC Landscape: Report</w:t>
      </w:r>
      <w:r>
        <w:rPr>
          <w:sz w:val="24"/>
        </w:rPr>
        <w:t>. Entrepreneur; Entrepreneur Media India. </w:t>
      </w:r>
      <w:r>
        <w:rPr>
          <w:spacing w:val="-2"/>
          <w:sz w:val="24"/>
        </w:rPr>
        <w:t>https:/</w:t>
      </w:r>
      <w:hyperlink r:id="rId54">
        <w:r>
          <w:rPr>
            <w:spacing w:val="-2"/>
            <w:sz w:val="24"/>
          </w:rPr>
          <w:t>/www.entrepreneur.com/en-in/news-and-trends/india-emerges-as-bright-spot-</w:t>
        </w:r>
      </w:hyperlink>
      <w:r>
        <w:rPr>
          <w:spacing w:val="-2"/>
          <w:sz w:val="24"/>
        </w:rPr>
        <w:t> in-asia-pacifics-pe-vc/497022</w:t>
      </w:r>
    </w:p>
    <w:p>
      <w:pPr>
        <w:pStyle w:val="BodyText"/>
        <w:spacing w:line="360" w:lineRule="auto" w:before="1"/>
        <w:ind w:left="743" w:right="16" w:hanging="720"/>
        <w:jc w:val="both"/>
        <w:rPr>
          <w:rFonts w:ascii="Calibri" w:hAnsi="Calibri"/>
        </w:rPr>
      </w:pPr>
      <w:r>
        <w:rPr>
          <w:rFonts w:ascii="Calibri" w:hAnsi="Calibri"/>
        </w:rPr>
        <w:t>Abhirami, A., &amp; Rahul, T. (2022). On the Effectiveness of Insolvency and Bankruptcy Code, 2016: Empirical Evidence From India. </w:t>
      </w:r>
      <w:r>
        <w:rPr>
          <w:rFonts w:ascii="Calibri" w:hAnsi="Calibri"/>
          <w:i/>
        </w:rPr>
        <w:t>Law and Business</w:t>
      </w:r>
      <w:r>
        <w:rPr>
          <w:rFonts w:ascii="Calibri" w:hAnsi="Calibri"/>
        </w:rPr>
        <w:t>, </w:t>
      </w:r>
      <w:r>
        <w:rPr>
          <w:rFonts w:ascii="Calibri" w:hAnsi="Calibri"/>
          <w:i/>
        </w:rPr>
        <w:t>2</w:t>
      </w:r>
      <w:r>
        <w:rPr>
          <w:rFonts w:ascii="Calibri" w:hAnsi="Calibri"/>
        </w:rPr>
        <w:t>(1), 20–34. </w:t>
      </w:r>
      <w:r>
        <w:rPr>
          <w:rFonts w:ascii="Calibri" w:hAnsi="Calibri"/>
          <w:spacing w:val="-2"/>
        </w:rPr>
        <w:t>https://doi.org/10.2478/law-2022-0003</w:t>
      </w:r>
    </w:p>
    <w:p>
      <w:pPr>
        <w:pStyle w:val="BodyText"/>
        <w:spacing w:line="360" w:lineRule="auto"/>
        <w:ind w:left="743" w:right="17" w:hanging="720"/>
        <w:jc w:val="both"/>
        <w:rPr>
          <w:rFonts w:ascii="Calibri"/>
        </w:rPr>
      </w:pPr>
      <w:r>
        <w:rPr>
          <w:rFonts w:ascii="Calibri"/>
        </w:rPr>
        <w:t>Afsharipour,</w:t>
      </w:r>
      <w:r>
        <w:rPr>
          <w:rFonts w:ascii="Calibri"/>
          <w:spacing w:val="-14"/>
        </w:rPr>
        <w:t> </w:t>
      </w:r>
      <w:r>
        <w:rPr>
          <w:rFonts w:ascii="Calibri"/>
        </w:rPr>
        <w:t>A.</w:t>
      </w:r>
      <w:r>
        <w:rPr>
          <w:rFonts w:ascii="Calibri"/>
          <w:spacing w:val="-14"/>
        </w:rPr>
        <w:t> </w:t>
      </w:r>
      <w:r>
        <w:rPr>
          <w:rFonts w:ascii="Calibri"/>
        </w:rPr>
        <w:t>(2016).</w:t>
      </w:r>
      <w:r>
        <w:rPr>
          <w:rFonts w:ascii="Calibri"/>
          <w:spacing w:val="-13"/>
        </w:rPr>
        <w:t> </w:t>
      </w:r>
      <w:r>
        <w:rPr>
          <w:rFonts w:ascii="Calibri"/>
        </w:rPr>
        <w:t>Corporate</w:t>
      </w:r>
      <w:r>
        <w:rPr>
          <w:rFonts w:ascii="Calibri"/>
          <w:spacing w:val="-14"/>
        </w:rPr>
        <w:t> </w:t>
      </w:r>
      <w:r>
        <w:rPr>
          <w:rFonts w:ascii="Calibri"/>
        </w:rPr>
        <w:t>Governance</w:t>
      </w:r>
      <w:r>
        <w:rPr>
          <w:rFonts w:ascii="Calibri"/>
          <w:spacing w:val="-13"/>
        </w:rPr>
        <w:t> </w:t>
      </w:r>
      <w:r>
        <w:rPr>
          <w:rFonts w:ascii="Calibri"/>
        </w:rPr>
        <w:t>and</w:t>
      </w:r>
      <w:r>
        <w:rPr>
          <w:rFonts w:ascii="Calibri"/>
          <w:spacing w:val="-12"/>
        </w:rPr>
        <w:t> </w:t>
      </w:r>
      <w:r>
        <w:rPr>
          <w:rFonts w:ascii="Calibri"/>
        </w:rPr>
        <w:t>the</w:t>
      </w:r>
      <w:r>
        <w:rPr>
          <w:rFonts w:ascii="Calibri"/>
          <w:spacing w:val="-14"/>
        </w:rPr>
        <w:t> </w:t>
      </w:r>
      <w:r>
        <w:rPr>
          <w:rFonts w:ascii="Calibri"/>
        </w:rPr>
        <w:t>Indian</w:t>
      </w:r>
      <w:r>
        <w:rPr>
          <w:rFonts w:ascii="Calibri"/>
          <w:spacing w:val="-13"/>
        </w:rPr>
        <w:t> </w:t>
      </w:r>
      <w:r>
        <w:rPr>
          <w:rFonts w:ascii="Calibri"/>
        </w:rPr>
        <w:t>Private</w:t>
      </w:r>
      <w:r>
        <w:rPr>
          <w:rFonts w:ascii="Calibri"/>
          <w:spacing w:val="-13"/>
        </w:rPr>
        <w:t> </w:t>
      </w:r>
      <w:r>
        <w:rPr>
          <w:rFonts w:ascii="Calibri"/>
        </w:rPr>
        <w:t>Equity</w:t>
      </w:r>
      <w:r>
        <w:rPr>
          <w:rFonts w:ascii="Calibri"/>
          <w:spacing w:val="-14"/>
        </w:rPr>
        <w:t> </w:t>
      </w:r>
      <w:r>
        <w:rPr>
          <w:rFonts w:ascii="Calibri"/>
        </w:rPr>
        <w:t>Model.</w:t>
      </w:r>
      <w:r>
        <w:rPr>
          <w:rFonts w:ascii="Calibri"/>
          <w:spacing w:val="-8"/>
        </w:rPr>
        <w:t> </w:t>
      </w:r>
      <w:r>
        <w:rPr>
          <w:rFonts w:ascii="Calibri"/>
          <w:i/>
        </w:rPr>
        <w:t>Corporate Law: Securities Law eJournal</w:t>
      </w:r>
      <w:r>
        <w:rPr>
          <w:rFonts w:ascii="Calibri"/>
        </w:rPr>
        <w:t>. https://consensus.app/papers/corporate-governance- </w:t>
      </w:r>
      <w:r>
        <w:rPr>
          <w:rFonts w:ascii="Calibri"/>
          <w:spacing w:val="-2"/>
        </w:rPr>
        <w:t>and-the-indian-private-equity-model-</w:t>
      </w:r>
    </w:p>
    <w:p>
      <w:pPr>
        <w:pStyle w:val="BodyText"/>
        <w:spacing w:line="292" w:lineRule="exact"/>
        <w:ind w:left="743"/>
        <w:rPr>
          <w:rFonts w:ascii="Calibri"/>
        </w:rPr>
      </w:pPr>
      <w:r>
        <w:rPr>
          <w:rFonts w:ascii="Calibri"/>
          <w:spacing w:val="-2"/>
        </w:rPr>
        <w:t>afsharipour/ff9042f2e9f959f5abcc24233302a69d/</w:t>
      </w:r>
    </w:p>
    <w:p>
      <w:pPr>
        <w:spacing w:line="360" w:lineRule="auto" w:before="148"/>
        <w:ind w:left="743" w:right="16" w:hanging="720"/>
        <w:jc w:val="both"/>
        <w:rPr>
          <w:rFonts w:ascii="Calibri" w:hAnsi="Calibri"/>
          <w:sz w:val="24"/>
        </w:rPr>
      </w:pPr>
      <w:r>
        <w:rPr>
          <w:rFonts w:ascii="Calibri" w:hAnsi="Calibri"/>
          <w:spacing w:val="-2"/>
          <w:sz w:val="24"/>
        </w:rPr>
        <w:t>Aldatmaz,</w:t>
      </w:r>
      <w:r>
        <w:rPr>
          <w:rFonts w:ascii="Calibri" w:hAnsi="Calibri"/>
          <w:spacing w:val="-3"/>
          <w:sz w:val="24"/>
        </w:rPr>
        <w:t> </w:t>
      </w:r>
      <w:r>
        <w:rPr>
          <w:rFonts w:ascii="Calibri" w:hAnsi="Calibri"/>
          <w:spacing w:val="-2"/>
          <w:sz w:val="24"/>
        </w:rPr>
        <w:t>S.,</w:t>
      </w:r>
      <w:r>
        <w:rPr>
          <w:rFonts w:ascii="Calibri" w:hAnsi="Calibri"/>
          <w:spacing w:val="-3"/>
          <w:sz w:val="24"/>
        </w:rPr>
        <w:t> </w:t>
      </w:r>
      <w:r>
        <w:rPr>
          <w:rFonts w:ascii="Calibri" w:hAnsi="Calibri"/>
          <w:spacing w:val="-2"/>
          <w:sz w:val="24"/>
        </w:rPr>
        <w:t>Brown,</w:t>
      </w:r>
      <w:r>
        <w:rPr>
          <w:rFonts w:ascii="Calibri" w:hAnsi="Calibri"/>
          <w:spacing w:val="-3"/>
          <w:sz w:val="24"/>
        </w:rPr>
        <w:t> </w:t>
      </w:r>
      <w:r>
        <w:rPr>
          <w:rFonts w:ascii="Calibri" w:hAnsi="Calibri"/>
          <w:spacing w:val="-2"/>
          <w:sz w:val="24"/>
        </w:rPr>
        <w:t>G.</w:t>
      </w:r>
      <w:r>
        <w:rPr>
          <w:rFonts w:ascii="Calibri" w:hAnsi="Calibri"/>
          <w:spacing w:val="-4"/>
          <w:sz w:val="24"/>
        </w:rPr>
        <w:t> </w:t>
      </w:r>
      <w:r>
        <w:rPr>
          <w:rFonts w:ascii="Calibri" w:hAnsi="Calibri"/>
          <w:spacing w:val="-2"/>
          <w:sz w:val="24"/>
        </w:rPr>
        <w:t>W.,</w:t>
      </w:r>
      <w:r>
        <w:rPr>
          <w:rFonts w:ascii="Calibri" w:hAnsi="Calibri"/>
          <w:spacing w:val="-4"/>
          <w:sz w:val="24"/>
        </w:rPr>
        <w:t> </w:t>
      </w:r>
      <w:r>
        <w:rPr>
          <w:rFonts w:ascii="Calibri" w:hAnsi="Calibri"/>
          <w:spacing w:val="-2"/>
          <w:sz w:val="24"/>
        </w:rPr>
        <w:t>&amp;</w:t>
      </w:r>
      <w:r>
        <w:rPr>
          <w:rFonts w:ascii="Calibri" w:hAnsi="Calibri"/>
          <w:spacing w:val="-4"/>
          <w:sz w:val="24"/>
        </w:rPr>
        <w:t> </w:t>
      </w:r>
      <w:r>
        <w:rPr>
          <w:rFonts w:ascii="Calibri" w:hAnsi="Calibri"/>
          <w:spacing w:val="-2"/>
          <w:sz w:val="24"/>
        </w:rPr>
        <w:t>Demirgüç-Kunt,</w:t>
      </w:r>
      <w:r>
        <w:rPr>
          <w:rFonts w:ascii="Calibri" w:hAnsi="Calibri"/>
          <w:spacing w:val="-3"/>
          <w:sz w:val="24"/>
        </w:rPr>
        <w:t> </w:t>
      </w:r>
      <w:r>
        <w:rPr>
          <w:rFonts w:ascii="Calibri" w:hAnsi="Calibri"/>
          <w:spacing w:val="-2"/>
          <w:sz w:val="24"/>
        </w:rPr>
        <w:t>A.</w:t>
      </w:r>
      <w:r>
        <w:rPr>
          <w:rFonts w:ascii="Calibri" w:hAnsi="Calibri"/>
          <w:spacing w:val="-3"/>
          <w:sz w:val="24"/>
        </w:rPr>
        <w:t> </w:t>
      </w:r>
      <w:r>
        <w:rPr>
          <w:rFonts w:ascii="Calibri" w:hAnsi="Calibri"/>
          <w:spacing w:val="-2"/>
          <w:sz w:val="24"/>
        </w:rPr>
        <w:t>(2023).</w:t>
      </w:r>
      <w:r>
        <w:rPr>
          <w:rFonts w:ascii="Calibri" w:hAnsi="Calibri"/>
          <w:spacing w:val="-4"/>
          <w:sz w:val="24"/>
        </w:rPr>
        <w:t> </w:t>
      </w:r>
      <w:r>
        <w:rPr>
          <w:rFonts w:ascii="Calibri" w:hAnsi="Calibri"/>
          <w:spacing w:val="-2"/>
          <w:sz w:val="24"/>
        </w:rPr>
        <w:t>Determinants</w:t>
      </w:r>
      <w:r>
        <w:rPr>
          <w:rFonts w:ascii="Calibri" w:hAnsi="Calibri"/>
          <w:spacing w:val="-3"/>
          <w:sz w:val="24"/>
        </w:rPr>
        <w:t> </w:t>
      </w:r>
      <w:r>
        <w:rPr>
          <w:rFonts w:ascii="Calibri" w:hAnsi="Calibri"/>
          <w:spacing w:val="-2"/>
          <w:sz w:val="24"/>
        </w:rPr>
        <w:t>of International</w:t>
      </w:r>
      <w:r>
        <w:rPr>
          <w:rFonts w:ascii="Calibri" w:hAnsi="Calibri"/>
          <w:spacing w:val="-3"/>
          <w:sz w:val="24"/>
        </w:rPr>
        <w:t> </w:t>
      </w:r>
      <w:r>
        <w:rPr>
          <w:rFonts w:ascii="Calibri" w:hAnsi="Calibri"/>
          <w:spacing w:val="-2"/>
          <w:sz w:val="24"/>
        </w:rPr>
        <w:t>Buyout </w:t>
      </w:r>
      <w:r>
        <w:rPr>
          <w:rFonts w:ascii="Calibri" w:hAnsi="Calibri"/>
          <w:sz w:val="24"/>
        </w:rPr>
        <w:t>Investments. </w:t>
      </w:r>
      <w:r>
        <w:rPr>
          <w:rFonts w:ascii="Calibri" w:hAnsi="Calibri"/>
          <w:i/>
          <w:sz w:val="24"/>
        </w:rPr>
        <w:t>Journal of Financial and Quantitative Analysis</w:t>
      </w:r>
      <w:r>
        <w:rPr>
          <w:rFonts w:ascii="Calibri" w:hAnsi="Calibri"/>
          <w:sz w:val="24"/>
        </w:rPr>
        <w:t>, </w:t>
      </w:r>
      <w:r>
        <w:rPr>
          <w:rFonts w:ascii="Calibri" w:hAnsi="Calibri"/>
          <w:i/>
          <w:sz w:val="24"/>
        </w:rPr>
        <w:t>58</w:t>
      </w:r>
      <w:r>
        <w:rPr>
          <w:rFonts w:ascii="Calibri" w:hAnsi="Calibri"/>
          <w:sz w:val="24"/>
        </w:rPr>
        <w:t>(2), 875–913. </w:t>
      </w:r>
      <w:r>
        <w:rPr>
          <w:rFonts w:ascii="Calibri" w:hAnsi="Calibri"/>
          <w:spacing w:val="-2"/>
          <w:sz w:val="24"/>
        </w:rPr>
        <w:t>https://doi.org/10.1017/S0022109022000278</w:t>
      </w:r>
    </w:p>
    <w:p>
      <w:pPr>
        <w:spacing w:line="360" w:lineRule="auto" w:before="0"/>
        <w:ind w:left="743" w:right="23" w:hanging="720"/>
        <w:jc w:val="both"/>
        <w:rPr>
          <w:rFonts w:ascii="Calibri" w:hAnsi="Calibri"/>
          <w:sz w:val="24"/>
        </w:rPr>
      </w:pPr>
      <w:r>
        <w:rPr>
          <w:rFonts w:ascii="Calibri" w:hAnsi="Calibri"/>
          <w:sz w:val="24"/>
        </w:rPr>
        <w:t>Bagdi, S., &amp; Pragnyath, R. (2023). </w:t>
      </w:r>
      <w:r>
        <w:rPr>
          <w:rFonts w:ascii="Calibri" w:hAnsi="Calibri"/>
          <w:i/>
          <w:sz w:val="24"/>
        </w:rPr>
        <w:t>UNLOCKING THE POTENTIAL OF THE INDIAN AIF REGIME AND SEBI’S ROLE IN IT</w:t>
      </w:r>
      <w:r>
        <w:rPr>
          <w:rFonts w:ascii="Calibri" w:hAnsi="Calibri"/>
          <w:sz w:val="24"/>
        </w:rPr>
        <w:t>.</w:t>
      </w:r>
    </w:p>
    <w:p>
      <w:pPr>
        <w:spacing w:line="360" w:lineRule="auto" w:before="0"/>
        <w:ind w:left="743" w:right="17" w:hanging="720"/>
        <w:jc w:val="left"/>
        <w:rPr>
          <w:rFonts w:ascii="Calibri"/>
          <w:sz w:val="24"/>
        </w:rPr>
      </w:pPr>
      <w:r>
        <w:rPr>
          <w:rFonts w:ascii="Calibri"/>
          <w:sz w:val="24"/>
        </w:rPr>
        <w:t>Bain</w:t>
      </w:r>
      <w:r>
        <w:rPr>
          <w:rFonts w:ascii="Calibri"/>
          <w:spacing w:val="67"/>
          <w:sz w:val="24"/>
        </w:rPr>
        <w:t> </w:t>
      </w:r>
      <w:r>
        <w:rPr>
          <w:rFonts w:ascii="Calibri"/>
          <w:sz w:val="24"/>
        </w:rPr>
        <w:t>&amp;</w:t>
      </w:r>
      <w:r>
        <w:rPr>
          <w:rFonts w:ascii="Calibri"/>
          <w:spacing w:val="65"/>
          <w:sz w:val="24"/>
        </w:rPr>
        <w:t> </w:t>
      </w:r>
      <w:r>
        <w:rPr>
          <w:rFonts w:ascii="Calibri"/>
          <w:sz w:val="24"/>
        </w:rPr>
        <w:t>Company.</w:t>
      </w:r>
      <w:r>
        <w:rPr>
          <w:rFonts w:ascii="Calibri"/>
          <w:spacing w:val="65"/>
          <w:sz w:val="24"/>
        </w:rPr>
        <w:t> </w:t>
      </w:r>
      <w:r>
        <w:rPr>
          <w:rFonts w:ascii="Calibri"/>
          <w:sz w:val="24"/>
        </w:rPr>
        <w:t>(2025,</w:t>
      </w:r>
      <w:r>
        <w:rPr>
          <w:rFonts w:ascii="Calibri"/>
          <w:spacing w:val="67"/>
          <w:sz w:val="24"/>
        </w:rPr>
        <w:t> </w:t>
      </w:r>
      <w:r>
        <w:rPr>
          <w:rFonts w:ascii="Calibri"/>
          <w:sz w:val="24"/>
        </w:rPr>
        <w:t>May</w:t>
      </w:r>
      <w:r>
        <w:rPr>
          <w:rFonts w:ascii="Calibri"/>
          <w:spacing w:val="65"/>
          <w:sz w:val="24"/>
        </w:rPr>
        <w:t> </w:t>
      </w:r>
      <w:r>
        <w:rPr>
          <w:rFonts w:ascii="Calibri"/>
          <w:sz w:val="24"/>
        </w:rPr>
        <w:t>6).</w:t>
      </w:r>
      <w:r>
        <w:rPr>
          <w:rFonts w:ascii="Calibri"/>
          <w:spacing w:val="68"/>
          <w:sz w:val="24"/>
        </w:rPr>
        <w:t> </w:t>
      </w:r>
      <w:r>
        <w:rPr>
          <w:rFonts w:ascii="Calibri"/>
          <w:i/>
          <w:sz w:val="24"/>
        </w:rPr>
        <w:t>India</w:t>
      </w:r>
      <w:r>
        <w:rPr>
          <w:rFonts w:ascii="Calibri"/>
          <w:i/>
          <w:spacing w:val="65"/>
          <w:sz w:val="24"/>
        </w:rPr>
        <w:t> </w:t>
      </w:r>
      <w:r>
        <w:rPr>
          <w:rFonts w:ascii="Calibri"/>
          <w:i/>
          <w:sz w:val="24"/>
        </w:rPr>
        <w:t>Private</w:t>
      </w:r>
      <w:r>
        <w:rPr>
          <w:rFonts w:ascii="Calibri"/>
          <w:i/>
          <w:spacing w:val="67"/>
          <w:sz w:val="24"/>
        </w:rPr>
        <w:t> </w:t>
      </w:r>
      <w:r>
        <w:rPr>
          <w:rFonts w:ascii="Calibri"/>
          <w:i/>
          <w:sz w:val="24"/>
        </w:rPr>
        <w:t>Equity</w:t>
      </w:r>
      <w:r>
        <w:rPr>
          <w:rFonts w:ascii="Calibri"/>
          <w:i/>
          <w:spacing w:val="66"/>
          <w:sz w:val="24"/>
        </w:rPr>
        <w:t> </w:t>
      </w:r>
      <w:r>
        <w:rPr>
          <w:rFonts w:ascii="Calibri"/>
          <w:i/>
          <w:sz w:val="24"/>
        </w:rPr>
        <w:t>Report</w:t>
      </w:r>
      <w:r>
        <w:rPr>
          <w:rFonts w:ascii="Calibri"/>
          <w:i/>
          <w:spacing w:val="65"/>
          <w:sz w:val="24"/>
        </w:rPr>
        <w:t> </w:t>
      </w:r>
      <w:r>
        <w:rPr>
          <w:rFonts w:ascii="Calibri"/>
          <w:i/>
          <w:sz w:val="24"/>
        </w:rPr>
        <w:t>2025</w:t>
      </w:r>
      <w:r>
        <w:rPr>
          <w:rFonts w:ascii="Calibri"/>
          <w:sz w:val="24"/>
        </w:rPr>
        <w:t>.</w:t>
      </w:r>
      <w:r>
        <w:rPr>
          <w:rFonts w:ascii="Calibri"/>
          <w:spacing w:val="65"/>
          <w:sz w:val="24"/>
        </w:rPr>
        <w:t> </w:t>
      </w:r>
      <w:r>
        <w:rPr>
          <w:rFonts w:ascii="Calibri"/>
          <w:sz w:val="24"/>
        </w:rPr>
        <w:t>Bain</w:t>
      </w:r>
      <w:r>
        <w:rPr>
          <w:rFonts w:ascii="Calibri"/>
          <w:spacing w:val="67"/>
          <w:sz w:val="24"/>
        </w:rPr>
        <w:t> </w:t>
      </w:r>
      <w:r>
        <w:rPr>
          <w:rFonts w:ascii="Calibri"/>
          <w:sz w:val="24"/>
        </w:rPr>
        <w:t>&amp;</w:t>
      </w:r>
      <w:r>
        <w:rPr>
          <w:rFonts w:ascii="Calibri"/>
          <w:spacing w:val="65"/>
          <w:sz w:val="24"/>
        </w:rPr>
        <w:t> </w:t>
      </w:r>
      <w:r>
        <w:rPr>
          <w:rFonts w:ascii="Calibri"/>
          <w:sz w:val="24"/>
        </w:rPr>
        <w:t>Company. </w:t>
      </w:r>
      <w:r>
        <w:rPr>
          <w:rFonts w:ascii="Calibri"/>
          <w:spacing w:val="-2"/>
          <w:sz w:val="24"/>
        </w:rPr>
        <w:t>https://</w:t>
      </w:r>
      <w:hyperlink r:id="rId55">
        <w:r>
          <w:rPr>
            <w:rFonts w:ascii="Calibri"/>
            <w:spacing w:val="-2"/>
            <w:sz w:val="24"/>
          </w:rPr>
          <w:t>www.bain.com/insights/india-private-equity-report-2025/</w:t>
        </w:r>
      </w:hyperlink>
    </w:p>
    <w:p>
      <w:pPr>
        <w:spacing w:line="360" w:lineRule="auto" w:before="0"/>
        <w:ind w:left="743" w:right="0" w:hanging="720"/>
        <w:jc w:val="left"/>
        <w:rPr>
          <w:rFonts w:ascii="Calibri" w:hAnsi="Calibri"/>
          <w:sz w:val="24"/>
        </w:rPr>
      </w:pPr>
      <w:r>
        <w:rPr>
          <w:rFonts w:ascii="Calibri" w:hAnsi="Calibri"/>
          <w:sz w:val="24"/>
        </w:rPr>
        <w:t>Barney,</w:t>
      </w:r>
      <w:r>
        <w:rPr>
          <w:rFonts w:ascii="Calibri" w:hAnsi="Calibri"/>
          <w:spacing w:val="25"/>
          <w:sz w:val="24"/>
        </w:rPr>
        <w:t> </w:t>
      </w:r>
      <w:r>
        <w:rPr>
          <w:rFonts w:ascii="Calibri" w:hAnsi="Calibri"/>
          <w:sz w:val="24"/>
        </w:rPr>
        <w:t>jay.</w:t>
      </w:r>
      <w:r>
        <w:rPr>
          <w:rFonts w:ascii="Calibri" w:hAnsi="Calibri"/>
          <w:spacing w:val="-14"/>
          <w:sz w:val="24"/>
        </w:rPr>
        <w:t> </w:t>
      </w:r>
      <w:r>
        <w:rPr>
          <w:rFonts w:ascii="Calibri" w:hAnsi="Calibri"/>
          <w:sz w:val="24"/>
        </w:rPr>
        <w:t>(1991).</w:t>
      </w:r>
      <w:r>
        <w:rPr>
          <w:rFonts w:ascii="Calibri" w:hAnsi="Calibri"/>
          <w:spacing w:val="-14"/>
          <w:sz w:val="24"/>
        </w:rPr>
        <w:t> </w:t>
      </w:r>
      <w:r>
        <w:rPr>
          <w:rFonts w:ascii="Calibri" w:hAnsi="Calibri"/>
          <w:i/>
          <w:sz w:val="24"/>
        </w:rPr>
        <w:t>Firm</w:t>
      </w:r>
      <w:r>
        <w:rPr>
          <w:rFonts w:ascii="Calibri" w:hAnsi="Calibri"/>
          <w:i/>
          <w:spacing w:val="-13"/>
          <w:sz w:val="24"/>
        </w:rPr>
        <w:t> </w:t>
      </w:r>
      <w:r>
        <w:rPr>
          <w:rFonts w:ascii="Calibri" w:hAnsi="Calibri"/>
          <w:i/>
          <w:sz w:val="24"/>
        </w:rPr>
        <w:t>Resources</w:t>
      </w:r>
      <w:r>
        <w:rPr>
          <w:rFonts w:ascii="Calibri" w:hAnsi="Calibri"/>
          <w:i/>
          <w:spacing w:val="-14"/>
          <w:sz w:val="24"/>
        </w:rPr>
        <w:t> </w:t>
      </w:r>
      <w:r>
        <w:rPr>
          <w:rFonts w:ascii="Calibri" w:hAnsi="Calibri"/>
          <w:i/>
          <w:sz w:val="24"/>
        </w:rPr>
        <w:t>and</w:t>
      </w:r>
      <w:r>
        <w:rPr>
          <w:rFonts w:ascii="Calibri" w:hAnsi="Calibri"/>
          <w:i/>
          <w:spacing w:val="-12"/>
          <w:sz w:val="24"/>
        </w:rPr>
        <w:t> </w:t>
      </w:r>
      <w:r>
        <w:rPr>
          <w:rFonts w:ascii="Calibri" w:hAnsi="Calibri"/>
          <w:i/>
          <w:sz w:val="24"/>
        </w:rPr>
        <w:t>Sustained</w:t>
      </w:r>
      <w:r>
        <w:rPr>
          <w:rFonts w:ascii="Calibri" w:hAnsi="Calibri"/>
          <w:i/>
          <w:spacing w:val="-12"/>
          <w:sz w:val="24"/>
        </w:rPr>
        <w:t> </w:t>
      </w:r>
      <w:r>
        <w:rPr>
          <w:rFonts w:ascii="Calibri" w:hAnsi="Calibri"/>
          <w:i/>
          <w:sz w:val="24"/>
        </w:rPr>
        <w:t>Competitive</w:t>
      </w:r>
      <w:r>
        <w:rPr>
          <w:rFonts w:ascii="Calibri" w:hAnsi="Calibri"/>
          <w:i/>
          <w:spacing w:val="-14"/>
          <w:sz w:val="24"/>
        </w:rPr>
        <w:t> </w:t>
      </w:r>
      <w:r>
        <w:rPr>
          <w:rFonts w:ascii="Calibri" w:hAnsi="Calibri"/>
          <w:i/>
          <w:sz w:val="24"/>
        </w:rPr>
        <w:t>Advantage—Jay</w:t>
      </w:r>
      <w:r>
        <w:rPr>
          <w:rFonts w:ascii="Calibri" w:hAnsi="Calibri"/>
          <w:i/>
          <w:spacing w:val="-14"/>
          <w:sz w:val="24"/>
        </w:rPr>
        <w:t> </w:t>
      </w:r>
      <w:r>
        <w:rPr>
          <w:rFonts w:ascii="Calibri" w:hAnsi="Calibri"/>
          <w:i/>
          <w:sz w:val="24"/>
        </w:rPr>
        <w:t>Barney,</w:t>
      </w:r>
      <w:r>
        <w:rPr>
          <w:rFonts w:ascii="Calibri" w:hAnsi="Calibri"/>
          <w:i/>
          <w:spacing w:val="-13"/>
          <w:sz w:val="24"/>
        </w:rPr>
        <w:t> </w:t>
      </w:r>
      <w:r>
        <w:rPr>
          <w:rFonts w:ascii="Calibri" w:hAnsi="Calibri"/>
          <w:i/>
          <w:sz w:val="24"/>
        </w:rPr>
        <w:t>1991</w:t>
      </w:r>
      <w:r>
        <w:rPr>
          <w:rFonts w:ascii="Calibri" w:hAnsi="Calibri"/>
          <w:sz w:val="24"/>
        </w:rPr>
        <w:t>. </w:t>
      </w:r>
      <w:r>
        <w:rPr>
          <w:rFonts w:ascii="Calibri" w:hAnsi="Calibri"/>
          <w:spacing w:val="-2"/>
          <w:sz w:val="24"/>
        </w:rPr>
        <w:t>https://journals.sagepub.com/doi/10.1177/014920639101700108</w:t>
      </w:r>
    </w:p>
    <w:p>
      <w:pPr>
        <w:spacing w:line="360" w:lineRule="auto" w:before="1"/>
        <w:ind w:left="743" w:right="0" w:hanging="720"/>
        <w:jc w:val="left"/>
        <w:rPr>
          <w:rFonts w:ascii="Calibri" w:hAnsi="Calibri"/>
          <w:sz w:val="24"/>
        </w:rPr>
      </w:pPr>
      <w:r>
        <w:rPr>
          <w:rFonts w:ascii="Calibri" w:hAnsi="Calibri"/>
          <w:sz w:val="24"/>
        </w:rPr>
        <w:t>Chambers</w:t>
      </w:r>
      <w:r>
        <w:rPr>
          <w:rFonts w:ascii="Calibri" w:hAnsi="Calibri"/>
          <w:spacing w:val="40"/>
          <w:sz w:val="24"/>
        </w:rPr>
        <w:t> </w:t>
      </w:r>
      <w:r>
        <w:rPr>
          <w:rFonts w:ascii="Calibri" w:hAnsi="Calibri"/>
          <w:sz w:val="24"/>
        </w:rPr>
        <w:t>and</w:t>
      </w:r>
      <w:r>
        <w:rPr>
          <w:rFonts w:ascii="Calibri" w:hAnsi="Calibri"/>
          <w:spacing w:val="40"/>
          <w:sz w:val="24"/>
        </w:rPr>
        <w:t> </w:t>
      </w:r>
      <w:r>
        <w:rPr>
          <w:rFonts w:ascii="Calibri" w:hAnsi="Calibri"/>
          <w:sz w:val="24"/>
        </w:rPr>
        <w:t>Partners.</w:t>
      </w:r>
      <w:r>
        <w:rPr>
          <w:rFonts w:ascii="Calibri" w:hAnsi="Calibri"/>
          <w:spacing w:val="40"/>
          <w:sz w:val="24"/>
        </w:rPr>
        <w:t> </w:t>
      </w:r>
      <w:r>
        <w:rPr>
          <w:rFonts w:ascii="Calibri" w:hAnsi="Calibri"/>
          <w:sz w:val="24"/>
        </w:rPr>
        <w:t>(2025).</w:t>
      </w:r>
      <w:r>
        <w:rPr>
          <w:rFonts w:ascii="Calibri" w:hAnsi="Calibri"/>
          <w:spacing w:val="40"/>
          <w:sz w:val="24"/>
        </w:rPr>
        <w:t> </w:t>
      </w:r>
      <w:r>
        <w:rPr>
          <w:rFonts w:ascii="Calibri" w:hAnsi="Calibri"/>
          <w:i/>
          <w:sz w:val="24"/>
        </w:rPr>
        <w:t>Private</w:t>
      </w:r>
      <w:r>
        <w:rPr>
          <w:rFonts w:ascii="Calibri" w:hAnsi="Calibri"/>
          <w:i/>
          <w:spacing w:val="40"/>
          <w:sz w:val="24"/>
        </w:rPr>
        <w:t> </w:t>
      </w:r>
      <w:r>
        <w:rPr>
          <w:rFonts w:ascii="Calibri" w:hAnsi="Calibri"/>
          <w:i/>
          <w:sz w:val="24"/>
        </w:rPr>
        <w:t>Equity</w:t>
      </w:r>
      <w:r>
        <w:rPr>
          <w:rFonts w:ascii="Calibri" w:hAnsi="Calibri"/>
          <w:i/>
          <w:spacing w:val="40"/>
          <w:sz w:val="24"/>
        </w:rPr>
        <w:t> </w:t>
      </w:r>
      <w:r>
        <w:rPr>
          <w:rFonts w:ascii="Calibri" w:hAnsi="Calibri"/>
          <w:i/>
          <w:sz w:val="24"/>
        </w:rPr>
        <w:t>2025—India</w:t>
      </w:r>
      <w:r>
        <w:rPr>
          <w:rFonts w:ascii="Calibri" w:hAnsi="Calibri"/>
          <w:i/>
          <w:spacing w:val="40"/>
          <w:sz w:val="24"/>
        </w:rPr>
        <w:t> </w:t>
      </w:r>
      <w:r>
        <w:rPr>
          <w:rFonts w:ascii="Calibri" w:hAnsi="Calibri"/>
          <w:i/>
          <w:sz w:val="24"/>
        </w:rPr>
        <w:t>_</w:t>
      </w:r>
      <w:r>
        <w:rPr>
          <w:rFonts w:ascii="Calibri" w:hAnsi="Calibri"/>
          <w:i/>
          <w:spacing w:val="40"/>
          <w:sz w:val="24"/>
        </w:rPr>
        <w:t> </w:t>
      </w:r>
      <w:r>
        <w:rPr>
          <w:rFonts w:ascii="Calibri" w:hAnsi="Calibri"/>
          <w:i/>
          <w:sz w:val="24"/>
        </w:rPr>
        <w:t>Global</w:t>
      </w:r>
      <w:r>
        <w:rPr>
          <w:rFonts w:ascii="Calibri" w:hAnsi="Calibri"/>
          <w:i/>
          <w:spacing w:val="40"/>
          <w:sz w:val="24"/>
        </w:rPr>
        <w:t> </w:t>
      </w:r>
      <w:r>
        <w:rPr>
          <w:rFonts w:ascii="Calibri" w:hAnsi="Calibri"/>
          <w:i/>
          <w:sz w:val="24"/>
        </w:rPr>
        <w:t>Practice</w:t>
      </w:r>
      <w:r>
        <w:rPr>
          <w:rFonts w:ascii="Calibri" w:hAnsi="Calibri"/>
          <w:i/>
          <w:spacing w:val="40"/>
          <w:sz w:val="24"/>
        </w:rPr>
        <w:t> </w:t>
      </w:r>
      <w:r>
        <w:rPr>
          <w:rFonts w:ascii="Calibri" w:hAnsi="Calibri"/>
          <w:i/>
          <w:sz w:val="24"/>
        </w:rPr>
        <w:t>Guides</w:t>
      </w:r>
      <w:r>
        <w:rPr>
          <w:rFonts w:ascii="Calibri" w:hAnsi="Calibri"/>
          <w:i/>
          <w:spacing w:val="40"/>
          <w:sz w:val="24"/>
        </w:rPr>
        <w:t> </w:t>
      </w:r>
      <w:r>
        <w:rPr>
          <w:rFonts w:ascii="Calibri" w:hAnsi="Calibri"/>
          <w:i/>
          <w:sz w:val="24"/>
        </w:rPr>
        <w:t>_</w:t>
      </w:r>
      <w:r>
        <w:rPr>
          <w:rFonts w:ascii="Calibri" w:hAnsi="Calibri"/>
          <w:i/>
          <w:spacing w:val="40"/>
          <w:sz w:val="24"/>
        </w:rPr>
        <w:t> </w:t>
      </w:r>
      <w:r>
        <w:rPr>
          <w:rFonts w:ascii="Calibri" w:hAnsi="Calibri"/>
          <w:i/>
          <w:sz w:val="24"/>
        </w:rPr>
        <w:t>Chambers and Partners</w:t>
      </w:r>
      <w:r>
        <w:rPr>
          <w:rFonts w:ascii="Calibri" w:hAnsi="Calibri"/>
          <w:sz w:val="24"/>
        </w:rPr>
        <w:t>.</w:t>
      </w:r>
    </w:p>
    <w:p>
      <w:pPr>
        <w:tabs>
          <w:tab w:pos="1640" w:val="left" w:leader="none"/>
          <w:tab w:pos="2165" w:val="left" w:leader="none"/>
          <w:tab w:pos="3211" w:val="left" w:leader="none"/>
          <w:tab w:pos="4400" w:val="left" w:leader="none"/>
          <w:tab w:pos="5473" w:val="left" w:leader="none"/>
          <w:tab w:pos="5996" w:val="left" w:leader="none"/>
          <w:tab w:pos="7382" w:val="left" w:leader="none"/>
          <w:tab w:pos="8165" w:val="left" w:leader="none"/>
        </w:tabs>
        <w:spacing w:line="360" w:lineRule="auto" w:before="0"/>
        <w:ind w:left="743" w:right="17" w:hanging="720"/>
        <w:jc w:val="left"/>
        <w:rPr>
          <w:rFonts w:ascii="Calibri" w:hAnsi="Calibri"/>
          <w:sz w:val="24"/>
        </w:rPr>
      </w:pPr>
      <w:r>
        <w:rPr>
          <w:rFonts w:ascii="Calibri" w:hAnsi="Calibri"/>
          <w:sz w:val="24"/>
        </w:rPr>
        <w:t>Chambers and Partners, Rishabh Gupta, &amp; Sidharrth Shankar. (2025). </w:t>
      </w:r>
      <w:r>
        <w:rPr>
          <w:rFonts w:ascii="Calibri" w:hAnsi="Calibri"/>
          <w:i/>
          <w:sz w:val="24"/>
        </w:rPr>
        <w:t>Private Equity 2025— </w:t>
      </w:r>
      <w:r>
        <w:rPr>
          <w:rFonts w:ascii="Calibri" w:hAnsi="Calibri"/>
          <w:i/>
          <w:spacing w:val="-2"/>
          <w:sz w:val="24"/>
        </w:rPr>
        <w:t>India</w:t>
      </w:r>
      <w:r>
        <w:rPr>
          <w:rFonts w:ascii="Calibri" w:hAnsi="Calibri"/>
          <w:i/>
          <w:sz w:val="24"/>
        </w:rPr>
        <w:tab/>
      </w:r>
      <w:r>
        <w:rPr>
          <w:rFonts w:ascii="Calibri" w:hAnsi="Calibri"/>
          <w:i/>
          <w:spacing w:val="-10"/>
          <w:sz w:val="24"/>
        </w:rPr>
        <w:t>|</w:t>
      </w:r>
      <w:r>
        <w:rPr>
          <w:rFonts w:ascii="Calibri" w:hAnsi="Calibri"/>
          <w:i/>
          <w:sz w:val="24"/>
        </w:rPr>
        <w:tab/>
      </w:r>
      <w:r>
        <w:rPr>
          <w:rFonts w:ascii="Calibri" w:hAnsi="Calibri"/>
          <w:i/>
          <w:spacing w:val="-2"/>
          <w:sz w:val="24"/>
        </w:rPr>
        <w:t>Global</w:t>
      </w:r>
      <w:r>
        <w:rPr>
          <w:rFonts w:ascii="Calibri" w:hAnsi="Calibri"/>
          <w:i/>
          <w:sz w:val="24"/>
        </w:rPr>
        <w:tab/>
      </w:r>
      <w:r>
        <w:rPr>
          <w:rFonts w:ascii="Calibri" w:hAnsi="Calibri"/>
          <w:i/>
          <w:spacing w:val="-2"/>
          <w:sz w:val="24"/>
        </w:rPr>
        <w:t>Practice</w:t>
      </w:r>
      <w:r>
        <w:rPr>
          <w:rFonts w:ascii="Calibri" w:hAnsi="Calibri"/>
          <w:i/>
          <w:sz w:val="24"/>
        </w:rPr>
        <w:tab/>
      </w:r>
      <w:r>
        <w:rPr>
          <w:rFonts w:ascii="Calibri" w:hAnsi="Calibri"/>
          <w:i/>
          <w:spacing w:val="-2"/>
          <w:sz w:val="24"/>
        </w:rPr>
        <w:t>Guides</w:t>
      </w:r>
      <w:r>
        <w:rPr>
          <w:rFonts w:ascii="Calibri" w:hAnsi="Calibri"/>
          <w:i/>
          <w:sz w:val="24"/>
        </w:rPr>
        <w:tab/>
      </w:r>
      <w:r>
        <w:rPr>
          <w:rFonts w:ascii="Calibri" w:hAnsi="Calibri"/>
          <w:i/>
          <w:spacing w:val="-10"/>
          <w:sz w:val="24"/>
        </w:rPr>
        <w:t>|</w:t>
      </w:r>
      <w:r>
        <w:rPr>
          <w:rFonts w:ascii="Calibri" w:hAnsi="Calibri"/>
          <w:i/>
          <w:sz w:val="24"/>
        </w:rPr>
        <w:tab/>
      </w:r>
      <w:r>
        <w:rPr>
          <w:rFonts w:ascii="Calibri" w:hAnsi="Calibri"/>
          <w:i/>
          <w:spacing w:val="-2"/>
          <w:sz w:val="24"/>
        </w:rPr>
        <w:t>Chambers</w:t>
      </w:r>
      <w:r>
        <w:rPr>
          <w:rFonts w:ascii="Calibri" w:hAnsi="Calibri"/>
          <w:i/>
          <w:sz w:val="24"/>
        </w:rPr>
        <w:tab/>
      </w:r>
      <w:r>
        <w:rPr>
          <w:rFonts w:ascii="Calibri" w:hAnsi="Calibri"/>
          <w:i/>
          <w:spacing w:val="-5"/>
          <w:sz w:val="24"/>
        </w:rPr>
        <w:t>and</w:t>
      </w:r>
      <w:r>
        <w:rPr>
          <w:rFonts w:ascii="Calibri" w:hAnsi="Calibri"/>
          <w:i/>
          <w:sz w:val="24"/>
        </w:rPr>
        <w:tab/>
      </w:r>
      <w:r>
        <w:rPr>
          <w:rFonts w:ascii="Calibri" w:hAnsi="Calibri"/>
          <w:i/>
          <w:spacing w:val="-2"/>
          <w:sz w:val="24"/>
        </w:rPr>
        <w:t>Partners</w:t>
      </w:r>
      <w:r>
        <w:rPr>
          <w:rFonts w:ascii="Calibri" w:hAnsi="Calibri"/>
          <w:spacing w:val="-2"/>
          <w:sz w:val="24"/>
        </w:rPr>
        <w:t>.</w:t>
      </w:r>
    </w:p>
    <w:p>
      <w:pPr>
        <w:spacing w:after="0" w:line="360" w:lineRule="auto"/>
        <w:jc w:val="left"/>
        <w:rPr>
          <w:rFonts w:ascii="Calibri" w:hAnsi="Calibri"/>
          <w:sz w:val="24"/>
        </w:rPr>
        <w:sectPr>
          <w:pgSz w:w="11910" w:h="16840"/>
          <w:pgMar w:header="0" w:footer="1009" w:top="1360" w:bottom="1200" w:left="1417" w:right="1417"/>
        </w:sectPr>
      </w:pPr>
    </w:p>
    <w:p>
      <w:pPr>
        <w:pStyle w:val="BodyText"/>
        <w:spacing w:line="360" w:lineRule="auto" w:before="41"/>
        <w:ind w:left="743" w:right="1570"/>
        <w:rPr>
          <w:rFonts w:ascii="Calibri"/>
        </w:rPr>
      </w:pPr>
      <w:r>
        <w:rPr>
          <w:rFonts w:ascii="Calibri"/>
          <w:spacing w:val="-2"/>
        </w:rPr>
        <w:t>https://practiceguides.chambers.com/practice-guides/private-equity- 2025/india/trends-and-developments</w:t>
      </w:r>
    </w:p>
    <w:p>
      <w:pPr>
        <w:pStyle w:val="BodyText"/>
        <w:spacing w:line="360" w:lineRule="auto"/>
        <w:ind w:left="743" w:right="16" w:hanging="720"/>
        <w:jc w:val="both"/>
        <w:rPr>
          <w:rFonts w:ascii="Calibri" w:hAnsi="Calibri"/>
        </w:rPr>
      </w:pPr>
      <w:r>
        <w:rPr>
          <w:rFonts w:ascii="Calibri" w:hAnsi="Calibri"/>
        </w:rPr>
        <w:t>Chinchwadkar, R., &amp; Shekhar, V. (2016). Evolution of Private Equity Regulations in EmergingMarkets: A Case of India. </w:t>
      </w:r>
      <w:r>
        <w:rPr>
          <w:rFonts w:ascii="Calibri" w:hAnsi="Calibri"/>
          <w:i/>
        </w:rPr>
        <w:t>The Journal of Private Equity</w:t>
      </w:r>
      <w:r>
        <w:rPr>
          <w:rFonts w:ascii="Calibri" w:hAnsi="Calibri"/>
        </w:rPr>
        <w:t>, </w:t>
      </w:r>
      <w:r>
        <w:rPr>
          <w:rFonts w:ascii="Calibri" w:hAnsi="Calibri"/>
          <w:i/>
        </w:rPr>
        <w:t>20</w:t>
      </w:r>
      <w:r>
        <w:rPr>
          <w:rFonts w:ascii="Calibri" w:hAnsi="Calibri"/>
        </w:rPr>
        <w:t>(1), 38–44. </w:t>
      </w:r>
      <w:r>
        <w:rPr>
          <w:rFonts w:ascii="Calibri" w:hAnsi="Calibri"/>
          <w:spacing w:val="-2"/>
        </w:rPr>
        <w:t>https://doi.org/10.3905/jpe.2016.20.1.038</w:t>
      </w:r>
    </w:p>
    <w:p>
      <w:pPr>
        <w:spacing w:line="360" w:lineRule="auto" w:before="1"/>
        <w:ind w:left="743" w:right="23" w:hanging="720"/>
        <w:jc w:val="both"/>
        <w:rPr>
          <w:rFonts w:ascii="Calibri"/>
          <w:sz w:val="24"/>
        </w:rPr>
      </w:pPr>
      <w:r>
        <w:rPr>
          <w:rFonts w:ascii="Calibri"/>
          <w:sz w:val="24"/>
        </w:rPr>
        <w:t>Cumming, D. J., &amp; Johan, S. A. (2009). </w:t>
      </w:r>
      <w:r>
        <w:rPr>
          <w:rFonts w:ascii="Calibri"/>
          <w:i/>
          <w:sz w:val="24"/>
        </w:rPr>
        <w:t>Venture capital and private equity contracting: An international perspective</w:t>
      </w:r>
      <w:r>
        <w:rPr>
          <w:rFonts w:ascii="Calibri"/>
          <w:sz w:val="24"/>
        </w:rPr>
        <w:t>. Academic Press.</w:t>
      </w:r>
    </w:p>
    <w:p>
      <w:pPr>
        <w:pStyle w:val="BodyText"/>
        <w:spacing w:line="360" w:lineRule="auto"/>
        <w:ind w:left="743" w:right="24" w:hanging="720"/>
        <w:jc w:val="both"/>
        <w:rPr>
          <w:rFonts w:ascii="Calibri"/>
        </w:rPr>
      </w:pPr>
      <w:r>
        <w:rPr>
          <w:rFonts w:ascii="Calibri"/>
        </w:rPr>
        <w:t>Cumming,</w:t>
      </w:r>
      <w:r>
        <w:rPr>
          <w:rFonts w:ascii="Calibri"/>
          <w:spacing w:val="-11"/>
        </w:rPr>
        <w:t> </w:t>
      </w:r>
      <w:r>
        <w:rPr>
          <w:rFonts w:ascii="Calibri"/>
        </w:rPr>
        <w:t>D.,</w:t>
      </w:r>
      <w:r>
        <w:rPr>
          <w:rFonts w:ascii="Calibri"/>
          <w:spacing w:val="-12"/>
        </w:rPr>
        <w:t> </w:t>
      </w:r>
      <w:r>
        <w:rPr>
          <w:rFonts w:ascii="Calibri"/>
        </w:rPr>
        <w:t>&amp;</w:t>
      </w:r>
      <w:r>
        <w:rPr>
          <w:rFonts w:ascii="Calibri"/>
          <w:spacing w:val="-14"/>
        </w:rPr>
        <w:t> </w:t>
      </w:r>
      <w:r>
        <w:rPr>
          <w:rFonts w:ascii="Calibri"/>
        </w:rPr>
        <w:t>Johan,</w:t>
      </w:r>
      <w:r>
        <w:rPr>
          <w:rFonts w:ascii="Calibri"/>
          <w:spacing w:val="-13"/>
        </w:rPr>
        <w:t> </w:t>
      </w:r>
      <w:r>
        <w:rPr>
          <w:rFonts w:ascii="Calibri"/>
        </w:rPr>
        <w:t>S.</w:t>
      </w:r>
      <w:r>
        <w:rPr>
          <w:rFonts w:ascii="Calibri"/>
          <w:spacing w:val="-14"/>
        </w:rPr>
        <w:t> </w:t>
      </w:r>
      <w:r>
        <w:rPr>
          <w:rFonts w:ascii="Calibri"/>
        </w:rPr>
        <w:t>(2008).</w:t>
      </w:r>
      <w:r>
        <w:rPr>
          <w:rFonts w:ascii="Calibri"/>
          <w:spacing w:val="-11"/>
        </w:rPr>
        <w:t> </w:t>
      </w:r>
      <w:r>
        <w:rPr>
          <w:rFonts w:ascii="Calibri"/>
        </w:rPr>
        <w:t>Information</w:t>
      </w:r>
      <w:r>
        <w:rPr>
          <w:rFonts w:ascii="Calibri"/>
          <w:spacing w:val="-12"/>
        </w:rPr>
        <w:t> </w:t>
      </w:r>
      <w:r>
        <w:rPr>
          <w:rFonts w:ascii="Calibri"/>
        </w:rPr>
        <w:t>Asymmetries,</w:t>
      </w:r>
      <w:r>
        <w:rPr>
          <w:rFonts w:ascii="Calibri"/>
          <w:spacing w:val="-11"/>
        </w:rPr>
        <w:t> </w:t>
      </w:r>
      <w:r>
        <w:rPr>
          <w:rFonts w:ascii="Calibri"/>
        </w:rPr>
        <w:t>Agency</w:t>
      </w:r>
      <w:r>
        <w:rPr>
          <w:rFonts w:ascii="Calibri"/>
          <w:spacing w:val="-12"/>
        </w:rPr>
        <w:t> </w:t>
      </w:r>
      <w:r>
        <w:rPr>
          <w:rFonts w:ascii="Calibri"/>
        </w:rPr>
        <w:t>Costs</w:t>
      </w:r>
      <w:r>
        <w:rPr>
          <w:rFonts w:ascii="Calibri"/>
          <w:spacing w:val="-14"/>
        </w:rPr>
        <w:t> </w:t>
      </w:r>
      <w:r>
        <w:rPr>
          <w:rFonts w:ascii="Calibri"/>
        </w:rPr>
        <w:t>and</w:t>
      </w:r>
      <w:r>
        <w:rPr>
          <w:rFonts w:ascii="Calibri"/>
          <w:spacing w:val="-12"/>
        </w:rPr>
        <w:t> </w:t>
      </w:r>
      <w:r>
        <w:rPr>
          <w:rFonts w:ascii="Calibri"/>
        </w:rPr>
        <w:t>Venture</w:t>
      </w:r>
      <w:r>
        <w:rPr>
          <w:rFonts w:ascii="Calibri"/>
          <w:spacing w:val="-13"/>
        </w:rPr>
        <w:t> </w:t>
      </w:r>
      <w:r>
        <w:rPr>
          <w:rFonts w:ascii="Calibri"/>
        </w:rPr>
        <w:t>Capital Exit Outcomes. </w:t>
      </w:r>
      <w:r>
        <w:rPr>
          <w:rFonts w:ascii="Calibri"/>
          <w:i/>
        </w:rPr>
        <w:t>Venture Capital</w:t>
      </w:r>
      <w:r>
        <w:rPr>
          <w:rFonts w:ascii="Calibri"/>
        </w:rPr>
        <w:t>, </w:t>
      </w:r>
      <w:r>
        <w:rPr>
          <w:rFonts w:ascii="Calibri"/>
          <w:i/>
        </w:rPr>
        <w:t>10</w:t>
      </w:r>
      <w:r>
        <w:rPr>
          <w:rFonts w:ascii="Calibri"/>
        </w:rPr>
        <w:t>. https://doi.org/10.1080/13691060802151788</w:t>
      </w:r>
    </w:p>
    <w:p>
      <w:pPr>
        <w:pStyle w:val="BodyText"/>
        <w:spacing w:line="360" w:lineRule="auto"/>
        <w:ind w:left="743" w:right="16" w:hanging="720"/>
        <w:jc w:val="both"/>
        <w:rPr>
          <w:rFonts w:ascii="Calibri" w:hAnsi="Calibri"/>
        </w:rPr>
      </w:pPr>
      <w:r>
        <w:rPr>
          <w:rFonts w:ascii="Calibri" w:hAnsi="Calibri"/>
        </w:rPr>
        <w:t>Dhankar, R. S., &amp; Malik, K. (2016). Flow of Private Equity and Growth of Corporate India: A Review of Literature. </w:t>
      </w:r>
      <w:r>
        <w:rPr>
          <w:rFonts w:ascii="Calibri" w:hAnsi="Calibri"/>
          <w:i/>
        </w:rPr>
        <w:t>The Journal of Private Equity</w:t>
      </w:r>
      <w:r>
        <w:rPr>
          <w:rFonts w:ascii="Calibri" w:hAnsi="Calibri"/>
        </w:rPr>
        <w:t>, </w:t>
      </w:r>
      <w:r>
        <w:rPr>
          <w:rFonts w:ascii="Calibri" w:hAnsi="Calibri"/>
          <w:i/>
        </w:rPr>
        <w:t>19</w:t>
      </w:r>
      <w:r>
        <w:rPr>
          <w:rFonts w:ascii="Calibri" w:hAnsi="Calibri"/>
        </w:rPr>
        <w:t>(2), 60–65. </w:t>
      </w:r>
      <w:r>
        <w:rPr>
          <w:rFonts w:ascii="Calibri" w:hAnsi="Calibri"/>
          <w:spacing w:val="-2"/>
        </w:rPr>
        <w:t>https://doi.org/10.3905/jpe.2016.19.2.060</w:t>
      </w:r>
    </w:p>
    <w:p>
      <w:pPr>
        <w:pStyle w:val="BodyText"/>
        <w:spacing w:line="360" w:lineRule="auto"/>
        <w:ind w:left="743" w:right="18" w:hanging="720"/>
        <w:jc w:val="both"/>
        <w:rPr>
          <w:rFonts w:ascii="Calibri"/>
        </w:rPr>
      </w:pPr>
      <w:r>
        <w:rPr>
          <w:rFonts w:ascii="Calibri"/>
        </w:rPr>
        <w:t>Dominic,</w:t>
      </w:r>
      <w:r>
        <w:rPr>
          <w:rFonts w:ascii="Calibri"/>
          <w:spacing w:val="-3"/>
        </w:rPr>
        <w:t> </w:t>
      </w:r>
      <w:r>
        <w:rPr>
          <w:rFonts w:ascii="Calibri"/>
        </w:rPr>
        <w:t>J.,</w:t>
      </w:r>
      <w:r>
        <w:rPr>
          <w:rFonts w:ascii="Calibri"/>
          <w:spacing w:val="-4"/>
        </w:rPr>
        <w:t> </w:t>
      </w:r>
      <w:r>
        <w:rPr>
          <w:rFonts w:ascii="Calibri"/>
        </w:rPr>
        <w:t>&amp;</w:t>
      </w:r>
      <w:r>
        <w:rPr>
          <w:rFonts w:ascii="Calibri"/>
          <w:spacing w:val="-1"/>
        </w:rPr>
        <w:t> </w:t>
      </w:r>
      <w:r>
        <w:rPr>
          <w:rFonts w:ascii="Calibri"/>
        </w:rPr>
        <w:t>Joseph,</w:t>
      </w:r>
      <w:r>
        <w:rPr>
          <w:rFonts w:ascii="Calibri"/>
          <w:spacing w:val="-3"/>
        </w:rPr>
        <w:t> </w:t>
      </w:r>
      <w:r>
        <w:rPr>
          <w:rFonts w:ascii="Calibri"/>
        </w:rPr>
        <w:t>A.</w:t>
      </w:r>
      <w:r>
        <w:rPr>
          <w:rFonts w:ascii="Calibri"/>
          <w:spacing w:val="-4"/>
        </w:rPr>
        <w:t> </w:t>
      </w:r>
      <w:r>
        <w:rPr>
          <w:rFonts w:ascii="Calibri"/>
        </w:rPr>
        <w:t>(2023).</w:t>
      </w:r>
      <w:r>
        <w:rPr>
          <w:rFonts w:ascii="Calibri"/>
          <w:spacing w:val="-4"/>
        </w:rPr>
        <w:t> </w:t>
      </w:r>
      <w:r>
        <w:rPr>
          <w:rFonts w:ascii="Calibri"/>
        </w:rPr>
        <w:t>Dynamics</w:t>
      </w:r>
      <w:r>
        <w:rPr>
          <w:rFonts w:ascii="Calibri"/>
          <w:spacing w:val="-4"/>
        </w:rPr>
        <w:t> </w:t>
      </w:r>
      <w:r>
        <w:rPr>
          <w:rFonts w:ascii="Calibri"/>
        </w:rPr>
        <w:t>of</w:t>
      </w:r>
      <w:r>
        <w:rPr>
          <w:rFonts w:ascii="Calibri"/>
          <w:spacing w:val="-2"/>
        </w:rPr>
        <w:t> </w:t>
      </w:r>
      <w:r>
        <w:rPr>
          <w:rFonts w:ascii="Calibri"/>
        </w:rPr>
        <w:t>Venture</w:t>
      </w:r>
      <w:r>
        <w:rPr>
          <w:rFonts w:ascii="Calibri"/>
          <w:spacing w:val="-3"/>
        </w:rPr>
        <w:t> </w:t>
      </w:r>
      <w:r>
        <w:rPr>
          <w:rFonts w:ascii="Calibri"/>
        </w:rPr>
        <w:t>Capital</w:t>
      </w:r>
      <w:r>
        <w:rPr>
          <w:rFonts w:ascii="Calibri"/>
          <w:spacing w:val="-3"/>
        </w:rPr>
        <w:t> </w:t>
      </w:r>
      <w:r>
        <w:rPr>
          <w:rFonts w:ascii="Calibri"/>
        </w:rPr>
        <w:t>and</w:t>
      </w:r>
      <w:r>
        <w:rPr>
          <w:rFonts w:ascii="Calibri"/>
          <w:spacing w:val="-2"/>
        </w:rPr>
        <w:t> </w:t>
      </w:r>
      <w:r>
        <w:rPr>
          <w:rFonts w:ascii="Calibri"/>
        </w:rPr>
        <w:t>Private Equity</w:t>
      </w:r>
      <w:r>
        <w:rPr>
          <w:rFonts w:ascii="Calibri"/>
          <w:spacing w:val="-2"/>
        </w:rPr>
        <w:t> </w:t>
      </w:r>
      <w:r>
        <w:rPr>
          <w:rFonts w:ascii="Calibri"/>
        </w:rPr>
        <w:t>Investments in</w:t>
      </w:r>
      <w:r>
        <w:rPr>
          <w:rFonts w:ascii="Calibri"/>
          <w:spacing w:val="-12"/>
        </w:rPr>
        <w:t> </w:t>
      </w:r>
      <w:r>
        <w:rPr>
          <w:rFonts w:ascii="Calibri"/>
        </w:rPr>
        <w:t>India:</w:t>
      </w:r>
      <w:r>
        <w:rPr>
          <w:rFonts w:ascii="Calibri"/>
          <w:spacing w:val="-13"/>
        </w:rPr>
        <w:t> </w:t>
      </w:r>
      <w:r>
        <w:rPr>
          <w:rFonts w:ascii="Calibri"/>
        </w:rPr>
        <w:t>An</w:t>
      </w:r>
      <w:r>
        <w:rPr>
          <w:rFonts w:ascii="Calibri"/>
          <w:spacing w:val="-12"/>
        </w:rPr>
        <w:t> </w:t>
      </w:r>
      <w:r>
        <w:rPr>
          <w:rFonts w:ascii="Calibri"/>
        </w:rPr>
        <w:t>Empirical</w:t>
      </w:r>
      <w:r>
        <w:rPr>
          <w:rFonts w:ascii="Calibri"/>
          <w:spacing w:val="-13"/>
        </w:rPr>
        <w:t> </w:t>
      </w:r>
      <w:r>
        <w:rPr>
          <w:rFonts w:ascii="Calibri"/>
        </w:rPr>
        <w:t>Analysis.</w:t>
      </w:r>
      <w:r>
        <w:rPr>
          <w:rFonts w:ascii="Calibri"/>
          <w:spacing w:val="-11"/>
        </w:rPr>
        <w:t> </w:t>
      </w:r>
      <w:r>
        <w:rPr>
          <w:rFonts w:ascii="Calibri"/>
          <w:i/>
        </w:rPr>
        <w:t>Journal</w:t>
      </w:r>
      <w:r>
        <w:rPr>
          <w:rFonts w:ascii="Calibri"/>
          <w:i/>
          <w:spacing w:val="-13"/>
        </w:rPr>
        <w:t> </w:t>
      </w:r>
      <w:r>
        <w:rPr>
          <w:rFonts w:ascii="Calibri"/>
          <w:i/>
        </w:rPr>
        <w:t>of</w:t>
      </w:r>
      <w:r>
        <w:rPr>
          <w:rFonts w:ascii="Calibri"/>
          <w:i/>
          <w:spacing w:val="-12"/>
        </w:rPr>
        <w:t> </w:t>
      </w:r>
      <w:r>
        <w:rPr>
          <w:rFonts w:ascii="Calibri"/>
          <w:i/>
        </w:rPr>
        <w:t>Risk</w:t>
      </w:r>
      <w:r>
        <w:rPr>
          <w:rFonts w:ascii="Calibri"/>
          <w:i/>
          <w:spacing w:val="-12"/>
        </w:rPr>
        <w:t> </w:t>
      </w:r>
      <w:r>
        <w:rPr>
          <w:rFonts w:ascii="Calibri"/>
          <w:i/>
        </w:rPr>
        <w:t>and</w:t>
      </w:r>
      <w:r>
        <w:rPr>
          <w:rFonts w:ascii="Calibri"/>
          <w:i/>
          <w:spacing w:val="-12"/>
        </w:rPr>
        <w:t> </w:t>
      </w:r>
      <w:r>
        <w:rPr>
          <w:rFonts w:ascii="Calibri"/>
          <w:i/>
        </w:rPr>
        <w:t>Financial</w:t>
      </w:r>
      <w:r>
        <w:rPr>
          <w:rFonts w:ascii="Calibri"/>
          <w:i/>
          <w:spacing w:val="-13"/>
        </w:rPr>
        <w:t> </w:t>
      </w:r>
      <w:r>
        <w:rPr>
          <w:rFonts w:ascii="Calibri"/>
          <w:i/>
        </w:rPr>
        <w:t>Management</w:t>
      </w:r>
      <w:r>
        <w:rPr>
          <w:rFonts w:ascii="Calibri"/>
        </w:rPr>
        <w:t>,</w:t>
      </w:r>
      <w:r>
        <w:rPr>
          <w:rFonts w:ascii="Calibri"/>
          <w:spacing w:val="-13"/>
        </w:rPr>
        <w:t> </w:t>
      </w:r>
      <w:r>
        <w:rPr>
          <w:rFonts w:ascii="Calibri"/>
          <w:i/>
        </w:rPr>
        <w:t>16</w:t>
      </w:r>
      <w:r>
        <w:rPr>
          <w:rFonts w:ascii="Calibri"/>
        </w:rPr>
        <w:t>(11),</w:t>
      </w:r>
      <w:r>
        <w:rPr>
          <w:rFonts w:ascii="Calibri"/>
          <w:spacing w:val="-13"/>
        </w:rPr>
        <w:t> </w:t>
      </w:r>
      <w:r>
        <w:rPr>
          <w:rFonts w:ascii="Calibri"/>
        </w:rPr>
        <w:t>475. </w:t>
      </w:r>
      <w:r>
        <w:rPr>
          <w:rFonts w:ascii="Calibri"/>
          <w:spacing w:val="-2"/>
        </w:rPr>
        <w:t>https://doi.org/10.3390/jrfm16110475</w:t>
      </w:r>
    </w:p>
    <w:p>
      <w:pPr>
        <w:pStyle w:val="BodyText"/>
        <w:spacing w:line="360" w:lineRule="auto" w:before="1"/>
        <w:ind w:left="743" w:right="16" w:hanging="720"/>
        <w:jc w:val="both"/>
        <w:rPr>
          <w:rFonts w:ascii="Calibri" w:hAnsi="Calibri"/>
        </w:rPr>
      </w:pPr>
      <w:r>
        <w:rPr>
          <w:rFonts w:ascii="Calibri" w:hAnsi="Calibri"/>
        </w:rPr>
        <w:t>Dugar, P., &amp; Pandit, N. (2017a). Growth of Venture Capital and Private Equity in India. </w:t>
      </w:r>
      <w:r>
        <w:rPr>
          <w:rFonts w:ascii="Calibri" w:hAnsi="Calibri"/>
          <w:i/>
        </w:rPr>
        <w:t>The Journal of Private Equity</w:t>
      </w:r>
      <w:r>
        <w:rPr>
          <w:rFonts w:ascii="Calibri" w:hAnsi="Calibri"/>
        </w:rPr>
        <w:t>, </w:t>
      </w:r>
      <w:r>
        <w:rPr>
          <w:rFonts w:ascii="Calibri" w:hAnsi="Calibri"/>
          <w:i/>
        </w:rPr>
        <w:t>21</w:t>
      </w:r>
      <w:r>
        <w:rPr>
          <w:rFonts w:ascii="Calibri" w:hAnsi="Calibri"/>
        </w:rPr>
        <w:t>(1), 79–93. https://doi.org/10.3905/jpe.2017.21.1.079</w:t>
      </w:r>
    </w:p>
    <w:p>
      <w:pPr>
        <w:spacing w:line="292" w:lineRule="exact" w:before="0"/>
        <w:ind w:left="23" w:right="0" w:firstLine="0"/>
        <w:jc w:val="both"/>
        <w:rPr>
          <w:rFonts w:ascii="Calibri" w:hAnsi="Calibri"/>
          <w:sz w:val="24"/>
        </w:rPr>
      </w:pPr>
      <w:r>
        <w:rPr>
          <w:rFonts w:ascii="Calibri" w:hAnsi="Calibri"/>
          <w:sz w:val="24"/>
        </w:rPr>
        <w:t>Dugar,</w:t>
      </w:r>
      <w:r>
        <w:rPr>
          <w:rFonts w:ascii="Calibri" w:hAnsi="Calibri"/>
          <w:spacing w:val="-7"/>
          <w:sz w:val="24"/>
        </w:rPr>
        <w:t> </w:t>
      </w:r>
      <w:r>
        <w:rPr>
          <w:rFonts w:ascii="Calibri" w:hAnsi="Calibri"/>
          <w:sz w:val="24"/>
        </w:rPr>
        <w:t>P.,</w:t>
      </w:r>
      <w:r>
        <w:rPr>
          <w:rFonts w:ascii="Calibri" w:hAnsi="Calibri"/>
          <w:spacing w:val="-7"/>
          <w:sz w:val="24"/>
        </w:rPr>
        <w:t> </w:t>
      </w:r>
      <w:r>
        <w:rPr>
          <w:rFonts w:ascii="Calibri" w:hAnsi="Calibri"/>
          <w:sz w:val="24"/>
        </w:rPr>
        <w:t>&amp;</w:t>
      </w:r>
      <w:r>
        <w:rPr>
          <w:rFonts w:ascii="Calibri" w:hAnsi="Calibri"/>
          <w:spacing w:val="-8"/>
          <w:sz w:val="24"/>
        </w:rPr>
        <w:t> </w:t>
      </w:r>
      <w:r>
        <w:rPr>
          <w:rFonts w:ascii="Calibri" w:hAnsi="Calibri"/>
          <w:sz w:val="24"/>
        </w:rPr>
        <w:t>Pandit,</w:t>
      </w:r>
      <w:r>
        <w:rPr>
          <w:rFonts w:ascii="Calibri" w:hAnsi="Calibri"/>
          <w:spacing w:val="-7"/>
          <w:sz w:val="24"/>
        </w:rPr>
        <w:t> </w:t>
      </w:r>
      <w:r>
        <w:rPr>
          <w:rFonts w:ascii="Calibri" w:hAnsi="Calibri"/>
          <w:sz w:val="24"/>
        </w:rPr>
        <w:t>N.</w:t>
      </w:r>
      <w:r>
        <w:rPr>
          <w:rFonts w:ascii="Calibri" w:hAnsi="Calibri"/>
          <w:spacing w:val="-5"/>
          <w:sz w:val="24"/>
        </w:rPr>
        <w:t> </w:t>
      </w:r>
      <w:r>
        <w:rPr>
          <w:rFonts w:ascii="Calibri" w:hAnsi="Calibri"/>
          <w:sz w:val="24"/>
        </w:rPr>
        <w:t>(2017b).</w:t>
      </w:r>
      <w:r>
        <w:rPr>
          <w:rFonts w:ascii="Calibri" w:hAnsi="Calibri"/>
          <w:spacing w:val="-6"/>
          <w:sz w:val="24"/>
        </w:rPr>
        <w:t> </w:t>
      </w:r>
      <w:r>
        <w:rPr>
          <w:rFonts w:ascii="Calibri" w:hAnsi="Calibri"/>
          <w:i/>
          <w:sz w:val="24"/>
        </w:rPr>
        <w:t>Growth</w:t>
      </w:r>
      <w:r>
        <w:rPr>
          <w:rFonts w:ascii="Calibri" w:hAnsi="Calibri"/>
          <w:i/>
          <w:spacing w:val="-5"/>
          <w:sz w:val="24"/>
        </w:rPr>
        <w:t> </w:t>
      </w:r>
      <w:r>
        <w:rPr>
          <w:rFonts w:ascii="Calibri" w:hAnsi="Calibri"/>
          <w:i/>
          <w:sz w:val="24"/>
        </w:rPr>
        <w:t>of</w:t>
      </w:r>
      <w:r>
        <w:rPr>
          <w:rFonts w:ascii="Calibri" w:hAnsi="Calibri"/>
          <w:i/>
          <w:spacing w:val="-6"/>
          <w:sz w:val="24"/>
        </w:rPr>
        <w:t> </w:t>
      </w:r>
      <w:r>
        <w:rPr>
          <w:rFonts w:ascii="Calibri" w:hAnsi="Calibri"/>
          <w:i/>
          <w:sz w:val="24"/>
        </w:rPr>
        <w:t>Venture</w:t>
      </w:r>
      <w:r>
        <w:rPr>
          <w:rFonts w:ascii="Calibri" w:hAnsi="Calibri"/>
          <w:i/>
          <w:spacing w:val="-5"/>
          <w:sz w:val="24"/>
        </w:rPr>
        <w:t> </w:t>
      </w:r>
      <w:r>
        <w:rPr>
          <w:rFonts w:ascii="Calibri" w:hAnsi="Calibri"/>
          <w:i/>
          <w:sz w:val="24"/>
        </w:rPr>
        <w:t>Capital</w:t>
      </w:r>
      <w:r>
        <w:rPr>
          <w:rFonts w:ascii="Calibri" w:hAnsi="Calibri"/>
          <w:i/>
          <w:spacing w:val="-4"/>
          <w:sz w:val="24"/>
        </w:rPr>
        <w:t> </w:t>
      </w:r>
      <w:r>
        <w:rPr>
          <w:rFonts w:ascii="Calibri" w:hAnsi="Calibri"/>
          <w:i/>
          <w:sz w:val="24"/>
        </w:rPr>
        <w:t>and</w:t>
      </w:r>
      <w:r>
        <w:rPr>
          <w:rFonts w:ascii="Calibri" w:hAnsi="Calibri"/>
          <w:i/>
          <w:spacing w:val="-6"/>
          <w:sz w:val="24"/>
        </w:rPr>
        <w:t> </w:t>
      </w:r>
      <w:r>
        <w:rPr>
          <w:rFonts w:ascii="Calibri" w:hAnsi="Calibri"/>
          <w:i/>
          <w:sz w:val="24"/>
        </w:rPr>
        <w:t>Private</w:t>
      </w:r>
      <w:r>
        <w:rPr>
          <w:rFonts w:ascii="Calibri" w:hAnsi="Calibri"/>
          <w:i/>
          <w:spacing w:val="-4"/>
          <w:sz w:val="24"/>
        </w:rPr>
        <w:t> </w:t>
      </w:r>
      <w:r>
        <w:rPr>
          <w:rFonts w:ascii="Calibri" w:hAnsi="Calibri"/>
          <w:i/>
          <w:sz w:val="24"/>
        </w:rPr>
        <w:t>Equity</w:t>
      </w:r>
      <w:r>
        <w:rPr>
          <w:rFonts w:ascii="Calibri" w:hAnsi="Calibri"/>
          <w:i/>
          <w:spacing w:val="-5"/>
          <w:sz w:val="24"/>
        </w:rPr>
        <w:t> </w:t>
      </w:r>
      <w:r>
        <w:rPr>
          <w:rFonts w:ascii="Calibri" w:hAnsi="Calibri"/>
          <w:i/>
          <w:sz w:val="24"/>
        </w:rPr>
        <w:t>in</w:t>
      </w:r>
      <w:r>
        <w:rPr>
          <w:rFonts w:ascii="Calibri" w:hAnsi="Calibri"/>
          <w:i/>
          <w:spacing w:val="-5"/>
          <w:sz w:val="24"/>
        </w:rPr>
        <w:t> </w:t>
      </w:r>
      <w:r>
        <w:rPr>
          <w:rFonts w:ascii="Calibri" w:hAnsi="Calibri"/>
          <w:i/>
          <w:sz w:val="24"/>
        </w:rPr>
        <w:t>India</w:t>
      </w:r>
      <w:r>
        <w:rPr>
          <w:rFonts w:ascii="Calibri" w:hAnsi="Calibri"/>
          <w:sz w:val="24"/>
        </w:rPr>
        <w:t>.</w:t>
      </w:r>
      <w:r>
        <w:rPr>
          <w:rFonts w:ascii="Calibri" w:hAnsi="Calibri"/>
          <w:spacing w:val="-5"/>
          <w:sz w:val="24"/>
        </w:rPr>
        <w:t> </w:t>
      </w:r>
      <w:r>
        <w:rPr>
          <w:rFonts w:ascii="Calibri" w:hAnsi="Calibri"/>
          <w:i/>
          <w:sz w:val="24"/>
        </w:rPr>
        <w:t>21</w:t>
      </w:r>
      <w:r>
        <w:rPr>
          <w:rFonts w:ascii="Calibri" w:hAnsi="Calibri"/>
          <w:sz w:val="24"/>
        </w:rPr>
        <w:t>,</w:t>
      </w:r>
      <w:r>
        <w:rPr>
          <w:rFonts w:ascii="Calibri" w:hAnsi="Calibri"/>
          <w:spacing w:val="-7"/>
          <w:sz w:val="24"/>
        </w:rPr>
        <w:t> </w:t>
      </w:r>
      <w:r>
        <w:rPr>
          <w:rFonts w:ascii="Calibri" w:hAnsi="Calibri"/>
          <w:spacing w:val="-5"/>
          <w:sz w:val="24"/>
        </w:rPr>
        <w:t>79–</w:t>
      </w:r>
    </w:p>
    <w:p>
      <w:pPr>
        <w:pStyle w:val="BodyText"/>
        <w:spacing w:before="146"/>
        <w:ind w:left="743"/>
        <w:jc w:val="both"/>
        <w:rPr>
          <w:rFonts w:ascii="Calibri"/>
        </w:rPr>
      </w:pPr>
      <w:r>
        <w:rPr>
          <w:rFonts w:ascii="Calibri"/>
        </w:rPr>
        <w:t>93. </w:t>
      </w:r>
      <w:r>
        <w:rPr>
          <w:rFonts w:ascii="Calibri"/>
          <w:spacing w:val="-2"/>
        </w:rPr>
        <w:t>https://doi.org/10.3905/jpe.2017.21.1.079</w:t>
      </w:r>
    </w:p>
    <w:p>
      <w:pPr>
        <w:pStyle w:val="BodyText"/>
        <w:spacing w:line="360" w:lineRule="auto" w:before="147"/>
        <w:ind w:left="743" w:right="19" w:hanging="720"/>
        <w:jc w:val="both"/>
        <w:rPr>
          <w:rFonts w:ascii="Calibri" w:hAnsi="Calibri"/>
        </w:rPr>
      </w:pPr>
      <w:r>
        <w:rPr>
          <w:rFonts w:ascii="Calibri" w:hAnsi="Calibri"/>
          <w:spacing w:val="-2"/>
        </w:rPr>
        <w:t>Dugar,</w:t>
      </w:r>
      <w:r>
        <w:rPr>
          <w:rFonts w:ascii="Calibri" w:hAnsi="Calibri"/>
          <w:spacing w:val="-7"/>
        </w:rPr>
        <w:t> </w:t>
      </w:r>
      <w:r>
        <w:rPr>
          <w:rFonts w:ascii="Calibri" w:hAnsi="Calibri"/>
          <w:spacing w:val="-2"/>
        </w:rPr>
        <w:t>P.,</w:t>
      </w:r>
      <w:r>
        <w:rPr>
          <w:rFonts w:ascii="Calibri" w:hAnsi="Calibri"/>
          <w:spacing w:val="-10"/>
        </w:rPr>
        <w:t> </w:t>
      </w:r>
      <w:r>
        <w:rPr>
          <w:rFonts w:ascii="Calibri" w:hAnsi="Calibri"/>
          <w:spacing w:val="-2"/>
        </w:rPr>
        <w:t>&amp;</w:t>
      </w:r>
      <w:r>
        <w:rPr>
          <w:rFonts w:ascii="Calibri" w:hAnsi="Calibri"/>
          <w:spacing w:val="-10"/>
        </w:rPr>
        <w:t> </w:t>
      </w:r>
      <w:r>
        <w:rPr>
          <w:rFonts w:ascii="Calibri" w:hAnsi="Calibri"/>
          <w:spacing w:val="-2"/>
        </w:rPr>
        <w:t>Pandit,</w:t>
      </w:r>
      <w:r>
        <w:rPr>
          <w:rFonts w:ascii="Calibri" w:hAnsi="Calibri"/>
          <w:spacing w:val="-9"/>
        </w:rPr>
        <w:t> </w:t>
      </w:r>
      <w:r>
        <w:rPr>
          <w:rFonts w:ascii="Calibri" w:hAnsi="Calibri"/>
          <w:spacing w:val="-2"/>
        </w:rPr>
        <w:t>N.</w:t>
      </w:r>
      <w:r>
        <w:rPr>
          <w:rFonts w:ascii="Calibri" w:hAnsi="Calibri"/>
          <w:spacing w:val="-10"/>
        </w:rPr>
        <w:t> </w:t>
      </w:r>
      <w:r>
        <w:rPr>
          <w:rFonts w:ascii="Calibri" w:hAnsi="Calibri"/>
          <w:spacing w:val="-2"/>
        </w:rPr>
        <w:t>(2018).</w:t>
      </w:r>
      <w:r>
        <w:rPr>
          <w:rFonts w:ascii="Calibri" w:hAnsi="Calibri"/>
          <w:spacing w:val="-8"/>
        </w:rPr>
        <w:t> </w:t>
      </w:r>
      <w:r>
        <w:rPr>
          <w:rFonts w:ascii="Calibri" w:hAnsi="Calibri"/>
          <w:spacing w:val="-2"/>
        </w:rPr>
        <w:t>Investment</w:t>
      </w:r>
      <w:r>
        <w:rPr>
          <w:rFonts w:ascii="Calibri" w:hAnsi="Calibri"/>
          <w:spacing w:val="-11"/>
        </w:rPr>
        <w:t> </w:t>
      </w:r>
      <w:r>
        <w:rPr>
          <w:rFonts w:ascii="Calibri" w:hAnsi="Calibri"/>
          <w:spacing w:val="-2"/>
        </w:rPr>
        <w:t>Trends</w:t>
      </w:r>
      <w:r>
        <w:rPr>
          <w:rFonts w:ascii="Calibri" w:hAnsi="Calibri"/>
          <w:spacing w:val="-7"/>
        </w:rPr>
        <w:t> </w:t>
      </w:r>
      <w:r>
        <w:rPr>
          <w:rFonts w:ascii="Calibri" w:hAnsi="Calibri"/>
          <w:spacing w:val="-2"/>
        </w:rPr>
        <w:t>in</w:t>
      </w:r>
      <w:r>
        <w:rPr>
          <w:rFonts w:ascii="Calibri" w:hAnsi="Calibri"/>
          <w:spacing w:val="-8"/>
        </w:rPr>
        <w:t> </w:t>
      </w:r>
      <w:r>
        <w:rPr>
          <w:rFonts w:ascii="Calibri" w:hAnsi="Calibri"/>
          <w:spacing w:val="-2"/>
        </w:rPr>
        <w:t>Venture</w:t>
      </w:r>
      <w:r>
        <w:rPr>
          <w:rFonts w:ascii="Calibri" w:hAnsi="Calibri"/>
          <w:spacing w:val="-9"/>
        </w:rPr>
        <w:t> </w:t>
      </w:r>
      <w:r>
        <w:rPr>
          <w:rFonts w:ascii="Calibri" w:hAnsi="Calibri"/>
          <w:spacing w:val="-2"/>
        </w:rPr>
        <w:t>Capital</w:t>
      </w:r>
      <w:r>
        <w:rPr>
          <w:rFonts w:ascii="Calibri" w:hAnsi="Calibri"/>
          <w:spacing w:val="-9"/>
        </w:rPr>
        <w:t> </w:t>
      </w:r>
      <w:r>
        <w:rPr>
          <w:rFonts w:ascii="Calibri" w:hAnsi="Calibri"/>
          <w:spacing w:val="-2"/>
        </w:rPr>
        <w:t>and</w:t>
      </w:r>
      <w:r>
        <w:rPr>
          <w:rFonts w:ascii="Calibri" w:hAnsi="Calibri"/>
          <w:spacing w:val="-8"/>
        </w:rPr>
        <w:t> </w:t>
      </w:r>
      <w:r>
        <w:rPr>
          <w:rFonts w:ascii="Calibri" w:hAnsi="Calibri"/>
          <w:spacing w:val="-2"/>
        </w:rPr>
        <w:t>Private</w:t>
      </w:r>
      <w:r>
        <w:rPr>
          <w:rFonts w:ascii="Calibri" w:hAnsi="Calibri"/>
          <w:spacing w:val="-6"/>
        </w:rPr>
        <w:t> </w:t>
      </w:r>
      <w:r>
        <w:rPr>
          <w:rFonts w:ascii="Calibri" w:hAnsi="Calibri"/>
          <w:spacing w:val="-2"/>
        </w:rPr>
        <w:t>Equity</w:t>
      </w:r>
      <w:r>
        <w:rPr>
          <w:rFonts w:ascii="Calibri" w:hAnsi="Calibri"/>
          <w:spacing w:val="-7"/>
        </w:rPr>
        <w:t> </w:t>
      </w:r>
      <w:r>
        <w:rPr>
          <w:rFonts w:ascii="Calibri" w:hAnsi="Calibri"/>
          <w:spacing w:val="-2"/>
        </w:rPr>
        <w:t>in</w:t>
      </w:r>
      <w:r>
        <w:rPr>
          <w:rFonts w:ascii="Calibri" w:hAnsi="Calibri"/>
          <w:spacing w:val="-8"/>
        </w:rPr>
        <w:t> </w:t>
      </w:r>
      <w:r>
        <w:rPr>
          <w:rFonts w:ascii="Calibri" w:hAnsi="Calibri"/>
          <w:spacing w:val="-2"/>
        </w:rPr>
        <w:t>India. </w:t>
      </w:r>
      <w:r>
        <w:rPr>
          <w:rFonts w:ascii="Calibri" w:hAnsi="Calibri"/>
        </w:rPr>
        <w:t>In N. R. Bhanumurthy, K. Shanmugan, S. Nerlekar, &amp; S. Hegade (Eds.), </w:t>
      </w:r>
      <w:r>
        <w:rPr>
          <w:rFonts w:ascii="Calibri" w:hAnsi="Calibri"/>
          <w:i/>
        </w:rPr>
        <w:t>Advances in Finance &amp; Applied Economics </w:t>
      </w:r>
      <w:r>
        <w:rPr>
          <w:rFonts w:ascii="Calibri" w:hAnsi="Calibri"/>
        </w:rPr>
        <w:t>(pp. 213–235). Springer Singapore. </w:t>
      </w:r>
      <w:r>
        <w:rPr>
          <w:rFonts w:ascii="Calibri" w:hAnsi="Calibri"/>
          <w:spacing w:val="-2"/>
        </w:rPr>
        <w:t>https://doi.org/10.1007/978-981-13-1696-8_14</w:t>
      </w:r>
    </w:p>
    <w:p>
      <w:pPr>
        <w:spacing w:line="362" w:lineRule="auto" w:before="0"/>
        <w:ind w:left="743" w:right="21" w:hanging="720"/>
        <w:jc w:val="both"/>
        <w:rPr>
          <w:rFonts w:ascii="Calibri"/>
          <w:sz w:val="24"/>
        </w:rPr>
      </w:pPr>
      <w:r>
        <w:rPr>
          <w:rFonts w:ascii="Calibri"/>
          <w:sz w:val="24"/>
        </w:rPr>
        <w:t>Gohil, R. K. (2023). Private Equity in India Fintech: A Lifecycle Analysis. </w:t>
      </w:r>
      <w:r>
        <w:rPr>
          <w:rFonts w:ascii="Calibri"/>
          <w:i/>
          <w:sz w:val="24"/>
        </w:rPr>
        <w:t>Indian Journal of Economics and Finance</w:t>
      </w:r>
      <w:r>
        <w:rPr>
          <w:rFonts w:ascii="Calibri"/>
          <w:sz w:val="24"/>
        </w:rPr>
        <w:t>. https://doi.org/10.54105/ijef.b2558.03021123</w:t>
      </w:r>
    </w:p>
    <w:p>
      <w:pPr>
        <w:spacing w:line="289" w:lineRule="exact" w:before="0"/>
        <w:ind w:left="23" w:right="0" w:firstLine="0"/>
        <w:jc w:val="both"/>
        <w:rPr>
          <w:rFonts w:ascii="Calibri"/>
          <w:sz w:val="24"/>
        </w:rPr>
      </w:pPr>
      <w:r>
        <w:rPr>
          <w:rFonts w:ascii="Calibri"/>
          <w:sz w:val="24"/>
        </w:rPr>
        <w:t>Jensen,</w:t>
      </w:r>
      <w:r>
        <w:rPr>
          <w:rFonts w:ascii="Calibri"/>
          <w:spacing w:val="1"/>
          <w:sz w:val="24"/>
        </w:rPr>
        <w:t> </w:t>
      </w:r>
      <w:r>
        <w:rPr>
          <w:rFonts w:ascii="Calibri"/>
          <w:sz w:val="24"/>
        </w:rPr>
        <w:t>&amp;</w:t>
      </w:r>
      <w:r>
        <w:rPr>
          <w:rFonts w:ascii="Calibri"/>
          <w:spacing w:val="3"/>
          <w:sz w:val="24"/>
        </w:rPr>
        <w:t> </w:t>
      </w:r>
      <w:r>
        <w:rPr>
          <w:rFonts w:ascii="Calibri"/>
          <w:sz w:val="24"/>
        </w:rPr>
        <w:t>C,</w:t>
      </w:r>
      <w:r>
        <w:rPr>
          <w:rFonts w:ascii="Calibri"/>
          <w:spacing w:val="5"/>
          <w:sz w:val="24"/>
        </w:rPr>
        <w:t> </w:t>
      </w:r>
      <w:r>
        <w:rPr>
          <w:rFonts w:ascii="Calibri"/>
          <w:sz w:val="24"/>
        </w:rPr>
        <w:t>M.</w:t>
      </w:r>
      <w:r>
        <w:rPr>
          <w:rFonts w:ascii="Calibri"/>
          <w:spacing w:val="3"/>
          <w:sz w:val="24"/>
        </w:rPr>
        <w:t> </w:t>
      </w:r>
      <w:r>
        <w:rPr>
          <w:rFonts w:ascii="Calibri"/>
          <w:sz w:val="24"/>
        </w:rPr>
        <w:t>(1999).</w:t>
      </w:r>
      <w:r>
        <w:rPr>
          <w:rFonts w:ascii="Calibri"/>
          <w:spacing w:val="5"/>
          <w:sz w:val="24"/>
        </w:rPr>
        <w:t> </w:t>
      </w:r>
      <w:r>
        <w:rPr>
          <w:rFonts w:ascii="Calibri"/>
          <w:i/>
          <w:sz w:val="24"/>
        </w:rPr>
        <w:t>Eclipse</w:t>
      </w:r>
      <w:r>
        <w:rPr>
          <w:rFonts w:ascii="Calibri"/>
          <w:i/>
          <w:spacing w:val="4"/>
          <w:sz w:val="24"/>
        </w:rPr>
        <w:t> </w:t>
      </w:r>
      <w:r>
        <w:rPr>
          <w:rFonts w:ascii="Calibri"/>
          <w:i/>
          <w:sz w:val="24"/>
        </w:rPr>
        <w:t>of</w:t>
      </w:r>
      <w:r>
        <w:rPr>
          <w:rFonts w:ascii="Calibri"/>
          <w:i/>
          <w:spacing w:val="5"/>
          <w:sz w:val="24"/>
        </w:rPr>
        <w:t> </w:t>
      </w:r>
      <w:r>
        <w:rPr>
          <w:rFonts w:ascii="Calibri"/>
          <w:i/>
          <w:sz w:val="24"/>
        </w:rPr>
        <w:t>the</w:t>
      </w:r>
      <w:r>
        <w:rPr>
          <w:rFonts w:ascii="Calibri"/>
          <w:i/>
          <w:spacing w:val="4"/>
          <w:sz w:val="24"/>
        </w:rPr>
        <w:t> </w:t>
      </w:r>
      <w:r>
        <w:rPr>
          <w:rFonts w:ascii="Calibri"/>
          <w:i/>
          <w:sz w:val="24"/>
        </w:rPr>
        <w:t>Public</w:t>
      </w:r>
      <w:r>
        <w:rPr>
          <w:rFonts w:ascii="Calibri"/>
          <w:i/>
          <w:spacing w:val="2"/>
          <w:sz w:val="24"/>
        </w:rPr>
        <w:t> </w:t>
      </w:r>
      <w:r>
        <w:rPr>
          <w:rFonts w:ascii="Calibri"/>
          <w:i/>
          <w:sz w:val="24"/>
        </w:rPr>
        <w:t>Corporation</w:t>
      </w:r>
      <w:r>
        <w:rPr>
          <w:rFonts w:ascii="Calibri"/>
          <w:i/>
          <w:spacing w:val="6"/>
          <w:sz w:val="24"/>
        </w:rPr>
        <w:t> </w:t>
      </w:r>
      <w:r>
        <w:rPr>
          <w:rFonts w:ascii="Calibri"/>
          <w:sz w:val="24"/>
        </w:rPr>
        <w:t>(SSRN</w:t>
      </w:r>
      <w:r>
        <w:rPr>
          <w:rFonts w:ascii="Calibri"/>
          <w:spacing w:val="5"/>
          <w:sz w:val="24"/>
        </w:rPr>
        <w:t> </w:t>
      </w:r>
      <w:r>
        <w:rPr>
          <w:rFonts w:ascii="Calibri"/>
          <w:sz w:val="24"/>
        </w:rPr>
        <w:t>Scholarly</w:t>
      </w:r>
      <w:r>
        <w:rPr>
          <w:rFonts w:ascii="Calibri"/>
          <w:spacing w:val="1"/>
          <w:sz w:val="24"/>
        </w:rPr>
        <w:t> </w:t>
      </w:r>
      <w:r>
        <w:rPr>
          <w:rFonts w:ascii="Calibri"/>
          <w:sz w:val="24"/>
        </w:rPr>
        <w:t>Paper</w:t>
      </w:r>
      <w:r>
        <w:rPr>
          <w:rFonts w:ascii="Calibri"/>
          <w:spacing w:val="3"/>
          <w:sz w:val="24"/>
        </w:rPr>
        <w:t> </w:t>
      </w:r>
      <w:r>
        <w:rPr>
          <w:rFonts w:ascii="Calibri"/>
          <w:sz w:val="24"/>
        </w:rPr>
        <w:t>No.</w:t>
      </w:r>
      <w:r>
        <w:rPr>
          <w:rFonts w:ascii="Calibri"/>
          <w:spacing w:val="4"/>
          <w:sz w:val="24"/>
        </w:rPr>
        <w:t> </w:t>
      </w:r>
      <w:r>
        <w:rPr>
          <w:rFonts w:ascii="Calibri"/>
          <w:spacing w:val="-2"/>
          <w:sz w:val="24"/>
        </w:rPr>
        <w:t>146149).</w:t>
      </w:r>
    </w:p>
    <w:p>
      <w:pPr>
        <w:pStyle w:val="BodyText"/>
        <w:spacing w:before="145"/>
        <w:ind w:left="743"/>
        <w:jc w:val="both"/>
        <w:rPr>
          <w:rFonts w:ascii="Calibri"/>
        </w:rPr>
      </w:pPr>
      <w:r>
        <w:rPr>
          <w:rFonts w:ascii="Calibri"/>
        </w:rPr>
        <w:t>Social</w:t>
      </w:r>
      <w:r>
        <w:rPr>
          <w:rFonts w:ascii="Calibri"/>
          <w:spacing w:val="-8"/>
        </w:rPr>
        <w:t> </w:t>
      </w:r>
      <w:r>
        <w:rPr>
          <w:rFonts w:ascii="Calibri"/>
        </w:rPr>
        <w:t>Science</w:t>
      </w:r>
      <w:r>
        <w:rPr>
          <w:rFonts w:ascii="Calibri"/>
          <w:spacing w:val="-7"/>
        </w:rPr>
        <w:t> </w:t>
      </w:r>
      <w:r>
        <w:rPr>
          <w:rFonts w:ascii="Calibri"/>
        </w:rPr>
        <w:t>Research</w:t>
      </w:r>
      <w:r>
        <w:rPr>
          <w:rFonts w:ascii="Calibri"/>
          <w:spacing w:val="-9"/>
        </w:rPr>
        <w:t> </w:t>
      </w:r>
      <w:r>
        <w:rPr>
          <w:rFonts w:ascii="Calibri"/>
        </w:rPr>
        <w:t>Network.</w:t>
      </w:r>
      <w:r>
        <w:rPr>
          <w:rFonts w:ascii="Calibri"/>
          <w:spacing w:val="-7"/>
        </w:rPr>
        <w:t> </w:t>
      </w:r>
      <w:r>
        <w:rPr>
          <w:rFonts w:ascii="Calibri"/>
          <w:spacing w:val="-2"/>
        </w:rPr>
        <w:t>https://doi.org/10.2139/ssrn.146149</w:t>
      </w:r>
    </w:p>
    <w:p>
      <w:pPr>
        <w:pStyle w:val="BodyText"/>
        <w:spacing w:line="360" w:lineRule="auto" w:before="147"/>
        <w:ind w:left="743" w:right="16" w:hanging="720"/>
        <w:jc w:val="both"/>
        <w:rPr>
          <w:rFonts w:ascii="Calibri" w:hAnsi="Calibri"/>
        </w:rPr>
      </w:pPr>
      <w:r>
        <w:rPr>
          <w:rFonts w:ascii="Calibri" w:hAnsi="Calibri"/>
        </w:rPr>
        <w:t>Jensen,</w:t>
      </w:r>
      <w:r>
        <w:rPr>
          <w:rFonts w:ascii="Calibri" w:hAnsi="Calibri"/>
          <w:spacing w:val="-14"/>
        </w:rPr>
        <w:t> </w:t>
      </w:r>
      <w:r>
        <w:rPr>
          <w:rFonts w:ascii="Calibri" w:hAnsi="Calibri"/>
        </w:rPr>
        <w:t>M.</w:t>
      </w:r>
      <w:r>
        <w:rPr>
          <w:rFonts w:ascii="Calibri" w:hAnsi="Calibri"/>
          <w:spacing w:val="-14"/>
        </w:rPr>
        <w:t> </w:t>
      </w:r>
      <w:r>
        <w:rPr>
          <w:rFonts w:ascii="Calibri" w:hAnsi="Calibri"/>
        </w:rPr>
        <w:t>C.,</w:t>
      </w:r>
      <w:r>
        <w:rPr>
          <w:rFonts w:ascii="Calibri" w:hAnsi="Calibri"/>
          <w:spacing w:val="-13"/>
        </w:rPr>
        <w:t> </w:t>
      </w:r>
      <w:r>
        <w:rPr>
          <w:rFonts w:ascii="Calibri" w:hAnsi="Calibri"/>
        </w:rPr>
        <w:t>&amp;</w:t>
      </w:r>
      <w:r>
        <w:rPr>
          <w:rFonts w:ascii="Calibri" w:hAnsi="Calibri"/>
          <w:spacing w:val="-14"/>
        </w:rPr>
        <w:t> </w:t>
      </w:r>
      <w:r>
        <w:rPr>
          <w:rFonts w:ascii="Calibri" w:hAnsi="Calibri"/>
        </w:rPr>
        <w:t>Meckling,</w:t>
      </w:r>
      <w:r>
        <w:rPr>
          <w:rFonts w:ascii="Calibri" w:hAnsi="Calibri"/>
          <w:spacing w:val="-13"/>
        </w:rPr>
        <w:t> </w:t>
      </w:r>
      <w:r>
        <w:rPr>
          <w:rFonts w:ascii="Calibri" w:hAnsi="Calibri"/>
        </w:rPr>
        <w:t>W.</w:t>
      </w:r>
      <w:r>
        <w:rPr>
          <w:rFonts w:ascii="Calibri" w:hAnsi="Calibri"/>
          <w:spacing w:val="-14"/>
        </w:rPr>
        <w:t> </w:t>
      </w:r>
      <w:r>
        <w:rPr>
          <w:rFonts w:ascii="Calibri" w:hAnsi="Calibri"/>
        </w:rPr>
        <w:t>H.</w:t>
      </w:r>
      <w:r>
        <w:rPr>
          <w:rFonts w:ascii="Calibri" w:hAnsi="Calibri"/>
          <w:spacing w:val="-13"/>
        </w:rPr>
        <w:t> </w:t>
      </w:r>
      <w:r>
        <w:rPr>
          <w:rFonts w:ascii="Calibri" w:hAnsi="Calibri"/>
        </w:rPr>
        <w:t>(1976).</w:t>
      </w:r>
      <w:r>
        <w:rPr>
          <w:rFonts w:ascii="Calibri" w:hAnsi="Calibri"/>
          <w:spacing w:val="-14"/>
        </w:rPr>
        <w:t> </w:t>
      </w:r>
      <w:r>
        <w:rPr>
          <w:rFonts w:ascii="Calibri" w:hAnsi="Calibri"/>
        </w:rPr>
        <w:t>Theory</w:t>
      </w:r>
      <w:r>
        <w:rPr>
          <w:rFonts w:ascii="Calibri" w:hAnsi="Calibri"/>
          <w:spacing w:val="-14"/>
        </w:rPr>
        <w:t> </w:t>
      </w:r>
      <w:r>
        <w:rPr>
          <w:rFonts w:ascii="Calibri" w:hAnsi="Calibri"/>
        </w:rPr>
        <w:t>of</w:t>
      </w:r>
      <w:r>
        <w:rPr>
          <w:rFonts w:ascii="Calibri" w:hAnsi="Calibri"/>
          <w:spacing w:val="-13"/>
        </w:rPr>
        <w:t> </w:t>
      </w:r>
      <w:r>
        <w:rPr>
          <w:rFonts w:ascii="Calibri" w:hAnsi="Calibri"/>
        </w:rPr>
        <w:t>the</w:t>
      </w:r>
      <w:r>
        <w:rPr>
          <w:rFonts w:ascii="Calibri" w:hAnsi="Calibri"/>
          <w:spacing w:val="-14"/>
        </w:rPr>
        <w:t> </w:t>
      </w:r>
      <w:r>
        <w:rPr>
          <w:rFonts w:ascii="Calibri" w:hAnsi="Calibri"/>
        </w:rPr>
        <w:t>firm:</w:t>
      </w:r>
      <w:r>
        <w:rPr>
          <w:rFonts w:ascii="Calibri" w:hAnsi="Calibri"/>
          <w:spacing w:val="-13"/>
        </w:rPr>
        <w:t> </w:t>
      </w:r>
      <w:r>
        <w:rPr>
          <w:rFonts w:ascii="Calibri" w:hAnsi="Calibri"/>
        </w:rPr>
        <w:t>Managerial</w:t>
      </w:r>
      <w:r>
        <w:rPr>
          <w:rFonts w:ascii="Calibri" w:hAnsi="Calibri"/>
          <w:spacing w:val="-14"/>
        </w:rPr>
        <w:t> </w:t>
      </w:r>
      <w:r>
        <w:rPr>
          <w:rFonts w:ascii="Calibri" w:hAnsi="Calibri"/>
        </w:rPr>
        <w:t>behavior,</w:t>
      </w:r>
      <w:r>
        <w:rPr>
          <w:rFonts w:ascii="Calibri" w:hAnsi="Calibri"/>
          <w:spacing w:val="-13"/>
        </w:rPr>
        <w:t> </w:t>
      </w:r>
      <w:r>
        <w:rPr>
          <w:rFonts w:ascii="Calibri" w:hAnsi="Calibri"/>
        </w:rPr>
        <w:t>agency</w:t>
      </w:r>
      <w:r>
        <w:rPr>
          <w:rFonts w:ascii="Calibri" w:hAnsi="Calibri"/>
          <w:spacing w:val="-14"/>
        </w:rPr>
        <w:t> </w:t>
      </w:r>
      <w:r>
        <w:rPr>
          <w:rFonts w:ascii="Calibri" w:hAnsi="Calibri"/>
        </w:rPr>
        <w:t>costs and ownership structure. </w:t>
      </w:r>
      <w:r>
        <w:rPr>
          <w:rFonts w:ascii="Calibri" w:hAnsi="Calibri"/>
          <w:i/>
        </w:rPr>
        <w:t>Journal of Financial Economics</w:t>
      </w:r>
      <w:r>
        <w:rPr>
          <w:rFonts w:ascii="Calibri" w:hAnsi="Calibri"/>
        </w:rPr>
        <w:t>, </w:t>
      </w:r>
      <w:r>
        <w:rPr>
          <w:rFonts w:ascii="Calibri" w:hAnsi="Calibri"/>
          <w:i/>
        </w:rPr>
        <w:t>3</w:t>
      </w:r>
      <w:r>
        <w:rPr>
          <w:rFonts w:ascii="Calibri" w:hAnsi="Calibri"/>
        </w:rPr>
        <w:t>(4), 305–360. </w:t>
      </w:r>
      <w:r>
        <w:rPr>
          <w:rFonts w:ascii="Calibri" w:hAnsi="Calibri"/>
          <w:spacing w:val="-2"/>
        </w:rPr>
        <w:t>https://doi.org/10.1016/0304-405X(76)90026-X</w:t>
      </w:r>
    </w:p>
    <w:p>
      <w:pPr>
        <w:spacing w:line="360" w:lineRule="auto" w:before="0"/>
        <w:ind w:left="743" w:right="17" w:hanging="720"/>
        <w:jc w:val="both"/>
        <w:rPr>
          <w:rFonts w:ascii="Calibri" w:hAnsi="Calibri"/>
          <w:sz w:val="24"/>
        </w:rPr>
      </w:pPr>
      <w:r>
        <w:rPr>
          <w:rFonts w:ascii="Calibri" w:hAnsi="Calibri"/>
          <w:sz w:val="24"/>
        </w:rPr>
        <w:t>Kalyani, B., &amp; Lakshmi, B. (2015). Private Equity in India: A Special Reference to Healthcare Sector.</w:t>
      </w:r>
      <w:r>
        <w:rPr>
          <w:rFonts w:ascii="Calibri" w:hAnsi="Calibri"/>
          <w:spacing w:val="76"/>
          <w:w w:val="150"/>
          <w:sz w:val="24"/>
        </w:rPr>
        <w:t>   </w:t>
      </w:r>
      <w:r>
        <w:rPr>
          <w:rFonts w:ascii="Calibri" w:hAnsi="Calibri"/>
          <w:i/>
          <w:sz w:val="24"/>
        </w:rPr>
        <w:t>Indian</w:t>
      </w:r>
      <w:r>
        <w:rPr>
          <w:rFonts w:ascii="Calibri" w:hAnsi="Calibri"/>
          <w:i/>
          <w:spacing w:val="77"/>
          <w:w w:val="150"/>
          <w:sz w:val="24"/>
        </w:rPr>
        <w:t>   </w:t>
      </w:r>
      <w:r>
        <w:rPr>
          <w:rFonts w:ascii="Calibri" w:hAnsi="Calibri"/>
          <w:i/>
          <w:sz w:val="24"/>
        </w:rPr>
        <w:t>Journal</w:t>
      </w:r>
      <w:r>
        <w:rPr>
          <w:rFonts w:ascii="Calibri" w:hAnsi="Calibri"/>
          <w:i/>
          <w:spacing w:val="77"/>
          <w:w w:val="150"/>
          <w:sz w:val="24"/>
        </w:rPr>
        <w:t>   </w:t>
      </w:r>
      <w:r>
        <w:rPr>
          <w:rFonts w:ascii="Calibri" w:hAnsi="Calibri"/>
          <w:i/>
          <w:sz w:val="24"/>
        </w:rPr>
        <w:t>of</w:t>
      </w:r>
      <w:r>
        <w:rPr>
          <w:rFonts w:ascii="Calibri" w:hAnsi="Calibri"/>
          <w:i/>
          <w:spacing w:val="77"/>
          <w:w w:val="150"/>
          <w:sz w:val="24"/>
        </w:rPr>
        <w:t>   </w:t>
      </w:r>
      <w:r>
        <w:rPr>
          <w:rFonts w:ascii="Calibri" w:hAnsi="Calibri"/>
          <w:i/>
          <w:sz w:val="24"/>
        </w:rPr>
        <w:t>Applied</w:t>
      </w:r>
      <w:r>
        <w:rPr>
          <w:rFonts w:ascii="Calibri" w:hAnsi="Calibri"/>
          <w:i/>
          <w:spacing w:val="78"/>
          <w:w w:val="150"/>
          <w:sz w:val="24"/>
        </w:rPr>
        <w:t>   </w:t>
      </w:r>
      <w:r>
        <w:rPr>
          <w:rFonts w:ascii="Calibri" w:hAnsi="Calibri"/>
          <w:i/>
          <w:sz w:val="24"/>
        </w:rPr>
        <w:t>Research</w:t>
      </w:r>
      <w:r>
        <w:rPr>
          <w:rFonts w:ascii="Calibri" w:hAnsi="Calibri"/>
          <w:sz w:val="24"/>
        </w:rPr>
        <w:t>,</w:t>
      </w:r>
      <w:r>
        <w:rPr>
          <w:rFonts w:ascii="Calibri" w:hAnsi="Calibri"/>
          <w:spacing w:val="77"/>
          <w:w w:val="150"/>
          <w:sz w:val="24"/>
        </w:rPr>
        <w:t>   </w:t>
      </w:r>
      <w:r>
        <w:rPr>
          <w:rFonts w:ascii="Calibri" w:hAnsi="Calibri"/>
          <w:i/>
          <w:sz w:val="24"/>
        </w:rPr>
        <w:t>4</w:t>
      </w:r>
      <w:r>
        <w:rPr>
          <w:rFonts w:ascii="Calibri" w:hAnsi="Calibri"/>
          <w:sz w:val="24"/>
        </w:rPr>
        <w:t>,</w:t>
      </w:r>
      <w:r>
        <w:rPr>
          <w:rFonts w:ascii="Calibri" w:hAnsi="Calibri"/>
          <w:spacing w:val="76"/>
          <w:w w:val="150"/>
          <w:sz w:val="24"/>
        </w:rPr>
        <w:t>   </w:t>
      </w:r>
      <w:r>
        <w:rPr>
          <w:rFonts w:ascii="Calibri" w:hAnsi="Calibri"/>
          <w:spacing w:val="-2"/>
          <w:sz w:val="24"/>
        </w:rPr>
        <w:t>305–308.</w:t>
      </w:r>
    </w:p>
    <w:p>
      <w:pPr>
        <w:spacing w:after="0" w:line="360" w:lineRule="auto"/>
        <w:jc w:val="both"/>
        <w:rPr>
          <w:rFonts w:ascii="Calibri" w:hAnsi="Calibri"/>
          <w:sz w:val="24"/>
        </w:rPr>
        <w:sectPr>
          <w:pgSz w:w="11910" w:h="16840"/>
          <w:pgMar w:header="0" w:footer="1009" w:top="1380" w:bottom="1200" w:left="1417" w:right="1417"/>
        </w:sectPr>
      </w:pPr>
    </w:p>
    <w:p>
      <w:pPr>
        <w:pStyle w:val="BodyText"/>
        <w:spacing w:line="360" w:lineRule="auto" w:before="41"/>
        <w:ind w:left="743" w:right="850"/>
        <w:rPr>
          <w:rFonts w:ascii="Calibri"/>
        </w:rPr>
      </w:pPr>
      <w:r>
        <w:rPr>
          <w:rFonts w:ascii="Calibri"/>
          <w:spacing w:val="-2"/>
        </w:rPr>
        <w:t>https://consensus.app/papers/private-equity-in-india-a-special-reference-to- healthcare-kalyani-lakshmi/bb305b28fb36507392daee6fdce4e631/</w:t>
      </w:r>
    </w:p>
    <w:p>
      <w:pPr>
        <w:spacing w:line="360" w:lineRule="auto" w:before="0"/>
        <w:ind w:left="743" w:right="20" w:hanging="720"/>
        <w:jc w:val="both"/>
        <w:rPr>
          <w:rFonts w:ascii="Calibri" w:hAnsi="Calibri"/>
          <w:sz w:val="24"/>
        </w:rPr>
      </w:pPr>
      <w:r>
        <w:rPr>
          <w:rFonts w:ascii="Calibri" w:hAnsi="Calibri"/>
          <w:sz w:val="24"/>
        </w:rPr>
        <w:t>Kaplan, S. N., &amp; Strömberg, P. (2009). Leveraged Buyouts and Private Equity. </w:t>
      </w:r>
      <w:r>
        <w:rPr>
          <w:rFonts w:ascii="Calibri" w:hAnsi="Calibri"/>
          <w:i/>
          <w:sz w:val="24"/>
        </w:rPr>
        <w:t>Journal of Economic Perspectives</w:t>
      </w:r>
      <w:r>
        <w:rPr>
          <w:rFonts w:ascii="Calibri" w:hAnsi="Calibri"/>
          <w:sz w:val="24"/>
        </w:rPr>
        <w:t>, </w:t>
      </w:r>
      <w:r>
        <w:rPr>
          <w:rFonts w:ascii="Calibri" w:hAnsi="Calibri"/>
          <w:i/>
          <w:sz w:val="24"/>
        </w:rPr>
        <w:t>23</w:t>
      </w:r>
      <w:r>
        <w:rPr>
          <w:rFonts w:ascii="Calibri" w:hAnsi="Calibri"/>
          <w:sz w:val="24"/>
        </w:rPr>
        <w:t>(1), 121–146. https://doi.org/10.1257/jep.23.1.121</w:t>
      </w:r>
    </w:p>
    <w:p>
      <w:pPr>
        <w:spacing w:line="362" w:lineRule="auto" w:before="0"/>
        <w:ind w:left="743" w:right="16" w:hanging="720"/>
        <w:jc w:val="both"/>
        <w:rPr>
          <w:rFonts w:ascii="Calibri" w:hAnsi="Calibri"/>
          <w:sz w:val="24"/>
        </w:rPr>
      </w:pPr>
      <w:r>
        <w:rPr>
          <w:rFonts w:ascii="Calibri" w:hAnsi="Calibri"/>
          <w:sz w:val="24"/>
        </w:rPr>
        <w:t>Klonowski, D. (2012). </w:t>
      </w:r>
      <w:r>
        <w:rPr>
          <w:rFonts w:ascii="Calibri" w:hAnsi="Calibri"/>
          <w:i/>
          <w:sz w:val="24"/>
        </w:rPr>
        <w:t>Private Equity in India in the Context of Emerging Asia</w:t>
      </w:r>
      <w:r>
        <w:rPr>
          <w:rFonts w:ascii="Calibri" w:hAnsi="Calibri"/>
          <w:sz w:val="24"/>
        </w:rPr>
        <w:t>. 241–248. </w:t>
      </w:r>
      <w:r>
        <w:rPr>
          <w:rFonts w:ascii="Calibri" w:hAnsi="Calibri"/>
          <w:spacing w:val="-2"/>
          <w:sz w:val="24"/>
        </w:rPr>
        <w:t>https://doi.org/10.1057/9781137309433_21</w:t>
      </w:r>
    </w:p>
    <w:p>
      <w:pPr>
        <w:pStyle w:val="BodyText"/>
        <w:spacing w:line="360" w:lineRule="auto"/>
        <w:ind w:left="743" w:right="13" w:hanging="720"/>
        <w:jc w:val="both"/>
        <w:rPr>
          <w:rFonts w:ascii="Calibri" w:hAnsi="Calibri"/>
        </w:rPr>
      </w:pPr>
      <w:r>
        <w:rPr>
          <w:rFonts w:ascii="Calibri" w:hAnsi="Calibri"/>
        </w:rPr>
        <w:t>Kumar,</w:t>
      </w:r>
      <w:r>
        <w:rPr>
          <w:rFonts w:ascii="Calibri" w:hAnsi="Calibri"/>
          <w:spacing w:val="-3"/>
        </w:rPr>
        <w:t> </w:t>
      </w:r>
      <w:r>
        <w:rPr>
          <w:rFonts w:ascii="Calibri" w:hAnsi="Calibri"/>
        </w:rPr>
        <w:t>R.,</w:t>
      </w:r>
      <w:r>
        <w:rPr>
          <w:rFonts w:ascii="Calibri" w:hAnsi="Calibri"/>
          <w:spacing w:val="-6"/>
        </w:rPr>
        <w:t> </w:t>
      </w:r>
      <w:r>
        <w:rPr>
          <w:rFonts w:ascii="Calibri" w:hAnsi="Calibri"/>
        </w:rPr>
        <w:t>&amp;</w:t>
      </w:r>
      <w:r>
        <w:rPr>
          <w:rFonts w:ascii="Calibri" w:hAnsi="Calibri"/>
          <w:spacing w:val="-3"/>
        </w:rPr>
        <w:t> </w:t>
      </w:r>
      <w:r>
        <w:rPr>
          <w:rFonts w:ascii="Calibri" w:hAnsi="Calibri"/>
        </w:rPr>
        <w:t>Firoz,</w:t>
      </w:r>
      <w:r>
        <w:rPr>
          <w:rFonts w:ascii="Calibri" w:hAnsi="Calibri"/>
          <w:spacing w:val="-5"/>
        </w:rPr>
        <w:t> </w:t>
      </w:r>
      <w:r>
        <w:rPr>
          <w:rFonts w:ascii="Calibri" w:hAnsi="Calibri"/>
        </w:rPr>
        <w:t>M.</w:t>
      </w:r>
      <w:r>
        <w:rPr>
          <w:rFonts w:ascii="Calibri" w:hAnsi="Calibri"/>
          <w:spacing w:val="-4"/>
        </w:rPr>
        <w:t> </w:t>
      </w:r>
      <w:r>
        <w:rPr>
          <w:rFonts w:ascii="Calibri" w:hAnsi="Calibri"/>
        </w:rPr>
        <w:t>(2020).</w:t>
      </w:r>
      <w:r>
        <w:rPr>
          <w:rFonts w:ascii="Calibri" w:hAnsi="Calibri"/>
          <w:spacing w:val="-4"/>
        </w:rPr>
        <w:t> </w:t>
      </w:r>
      <w:r>
        <w:rPr>
          <w:rFonts w:ascii="Calibri" w:hAnsi="Calibri"/>
        </w:rPr>
        <w:t>Venture</w:t>
      </w:r>
      <w:r>
        <w:rPr>
          <w:rFonts w:ascii="Calibri" w:hAnsi="Calibri"/>
          <w:spacing w:val="-5"/>
        </w:rPr>
        <w:t> </w:t>
      </w:r>
      <w:r>
        <w:rPr>
          <w:rFonts w:ascii="Calibri" w:hAnsi="Calibri"/>
        </w:rPr>
        <w:t>Capital:</w:t>
      </w:r>
      <w:r>
        <w:rPr>
          <w:rFonts w:ascii="Calibri" w:hAnsi="Calibri"/>
          <w:spacing w:val="-5"/>
        </w:rPr>
        <w:t> </w:t>
      </w:r>
      <w:r>
        <w:rPr>
          <w:rFonts w:ascii="Calibri" w:hAnsi="Calibri"/>
        </w:rPr>
        <w:t>An</w:t>
      </w:r>
      <w:r>
        <w:rPr>
          <w:rFonts w:ascii="Calibri" w:hAnsi="Calibri"/>
          <w:spacing w:val="-4"/>
        </w:rPr>
        <w:t> </w:t>
      </w:r>
      <w:r>
        <w:rPr>
          <w:rFonts w:ascii="Calibri" w:hAnsi="Calibri"/>
        </w:rPr>
        <w:t>Analysis</w:t>
      </w:r>
      <w:r>
        <w:rPr>
          <w:rFonts w:ascii="Calibri" w:hAnsi="Calibri"/>
          <w:spacing w:val="-3"/>
        </w:rPr>
        <w:t> </w:t>
      </w:r>
      <w:r>
        <w:rPr>
          <w:rFonts w:ascii="Calibri" w:hAnsi="Calibri"/>
        </w:rPr>
        <w:t>of</w:t>
      </w:r>
      <w:r>
        <w:rPr>
          <w:rFonts w:ascii="Calibri" w:hAnsi="Calibri"/>
          <w:spacing w:val="-2"/>
        </w:rPr>
        <w:t> </w:t>
      </w:r>
      <w:r>
        <w:rPr>
          <w:rFonts w:ascii="Calibri" w:hAnsi="Calibri"/>
        </w:rPr>
        <w:t>Investment</w:t>
      </w:r>
      <w:r>
        <w:rPr>
          <w:rFonts w:ascii="Calibri" w:hAnsi="Calibri"/>
          <w:spacing w:val="-4"/>
        </w:rPr>
        <w:t> </w:t>
      </w:r>
      <w:r>
        <w:rPr>
          <w:rFonts w:ascii="Calibri" w:hAnsi="Calibri"/>
        </w:rPr>
        <w:t>and</w:t>
      </w:r>
      <w:r>
        <w:rPr>
          <w:rFonts w:ascii="Calibri" w:hAnsi="Calibri"/>
          <w:spacing w:val="-4"/>
        </w:rPr>
        <w:t> </w:t>
      </w:r>
      <w:r>
        <w:rPr>
          <w:rFonts w:ascii="Calibri" w:hAnsi="Calibri"/>
        </w:rPr>
        <w:t>Exit</w:t>
      </w:r>
      <w:r>
        <w:rPr>
          <w:rFonts w:ascii="Calibri" w:hAnsi="Calibri"/>
          <w:spacing w:val="-4"/>
        </w:rPr>
        <w:t> </w:t>
      </w:r>
      <w:r>
        <w:rPr>
          <w:rFonts w:ascii="Calibri" w:hAnsi="Calibri"/>
        </w:rPr>
        <w:t>Patterns</w:t>
      </w:r>
      <w:r>
        <w:rPr>
          <w:rFonts w:ascii="Calibri" w:hAnsi="Calibri"/>
          <w:spacing w:val="-6"/>
        </w:rPr>
        <w:t> </w:t>
      </w:r>
      <w:r>
        <w:rPr>
          <w:rFonts w:ascii="Calibri" w:hAnsi="Calibri"/>
        </w:rPr>
        <w:t>of Indian Firms. </w:t>
      </w:r>
      <w:r>
        <w:rPr>
          <w:rFonts w:ascii="Calibri" w:hAnsi="Calibri"/>
          <w:i/>
        </w:rPr>
        <w:t>The Journal of Alternative Investments</w:t>
      </w:r>
      <w:r>
        <w:rPr>
          <w:rFonts w:ascii="Calibri" w:hAnsi="Calibri"/>
        </w:rPr>
        <w:t>, </w:t>
      </w:r>
      <w:r>
        <w:rPr>
          <w:rFonts w:ascii="Calibri" w:hAnsi="Calibri"/>
          <w:i/>
        </w:rPr>
        <w:t>23</w:t>
      </w:r>
      <w:r>
        <w:rPr>
          <w:rFonts w:ascii="Calibri" w:hAnsi="Calibri"/>
        </w:rPr>
        <w:t>(3), 45–54. </w:t>
      </w:r>
      <w:r>
        <w:rPr>
          <w:rFonts w:ascii="Calibri" w:hAnsi="Calibri"/>
          <w:spacing w:val="-2"/>
        </w:rPr>
        <w:t>https://doi.org/10.3905/jai.2020.1.113</w:t>
      </w:r>
    </w:p>
    <w:p>
      <w:pPr>
        <w:pStyle w:val="BodyText"/>
        <w:spacing w:line="360" w:lineRule="auto"/>
        <w:ind w:left="743" w:right="18" w:hanging="720"/>
        <w:jc w:val="both"/>
        <w:rPr>
          <w:rFonts w:ascii="Calibri"/>
        </w:rPr>
      </w:pPr>
      <w:r>
        <w:rPr>
          <w:rFonts w:ascii="Calibri"/>
        </w:rPr>
        <w:t>Kumar, R., &amp; Firoz, M. (2023). Private Equity Firm Performance: An Empirical Evidence From India Using Benchmark Index. </w:t>
      </w:r>
      <w:r>
        <w:rPr>
          <w:rFonts w:ascii="Calibri"/>
          <w:i/>
        </w:rPr>
        <w:t>Global Business Review</w:t>
      </w:r>
      <w:r>
        <w:rPr>
          <w:rFonts w:ascii="Calibri"/>
        </w:rPr>
        <w:t>. </w:t>
      </w:r>
      <w:r>
        <w:rPr>
          <w:rFonts w:ascii="Calibri"/>
          <w:spacing w:val="-2"/>
        </w:rPr>
        <w:t>https://doi.org/10.1177/09721509221149591</w:t>
      </w:r>
    </w:p>
    <w:p>
      <w:pPr>
        <w:spacing w:line="360" w:lineRule="auto" w:before="0"/>
        <w:ind w:left="23" w:right="26" w:firstLine="0"/>
        <w:jc w:val="both"/>
        <w:rPr>
          <w:rFonts w:ascii="Calibri"/>
          <w:sz w:val="24"/>
        </w:rPr>
      </w:pPr>
      <w:r>
        <w:rPr>
          <w:rFonts w:ascii="Calibri"/>
          <w:sz w:val="24"/>
        </w:rPr>
        <w:t>Majumdar, A. B. (2020). </w:t>
      </w:r>
      <w:r>
        <w:rPr>
          <w:rFonts w:ascii="Calibri"/>
          <w:i/>
          <w:sz w:val="24"/>
        </w:rPr>
        <w:t>The (Un?)Enforceability of Investor Rights in Indian Private Equity</w:t>
      </w:r>
      <w:r>
        <w:rPr>
          <w:rFonts w:ascii="Calibri"/>
          <w:sz w:val="24"/>
        </w:rPr>
        <w:t>. Malik,</w:t>
      </w:r>
      <w:r>
        <w:rPr>
          <w:rFonts w:ascii="Calibri"/>
          <w:spacing w:val="27"/>
          <w:sz w:val="24"/>
        </w:rPr>
        <w:t> </w:t>
      </w:r>
      <w:r>
        <w:rPr>
          <w:rFonts w:ascii="Calibri"/>
          <w:sz w:val="24"/>
        </w:rPr>
        <w:t>K.,</w:t>
      </w:r>
      <w:r>
        <w:rPr>
          <w:rFonts w:ascii="Calibri"/>
          <w:spacing w:val="26"/>
          <w:sz w:val="24"/>
        </w:rPr>
        <w:t> </w:t>
      </w:r>
      <w:r>
        <w:rPr>
          <w:rFonts w:ascii="Calibri"/>
          <w:sz w:val="24"/>
        </w:rPr>
        <w:t>&amp;</w:t>
      </w:r>
      <w:r>
        <w:rPr>
          <w:rFonts w:ascii="Calibri"/>
          <w:spacing w:val="28"/>
          <w:sz w:val="24"/>
        </w:rPr>
        <w:t> </w:t>
      </w:r>
      <w:r>
        <w:rPr>
          <w:rFonts w:ascii="Calibri"/>
          <w:sz w:val="24"/>
        </w:rPr>
        <w:t>Motwani,</w:t>
      </w:r>
      <w:r>
        <w:rPr>
          <w:rFonts w:ascii="Calibri"/>
          <w:spacing w:val="27"/>
          <w:sz w:val="24"/>
        </w:rPr>
        <w:t> </w:t>
      </w:r>
      <w:r>
        <w:rPr>
          <w:rFonts w:ascii="Calibri"/>
          <w:sz w:val="24"/>
        </w:rPr>
        <w:t>S.</w:t>
      </w:r>
      <w:r>
        <w:rPr>
          <w:rFonts w:ascii="Calibri"/>
          <w:spacing w:val="26"/>
          <w:sz w:val="24"/>
        </w:rPr>
        <w:t> </w:t>
      </w:r>
      <w:r>
        <w:rPr>
          <w:rFonts w:ascii="Calibri"/>
          <w:sz w:val="24"/>
        </w:rPr>
        <w:t>(2024).</w:t>
      </w:r>
      <w:r>
        <w:rPr>
          <w:rFonts w:ascii="Calibri"/>
          <w:spacing w:val="26"/>
          <w:sz w:val="24"/>
        </w:rPr>
        <w:t> </w:t>
      </w:r>
      <w:r>
        <w:rPr>
          <w:rFonts w:ascii="Calibri"/>
          <w:sz w:val="24"/>
        </w:rPr>
        <w:t>Venture</w:t>
      </w:r>
      <w:r>
        <w:rPr>
          <w:rFonts w:ascii="Calibri"/>
          <w:spacing w:val="27"/>
          <w:sz w:val="24"/>
        </w:rPr>
        <w:t> </w:t>
      </w:r>
      <w:r>
        <w:rPr>
          <w:rFonts w:ascii="Calibri"/>
          <w:sz w:val="24"/>
        </w:rPr>
        <w:t>Capital</w:t>
      </w:r>
      <w:r>
        <w:rPr>
          <w:rFonts w:ascii="Calibri"/>
          <w:spacing w:val="27"/>
          <w:sz w:val="24"/>
        </w:rPr>
        <w:t> </w:t>
      </w:r>
      <w:r>
        <w:rPr>
          <w:rFonts w:ascii="Calibri"/>
          <w:sz w:val="24"/>
        </w:rPr>
        <w:t>Takes</w:t>
      </w:r>
      <w:r>
        <w:rPr>
          <w:rFonts w:ascii="Calibri"/>
          <w:spacing w:val="27"/>
          <w:sz w:val="24"/>
        </w:rPr>
        <w:t> </w:t>
      </w:r>
      <w:r>
        <w:rPr>
          <w:rFonts w:ascii="Calibri"/>
          <w:sz w:val="24"/>
        </w:rPr>
        <w:t>Centre</w:t>
      </w:r>
      <w:r>
        <w:rPr>
          <w:rFonts w:ascii="Calibri"/>
          <w:spacing w:val="27"/>
          <w:sz w:val="24"/>
        </w:rPr>
        <w:t> </w:t>
      </w:r>
      <w:r>
        <w:rPr>
          <w:rFonts w:ascii="Calibri"/>
          <w:sz w:val="24"/>
        </w:rPr>
        <w:t>Stage:</w:t>
      </w:r>
      <w:r>
        <w:rPr>
          <w:rFonts w:ascii="Calibri"/>
          <w:spacing w:val="27"/>
          <w:sz w:val="24"/>
        </w:rPr>
        <w:t> </w:t>
      </w:r>
      <w:r>
        <w:rPr>
          <w:rFonts w:ascii="Calibri"/>
          <w:sz w:val="24"/>
        </w:rPr>
        <w:t>Exploring</w:t>
      </w:r>
      <w:r>
        <w:rPr>
          <w:rFonts w:ascii="Calibri"/>
          <w:spacing w:val="26"/>
          <w:sz w:val="24"/>
        </w:rPr>
        <w:t> </w:t>
      </w:r>
      <w:r>
        <w:rPr>
          <w:rFonts w:ascii="Calibri"/>
          <w:sz w:val="24"/>
        </w:rPr>
        <w:t>Its</w:t>
      </w:r>
      <w:r>
        <w:rPr>
          <w:rFonts w:ascii="Calibri"/>
          <w:spacing w:val="26"/>
          <w:sz w:val="24"/>
        </w:rPr>
        <w:t> </w:t>
      </w:r>
      <w:r>
        <w:rPr>
          <w:rFonts w:ascii="Calibri"/>
          <w:sz w:val="24"/>
        </w:rPr>
        <w:t>Role</w:t>
      </w:r>
      <w:r>
        <w:rPr>
          <w:rFonts w:ascii="Calibri"/>
          <w:spacing w:val="28"/>
          <w:sz w:val="24"/>
        </w:rPr>
        <w:t> </w:t>
      </w:r>
      <w:r>
        <w:rPr>
          <w:rFonts w:ascii="Calibri"/>
          <w:sz w:val="24"/>
        </w:rPr>
        <w:t>in</w:t>
      </w:r>
    </w:p>
    <w:p>
      <w:pPr>
        <w:spacing w:line="362" w:lineRule="auto" w:before="0"/>
        <w:ind w:left="743" w:right="16" w:firstLine="0"/>
        <w:jc w:val="both"/>
        <w:rPr>
          <w:rFonts w:ascii="Calibri" w:hAnsi="Calibri"/>
          <w:sz w:val="24"/>
        </w:rPr>
      </w:pPr>
      <w:r>
        <w:rPr>
          <w:rFonts w:ascii="Calibri" w:hAnsi="Calibri"/>
          <w:sz w:val="24"/>
        </w:rPr>
        <w:t>Today’s Financial Ecosystem. </w:t>
      </w:r>
      <w:r>
        <w:rPr>
          <w:rFonts w:ascii="Calibri" w:hAnsi="Calibri"/>
          <w:i/>
          <w:sz w:val="24"/>
        </w:rPr>
        <w:t>Management Practice Insights</w:t>
      </w:r>
      <w:r>
        <w:rPr>
          <w:rFonts w:ascii="Calibri" w:hAnsi="Calibri"/>
          <w:sz w:val="24"/>
        </w:rPr>
        <w:t>, </w:t>
      </w:r>
      <w:r>
        <w:rPr>
          <w:rFonts w:ascii="Calibri" w:hAnsi="Calibri"/>
          <w:i/>
          <w:sz w:val="24"/>
        </w:rPr>
        <w:t>2</w:t>
      </w:r>
      <w:r>
        <w:rPr>
          <w:rFonts w:ascii="Calibri" w:hAnsi="Calibri"/>
          <w:sz w:val="24"/>
        </w:rPr>
        <w:t>(2), 65–68. </w:t>
      </w:r>
      <w:r>
        <w:rPr>
          <w:rFonts w:ascii="Calibri" w:hAnsi="Calibri"/>
          <w:spacing w:val="-2"/>
          <w:sz w:val="24"/>
        </w:rPr>
        <w:t>https://doi.org/10.59571/mpi.v2i2.6</w:t>
      </w:r>
    </w:p>
    <w:p>
      <w:pPr>
        <w:pStyle w:val="BodyText"/>
        <w:tabs>
          <w:tab w:pos="2564" w:val="left" w:leader="none"/>
          <w:tab w:pos="3626" w:val="left" w:leader="none"/>
          <w:tab w:pos="5130" w:val="left" w:leader="none"/>
          <w:tab w:pos="6903" w:val="left" w:leader="none"/>
          <w:tab w:pos="7899" w:val="left" w:leader="none"/>
        </w:tabs>
        <w:spacing w:line="360" w:lineRule="auto"/>
        <w:ind w:left="743" w:right="17" w:hanging="720"/>
        <w:jc w:val="both"/>
        <w:rPr>
          <w:rFonts w:ascii="Calibri" w:hAnsi="Calibri"/>
        </w:rPr>
      </w:pPr>
      <w:r>
        <w:rPr>
          <w:rFonts w:ascii="Calibri" w:hAnsi="Calibri"/>
        </w:rPr>
        <w:t>Naz, M., Ali, R., Rehman, R., &amp; Ntim, C. (2021). Corporate governance, working capital management, and firm performance: Some new insights from agency theory. </w:t>
      </w:r>
      <w:r>
        <w:rPr>
          <w:rFonts w:ascii="Calibri" w:hAnsi="Calibri"/>
          <w:i/>
          <w:spacing w:val="-2"/>
        </w:rPr>
        <w:t>Managerial</w:t>
      </w:r>
      <w:r>
        <w:rPr>
          <w:rFonts w:ascii="Calibri" w:hAnsi="Calibri"/>
          <w:i/>
        </w:rPr>
        <w:tab/>
      </w:r>
      <w:r>
        <w:rPr>
          <w:rFonts w:ascii="Calibri" w:hAnsi="Calibri"/>
          <w:i/>
          <w:spacing w:val="-4"/>
        </w:rPr>
        <w:t>and</w:t>
      </w:r>
      <w:r>
        <w:rPr>
          <w:rFonts w:ascii="Calibri" w:hAnsi="Calibri"/>
          <w:i/>
        </w:rPr>
        <w:tab/>
      </w:r>
      <w:r>
        <w:rPr>
          <w:rFonts w:ascii="Calibri" w:hAnsi="Calibri"/>
          <w:i/>
          <w:spacing w:val="-2"/>
        </w:rPr>
        <w:t>Decision</w:t>
      </w:r>
      <w:r>
        <w:rPr>
          <w:rFonts w:ascii="Calibri" w:hAnsi="Calibri"/>
          <w:i/>
        </w:rPr>
        <w:tab/>
      </w:r>
      <w:r>
        <w:rPr>
          <w:rFonts w:ascii="Calibri" w:hAnsi="Calibri"/>
          <w:i/>
          <w:spacing w:val="-2"/>
        </w:rPr>
        <w:t>Economics</w:t>
      </w:r>
      <w:r>
        <w:rPr>
          <w:rFonts w:ascii="Calibri" w:hAnsi="Calibri"/>
          <w:spacing w:val="-2"/>
        </w:rPr>
        <w:t>,</w:t>
      </w:r>
      <w:r>
        <w:rPr>
          <w:rFonts w:ascii="Calibri" w:hAnsi="Calibri"/>
        </w:rPr>
        <w:tab/>
      </w:r>
      <w:r>
        <w:rPr>
          <w:rFonts w:ascii="Calibri" w:hAnsi="Calibri"/>
          <w:i/>
          <w:spacing w:val="-4"/>
        </w:rPr>
        <w:t>43</w:t>
      </w:r>
      <w:r>
        <w:rPr>
          <w:rFonts w:ascii="Calibri" w:hAnsi="Calibri"/>
          <w:spacing w:val="-4"/>
        </w:rPr>
        <w:t>,</w:t>
      </w:r>
      <w:r>
        <w:rPr>
          <w:rFonts w:ascii="Calibri" w:hAnsi="Calibri"/>
        </w:rPr>
        <w:tab/>
      </w:r>
      <w:r>
        <w:rPr>
          <w:rFonts w:ascii="Calibri" w:hAnsi="Calibri"/>
          <w:spacing w:val="-2"/>
        </w:rPr>
        <w:t>1448–1461. https://doi.org/10.1002/mde.3466</w:t>
      </w:r>
    </w:p>
    <w:p>
      <w:pPr>
        <w:spacing w:line="360" w:lineRule="auto" w:before="0"/>
        <w:ind w:left="743" w:right="17" w:hanging="720"/>
        <w:jc w:val="both"/>
        <w:rPr>
          <w:rFonts w:ascii="Calibri"/>
          <w:sz w:val="24"/>
        </w:rPr>
      </w:pPr>
      <w:r>
        <w:rPr>
          <w:rFonts w:ascii="Calibri"/>
          <w:sz w:val="24"/>
        </w:rPr>
        <w:t>Neerza,</w:t>
      </w:r>
      <w:r>
        <w:rPr>
          <w:rFonts w:ascii="Calibri"/>
          <w:spacing w:val="-5"/>
          <w:sz w:val="24"/>
        </w:rPr>
        <w:t> </w:t>
      </w:r>
      <w:r>
        <w:rPr>
          <w:rFonts w:ascii="Calibri"/>
          <w:sz w:val="24"/>
        </w:rPr>
        <w:t>N.,</w:t>
      </w:r>
      <w:r>
        <w:rPr>
          <w:rFonts w:ascii="Calibri"/>
          <w:spacing w:val="-3"/>
          <w:sz w:val="24"/>
        </w:rPr>
        <w:t> </w:t>
      </w:r>
      <w:r>
        <w:rPr>
          <w:rFonts w:ascii="Calibri"/>
          <w:sz w:val="24"/>
        </w:rPr>
        <w:t>&amp;</w:t>
      </w:r>
      <w:r>
        <w:rPr>
          <w:rFonts w:ascii="Calibri"/>
          <w:spacing w:val="-3"/>
          <w:sz w:val="24"/>
        </w:rPr>
        <w:t> </w:t>
      </w:r>
      <w:r>
        <w:rPr>
          <w:rFonts w:ascii="Calibri"/>
          <w:sz w:val="24"/>
        </w:rPr>
        <w:t>Tripathi,</w:t>
      </w:r>
      <w:r>
        <w:rPr>
          <w:rFonts w:ascii="Calibri"/>
          <w:spacing w:val="-3"/>
          <w:sz w:val="24"/>
        </w:rPr>
        <w:t> </w:t>
      </w:r>
      <w:r>
        <w:rPr>
          <w:rFonts w:ascii="Calibri"/>
          <w:sz w:val="24"/>
        </w:rPr>
        <w:t>V.</w:t>
      </w:r>
      <w:r>
        <w:rPr>
          <w:rFonts w:ascii="Calibri"/>
          <w:spacing w:val="-6"/>
          <w:sz w:val="24"/>
        </w:rPr>
        <w:t> </w:t>
      </w:r>
      <w:r>
        <w:rPr>
          <w:rFonts w:ascii="Calibri"/>
          <w:sz w:val="24"/>
        </w:rPr>
        <w:t>(2019).</w:t>
      </w:r>
      <w:r>
        <w:rPr>
          <w:rFonts w:ascii="Calibri"/>
          <w:spacing w:val="-4"/>
          <w:sz w:val="24"/>
        </w:rPr>
        <w:t> </w:t>
      </w:r>
      <w:r>
        <w:rPr>
          <w:rFonts w:ascii="Calibri"/>
          <w:sz w:val="24"/>
        </w:rPr>
        <w:t>Determinants</w:t>
      </w:r>
      <w:r>
        <w:rPr>
          <w:rFonts w:ascii="Calibri"/>
          <w:spacing w:val="-3"/>
          <w:sz w:val="24"/>
        </w:rPr>
        <w:t> </w:t>
      </w:r>
      <w:r>
        <w:rPr>
          <w:rFonts w:ascii="Calibri"/>
          <w:sz w:val="24"/>
        </w:rPr>
        <w:t>of</w:t>
      </w:r>
      <w:r>
        <w:rPr>
          <w:rFonts w:ascii="Calibri"/>
          <w:spacing w:val="-4"/>
          <w:sz w:val="24"/>
        </w:rPr>
        <w:t> </w:t>
      </w:r>
      <w:r>
        <w:rPr>
          <w:rFonts w:ascii="Calibri"/>
          <w:sz w:val="24"/>
        </w:rPr>
        <w:t>private</w:t>
      </w:r>
      <w:r>
        <w:rPr>
          <w:rFonts w:ascii="Calibri"/>
          <w:spacing w:val="-2"/>
          <w:sz w:val="24"/>
        </w:rPr>
        <w:t> </w:t>
      </w:r>
      <w:r>
        <w:rPr>
          <w:rFonts w:ascii="Calibri"/>
          <w:sz w:val="24"/>
        </w:rPr>
        <w:t>equity</w:t>
      </w:r>
      <w:r>
        <w:rPr>
          <w:rFonts w:ascii="Calibri"/>
          <w:spacing w:val="-4"/>
          <w:sz w:val="24"/>
        </w:rPr>
        <w:t> </w:t>
      </w:r>
      <w:r>
        <w:rPr>
          <w:rFonts w:ascii="Calibri"/>
          <w:sz w:val="24"/>
        </w:rPr>
        <w:t>investment</w:t>
      </w:r>
      <w:r>
        <w:rPr>
          <w:rFonts w:ascii="Calibri"/>
          <w:spacing w:val="-4"/>
          <w:sz w:val="24"/>
        </w:rPr>
        <w:t> </w:t>
      </w:r>
      <w:r>
        <w:rPr>
          <w:rFonts w:ascii="Calibri"/>
          <w:sz w:val="24"/>
        </w:rPr>
        <w:t>across</w:t>
      </w:r>
      <w:r>
        <w:rPr>
          <w:rFonts w:ascii="Calibri"/>
          <w:spacing w:val="-3"/>
          <w:sz w:val="24"/>
        </w:rPr>
        <w:t> </w:t>
      </w:r>
      <w:r>
        <w:rPr>
          <w:rFonts w:ascii="Calibri"/>
          <w:sz w:val="24"/>
        </w:rPr>
        <w:t>sectors</w:t>
      </w:r>
      <w:r>
        <w:rPr>
          <w:rFonts w:ascii="Calibri"/>
          <w:spacing w:val="-3"/>
          <w:sz w:val="24"/>
        </w:rPr>
        <w:t> </w:t>
      </w:r>
      <w:r>
        <w:rPr>
          <w:rFonts w:ascii="Calibri"/>
          <w:sz w:val="24"/>
        </w:rPr>
        <w:t>in India. </w:t>
      </w:r>
      <w:r>
        <w:rPr>
          <w:rFonts w:ascii="Calibri"/>
          <w:i/>
          <w:sz w:val="24"/>
        </w:rPr>
        <w:t>Journal of Advances in Management Research</w:t>
      </w:r>
      <w:r>
        <w:rPr>
          <w:rFonts w:ascii="Calibri"/>
          <w:sz w:val="24"/>
        </w:rPr>
        <w:t>. https://doi.org/10.1108/jamr- </w:t>
      </w:r>
      <w:r>
        <w:rPr>
          <w:rFonts w:ascii="Calibri"/>
          <w:spacing w:val="-2"/>
          <w:sz w:val="24"/>
        </w:rPr>
        <w:t>09-2018-0083</w:t>
      </w:r>
    </w:p>
    <w:p>
      <w:pPr>
        <w:pStyle w:val="BodyText"/>
        <w:spacing w:line="360" w:lineRule="auto"/>
        <w:ind w:left="743" w:right="16" w:hanging="720"/>
        <w:jc w:val="both"/>
        <w:rPr>
          <w:rFonts w:ascii="Calibri" w:hAnsi="Calibri"/>
        </w:rPr>
      </w:pPr>
      <w:r>
        <w:rPr>
          <w:rFonts w:ascii="Calibri" w:hAnsi="Calibri"/>
        </w:rPr>
        <w:t>Rajan Annamalai, T., &amp; Deshmukh, A. (2011). Venture capital and private equity in India: An analysis of investments and exits. </w:t>
      </w:r>
      <w:r>
        <w:rPr>
          <w:rFonts w:ascii="Calibri" w:hAnsi="Calibri"/>
          <w:i/>
        </w:rPr>
        <w:t>Journal of Indian Business Research</w:t>
      </w:r>
      <w:r>
        <w:rPr>
          <w:rFonts w:ascii="Calibri" w:hAnsi="Calibri"/>
        </w:rPr>
        <w:t>, </w:t>
      </w:r>
      <w:r>
        <w:rPr>
          <w:rFonts w:ascii="Calibri" w:hAnsi="Calibri"/>
          <w:i/>
        </w:rPr>
        <w:t>3</w:t>
      </w:r>
      <w:r>
        <w:rPr>
          <w:rFonts w:ascii="Calibri" w:hAnsi="Calibri"/>
        </w:rPr>
        <w:t>(1), 6–21. </w:t>
      </w:r>
      <w:r>
        <w:rPr>
          <w:rFonts w:ascii="Calibri" w:hAnsi="Calibri"/>
          <w:spacing w:val="-2"/>
        </w:rPr>
        <w:t>https://doi.org/10.1108/17554191111112442</w:t>
      </w:r>
    </w:p>
    <w:p>
      <w:pPr>
        <w:spacing w:line="360" w:lineRule="auto" w:before="0"/>
        <w:ind w:left="743" w:right="23" w:hanging="720"/>
        <w:jc w:val="both"/>
        <w:rPr>
          <w:rFonts w:ascii="Calibri" w:hAnsi="Calibri"/>
          <w:sz w:val="24"/>
        </w:rPr>
      </w:pPr>
      <w:r>
        <w:rPr>
          <w:rFonts w:ascii="Calibri" w:hAnsi="Calibri"/>
          <w:sz w:val="24"/>
        </w:rPr>
        <w:t>Ratanpal, A. (2008). Indian economy and Indian private equity. </w:t>
      </w:r>
      <w:r>
        <w:rPr>
          <w:rFonts w:ascii="Calibri" w:hAnsi="Calibri"/>
          <w:i/>
          <w:sz w:val="24"/>
        </w:rPr>
        <w:t>Thunderbird International Business Review</w:t>
      </w:r>
      <w:r>
        <w:rPr>
          <w:rFonts w:ascii="Calibri" w:hAnsi="Calibri"/>
          <w:sz w:val="24"/>
        </w:rPr>
        <w:t>, </w:t>
      </w:r>
      <w:r>
        <w:rPr>
          <w:rFonts w:ascii="Calibri" w:hAnsi="Calibri"/>
          <w:i/>
          <w:sz w:val="24"/>
        </w:rPr>
        <w:t>50</w:t>
      </w:r>
      <w:r>
        <w:rPr>
          <w:rFonts w:ascii="Calibri" w:hAnsi="Calibri"/>
          <w:sz w:val="24"/>
        </w:rPr>
        <w:t>(6), 353–358. https://doi.org/10.1002/tie.20222</w:t>
      </w:r>
    </w:p>
    <w:p>
      <w:pPr>
        <w:tabs>
          <w:tab w:pos="1513" w:val="left" w:leader="none"/>
          <w:tab w:pos="2642" w:val="left" w:leader="none"/>
          <w:tab w:pos="3836" w:val="left" w:leader="none"/>
          <w:tab w:pos="5127" w:val="left" w:leader="none"/>
          <w:tab w:pos="5911" w:val="left" w:leader="none"/>
          <w:tab w:pos="7246" w:val="left" w:leader="none"/>
          <w:tab w:pos="8200" w:val="left" w:leader="none"/>
        </w:tabs>
        <w:spacing w:line="360" w:lineRule="auto" w:before="0"/>
        <w:ind w:left="743" w:right="20" w:hanging="720"/>
        <w:jc w:val="both"/>
        <w:rPr>
          <w:rFonts w:ascii="Calibri"/>
          <w:sz w:val="24"/>
        </w:rPr>
      </w:pPr>
      <w:r>
        <w:rPr>
          <w:rFonts w:ascii="Calibri"/>
          <w:sz w:val="24"/>
        </w:rPr>
        <w:t>Rithvik</w:t>
      </w:r>
      <w:r>
        <w:rPr>
          <w:rFonts w:ascii="Calibri"/>
          <w:spacing w:val="-8"/>
          <w:sz w:val="24"/>
        </w:rPr>
        <w:t> </w:t>
      </w:r>
      <w:r>
        <w:rPr>
          <w:rFonts w:ascii="Calibri"/>
          <w:sz w:val="24"/>
        </w:rPr>
        <w:t>Lakhotia.</w:t>
      </w:r>
      <w:r>
        <w:rPr>
          <w:rFonts w:ascii="Calibri"/>
          <w:spacing w:val="-7"/>
          <w:sz w:val="24"/>
        </w:rPr>
        <w:t> </w:t>
      </w:r>
      <w:r>
        <w:rPr>
          <w:rFonts w:ascii="Calibri"/>
          <w:sz w:val="24"/>
        </w:rPr>
        <w:t>(2023).</w:t>
      </w:r>
      <w:r>
        <w:rPr>
          <w:rFonts w:ascii="Calibri"/>
          <w:spacing w:val="-7"/>
          <w:sz w:val="24"/>
        </w:rPr>
        <w:t> </w:t>
      </w:r>
      <w:r>
        <w:rPr>
          <w:rFonts w:ascii="Calibri"/>
          <w:sz w:val="24"/>
        </w:rPr>
        <w:t>To</w:t>
      </w:r>
      <w:r>
        <w:rPr>
          <w:rFonts w:ascii="Calibri"/>
          <w:spacing w:val="-6"/>
          <w:sz w:val="24"/>
        </w:rPr>
        <w:t> </w:t>
      </w:r>
      <w:r>
        <w:rPr>
          <w:rFonts w:ascii="Calibri"/>
          <w:sz w:val="24"/>
        </w:rPr>
        <w:t>Investigate</w:t>
      </w:r>
      <w:r>
        <w:rPr>
          <w:rFonts w:ascii="Calibri"/>
          <w:spacing w:val="-6"/>
          <w:sz w:val="24"/>
        </w:rPr>
        <w:t> </w:t>
      </w:r>
      <w:r>
        <w:rPr>
          <w:rFonts w:ascii="Calibri"/>
          <w:sz w:val="24"/>
        </w:rPr>
        <w:t>the</w:t>
      </w:r>
      <w:r>
        <w:rPr>
          <w:rFonts w:ascii="Calibri"/>
          <w:spacing w:val="-6"/>
          <w:sz w:val="24"/>
        </w:rPr>
        <w:t> </w:t>
      </w:r>
      <w:r>
        <w:rPr>
          <w:rFonts w:ascii="Calibri"/>
          <w:sz w:val="24"/>
        </w:rPr>
        <w:t>Trend</w:t>
      </w:r>
      <w:r>
        <w:rPr>
          <w:rFonts w:ascii="Calibri"/>
          <w:spacing w:val="-8"/>
          <w:sz w:val="24"/>
        </w:rPr>
        <w:t> </w:t>
      </w:r>
      <w:r>
        <w:rPr>
          <w:rFonts w:ascii="Calibri"/>
          <w:sz w:val="24"/>
        </w:rPr>
        <w:t>and</w:t>
      </w:r>
      <w:r>
        <w:rPr>
          <w:rFonts w:ascii="Calibri"/>
          <w:spacing w:val="-6"/>
          <w:sz w:val="24"/>
        </w:rPr>
        <w:t> </w:t>
      </w:r>
      <w:r>
        <w:rPr>
          <w:rFonts w:ascii="Calibri"/>
          <w:sz w:val="24"/>
        </w:rPr>
        <w:t>Expansion</w:t>
      </w:r>
      <w:r>
        <w:rPr>
          <w:rFonts w:ascii="Calibri"/>
          <w:spacing w:val="-7"/>
          <w:sz w:val="24"/>
        </w:rPr>
        <w:t> </w:t>
      </w:r>
      <w:r>
        <w:rPr>
          <w:rFonts w:ascii="Calibri"/>
          <w:sz w:val="24"/>
        </w:rPr>
        <w:t>of</w:t>
      </w:r>
      <w:r>
        <w:rPr>
          <w:rFonts w:ascii="Calibri"/>
          <w:spacing w:val="-6"/>
          <w:sz w:val="24"/>
        </w:rPr>
        <w:t> </w:t>
      </w:r>
      <w:r>
        <w:rPr>
          <w:rFonts w:ascii="Calibri"/>
          <w:sz w:val="24"/>
        </w:rPr>
        <w:t>Private</w:t>
      </w:r>
      <w:r>
        <w:rPr>
          <w:rFonts w:ascii="Calibri"/>
          <w:spacing w:val="-8"/>
          <w:sz w:val="24"/>
        </w:rPr>
        <w:t> </w:t>
      </w:r>
      <w:r>
        <w:rPr>
          <w:rFonts w:ascii="Calibri"/>
          <w:sz w:val="24"/>
        </w:rPr>
        <w:t>Equity</w:t>
      </w:r>
      <w:r>
        <w:rPr>
          <w:rFonts w:ascii="Calibri"/>
          <w:spacing w:val="-7"/>
          <w:sz w:val="24"/>
        </w:rPr>
        <w:t> </w:t>
      </w:r>
      <w:r>
        <w:rPr>
          <w:rFonts w:ascii="Calibri"/>
          <w:sz w:val="24"/>
        </w:rPr>
        <w:t>Investment </w:t>
      </w:r>
      <w:r>
        <w:rPr>
          <w:rFonts w:ascii="Calibri"/>
          <w:spacing w:val="-6"/>
          <w:sz w:val="24"/>
        </w:rPr>
        <w:t>in</w:t>
      </w:r>
      <w:r>
        <w:rPr>
          <w:rFonts w:ascii="Calibri"/>
          <w:sz w:val="24"/>
        </w:rPr>
        <w:tab/>
      </w:r>
      <w:r>
        <w:rPr>
          <w:rFonts w:ascii="Calibri"/>
          <w:spacing w:val="-2"/>
          <w:sz w:val="24"/>
        </w:rPr>
        <w:t>India.</w:t>
      </w:r>
      <w:r>
        <w:rPr>
          <w:rFonts w:ascii="Calibri"/>
          <w:sz w:val="24"/>
        </w:rPr>
        <w:tab/>
      </w:r>
      <w:r>
        <w:rPr>
          <w:rFonts w:ascii="Calibri"/>
          <w:i/>
          <w:spacing w:val="-2"/>
          <w:sz w:val="24"/>
        </w:rPr>
        <w:t>Indian</w:t>
      </w:r>
      <w:r>
        <w:rPr>
          <w:rFonts w:ascii="Calibri"/>
          <w:i/>
          <w:sz w:val="24"/>
        </w:rPr>
        <w:tab/>
      </w:r>
      <w:r>
        <w:rPr>
          <w:rFonts w:ascii="Calibri"/>
          <w:i/>
          <w:spacing w:val="-2"/>
          <w:sz w:val="24"/>
        </w:rPr>
        <w:t>Journal</w:t>
      </w:r>
      <w:r>
        <w:rPr>
          <w:rFonts w:ascii="Calibri"/>
          <w:i/>
          <w:sz w:val="24"/>
        </w:rPr>
        <w:tab/>
      </w:r>
      <w:r>
        <w:rPr>
          <w:rFonts w:ascii="Calibri"/>
          <w:i/>
          <w:spacing w:val="-6"/>
          <w:sz w:val="24"/>
        </w:rPr>
        <w:t>of</w:t>
      </w:r>
      <w:r>
        <w:rPr>
          <w:rFonts w:ascii="Calibri"/>
          <w:i/>
          <w:sz w:val="24"/>
        </w:rPr>
        <w:tab/>
      </w:r>
      <w:r>
        <w:rPr>
          <w:rFonts w:ascii="Calibri"/>
          <w:i/>
          <w:spacing w:val="-2"/>
          <w:sz w:val="24"/>
        </w:rPr>
        <w:t>Finance</w:t>
      </w:r>
      <w:r>
        <w:rPr>
          <w:rFonts w:ascii="Calibri"/>
          <w:i/>
          <w:sz w:val="24"/>
        </w:rPr>
        <w:tab/>
      </w:r>
      <w:r>
        <w:rPr>
          <w:rFonts w:ascii="Calibri"/>
          <w:i/>
          <w:spacing w:val="-4"/>
          <w:sz w:val="24"/>
        </w:rPr>
        <w:t>and</w:t>
      </w:r>
      <w:r>
        <w:rPr>
          <w:rFonts w:ascii="Calibri"/>
          <w:i/>
          <w:sz w:val="24"/>
        </w:rPr>
        <w:tab/>
      </w:r>
      <w:r>
        <w:rPr>
          <w:rFonts w:ascii="Calibri"/>
          <w:i/>
          <w:spacing w:val="-2"/>
          <w:sz w:val="24"/>
        </w:rPr>
        <w:t>Banking</w:t>
      </w:r>
      <w:r>
        <w:rPr>
          <w:rFonts w:ascii="Calibri"/>
          <w:spacing w:val="-2"/>
          <w:sz w:val="24"/>
        </w:rPr>
        <w:t>. https://doi.org/10.46281/ijfb.v13i2.2174</w:t>
      </w:r>
    </w:p>
    <w:p>
      <w:pPr>
        <w:spacing w:after="0" w:line="360" w:lineRule="auto"/>
        <w:jc w:val="both"/>
        <w:rPr>
          <w:rFonts w:ascii="Calibri"/>
          <w:sz w:val="24"/>
        </w:rPr>
        <w:sectPr>
          <w:pgSz w:w="11910" w:h="16840"/>
          <w:pgMar w:header="0" w:footer="1009" w:top="1380" w:bottom="1200" w:left="1417" w:right="1417"/>
        </w:sectPr>
      </w:pPr>
    </w:p>
    <w:p>
      <w:pPr>
        <w:spacing w:line="360" w:lineRule="auto" w:before="41"/>
        <w:ind w:left="743" w:right="22" w:hanging="720"/>
        <w:jc w:val="both"/>
        <w:rPr>
          <w:rFonts w:ascii="Calibri" w:hAnsi="Calibri"/>
          <w:sz w:val="24"/>
        </w:rPr>
      </w:pPr>
      <w:r>
        <w:rPr>
          <w:rFonts w:ascii="Calibri" w:hAnsi="Calibri"/>
          <w:sz w:val="24"/>
        </w:rPr>
        <w:t>S, S., &amp; M, Dr. A. (2019). An Empirical Analysis of Relationship between Private Equity Investments</w:t>
      </w:r>
      <w:r>
        <w:rPr>
          <w:rFonts w:ascii="Calibri" w:hAnsi="Calibri"/>
          <w:spacing w:val="-4"/>
          <w:sz w:val="24"/>
        </w:rPr>
        <w:t> </w:t>
      </w:r>
      <w:r>
        <w:rPr>
          <w:rFonts w:ascii="Calibri" w:hAnsi="Calibri"/>
          <w:sz w:val="24"/>
        </w:rPr>
        <w:t>and</w:t>
      </w:r>
      <w:r>
        <w:rPr>
          <w:rFonts w:ascii="Calibri" w:hAnsi="Calibri"/>
          <w:spacing w:val="-5"/>
          <w:sz w:val="24"/>
        </w:rPr>
        <w:t> </w:t>
      </w:r>
      <w:r>
        <w:rPr>
          <w:rFonts w:ascii="Calibri" w:hAnsi="Calibri"/>
          <w:sz w:val="24"/>
        </w:rPr>
        <w:t>Exits</w:t>
      </w:r>
      <w:r>
        <w:rPr>
          <w:rFonts w:ascii="Calibri" w:hAnsi="Calibri"/>
          <w:spacing w:val="-4"/>
          <w:sz w:val="24"/>
        </w:rPr>
        <w:t> </w:t>
      </w:r>
      <w:r>
        <w:rPr>
          <w:rFonts w:ascii="Calibri" w:hAnsi="Calibri"/>
          <w:sz w:val="24"/>
        </w:rPr>
        <w:t>in</w:t>
      </w:r>
      <w:r>
        <w:rPr>
          <w:rFonts w:ascii="Calibri" w:hAnsi="Calibri"/>
          <w:spacing w:val="-5"/>
          <w:sz w:val="24"/>
        </w:rPr>
        <w:t> </w:t>
      </w:r>
      <w:r>
        <w:rPr>
          <w:rFonts w:ascii="Calibri" w:hAnsi="Calibri"/>
          <w:sz w:val="24"/>
        </w:rPr>
        <w:t>India.</w:t>
      </w:r>
      <w:r>
        <w:rPr>
          <w:rFonts w:ascii="Calibri" w:hAnsi="Calibri"/>
          <w:spacing w:val="-1"/>
          <w:sz w:val="24"/>
        </w:rPr>
        <w:t> </w:t>
      </w:r>
      <w:r>
        <w:rPr>
          <w:rFonts w:ascii="Calibri" w:hAnsi="Calibri"/>
          <w:i/>
          <w:sz w:val="24"/>
        </w:rPr>
        <w:t>International</w:t>
      </w:r>
      <w:r>
        <w:rPr>
          <w:rFonts w:ascii="Calibri" w:hAnsi="Calibri"/>
          <w:i/>
          <w:spacing w:val="-4"/>
          <w:sz w:val="24"/>
        </w:rPr>
        <w:t> </w:t>
      </w:r>
      <w:r>
        <w:rPr>
          <w:rFonts w:ascii="Calibri" w:hAnsi="Calibri"/>
          <w:i/>
          <w:sz w:val="24"/>
        </w:rPr>
        <w:t>Journal</w:t>
      </w:r>
      <w:r>
        <w:rPr>
          <w:rFonts w:ascii="Calibri" w:hAnsi="Calibri"/>
          <w:i/>
          <w:spacing w:val="-4"/>
          <w:sz w:val="24"/>
        </w:rPr>
        <w:t> </w:t>
      </w:r>
      <w:r>
        <w:rPr>
          <w:rFonts w:ascii="Calibri" w:hAnsi="Calibri"/>
          <w:i/>
          <w:sz w:val="24"/>
        </w:rPr>
        <w:t>of</w:t>
      </w:r>
      <w:r>
        <w:rPr>
          <w:rFonts w:ascii="Calibri" w:hAnsi="Calibri"/>
          <w:i/>
          <w:spacing w:val="-3"/>
          <w:sz w:val="24"/>
        </w:rPr>
        <w:t> </w:t>
      </w:r>
      <w:r>
        <w:rPr>
          <w:rFonts w:ascii="Calibri" w:hAnsi="Calibri"/>
          <w:i/>
          <w:sz w:val="24"/>
        </w:rPr>
        <w:t>Engineering</w:t>
      </w:r>
      <w:r>
        <w:rPr>
          <w:rFonts w:ascii="Calibri" w:hAnsi="Calibri"/>
          <w:i/>
          <w:spacing w:val="-4"/>
          <w:sz w:val="24"/>
        </w:rPr>
        <w:t> </w:t>
      </w:r>
      <w:r>
        <w:rPr>
          <w:rFonts w:ascii="Calibri" w:hAnsi="Calibri"/>
          <w:i/>
          <w:sz w:val="24"/>
        </w:rPr>
        <w:t>and</w:t>
      </w:r>
      <w:r>
        <w:rPr>
          <w:rFonts w:ascii="Calibri" w:hAnsi="Calibri"/>
          <w:i/>
          <w:spacing w:val="-4"/>
          <w:sz w:val="24"/>
        </w:rPr>
        <w:t> </w:t>
      </w:r>
      <w:r>
        <w:rPr>
          <w:rFonts w:ascii="Calibri" w:hAnsi="Calibri"/>
          <w:i/>
          <w:sz w:val="24"/>
        </w:rPr>
        <w:t>Management Research</w:t>
      </w:r>
      <w:r>
        <w:rPr>
          <w:rFonts w:ascii="Calibri" w:hAnsi="Calibri"/>
          <w:sz w:val="24"/>
        </w:rPr>
        <w:t>, </w:t>
      </w:r>
      <w:r>
        <w:rPr>
          <w:rFonts w:ascii="Calibri" w:hAnsi="Calibri"/>
          <w:i/>
          <w:sz w:val="24"/>
        </w:rPr>
        <w:t>09</w:t>
      </w:r>
      <w:r>
        <w:rPr>
          <w:rFonts w:ascii="Calibri" w:hAnsi="Calibri"/>
          <w:sz w:val="24"/>
        </w:rPr>
        <w:t>(06), 114–121. https://doi.org/10.31033/ijemr.9.6.19</w:t>
      </w:r>
    </w:p>
    <w:p>
      <w:pPr>
        <w:pStyle w:val="BodyText"/>
        <w:spacing w:line="360" w:lineRule="auto"/>
        <w:ind w:left="743" w:right="23" w:hanging="720"/>
        <w:jc w:val="both"/>
        <w:rPr>
          <w:rFonts w:ascii="Calibri" w:hAnsi="Calibri"/>
        </w:rPr>
      </w:pPr>
      <w:r>
        <w:rPr>
          <w:rFonts w:ascii="Calibri" w:hAnsi="Calibri"/>
        </w:rPr>
        <w:t>Sivaprasad,</w:t>
      </w:r>
      <w:r>
        <w:rPr>
          <w:rFonts w:ascii="Calibri" w:hAnsi="Calibri"/>
          <w:spacing w:val="-12"/>
        </w:rPr>
        <w:t> </w:t>
      </w:r>
      <w:r>
        <w:rPr>
          <w:rFonts w:ascii="Calibri" w:hAnsi="Calibri"/>
        </w:rPr>
        <w:t>S.,</w:t>
      </w:r>
      <w:r>
        <w:rPr>
          <w:rFonts w:ascii="Calibri" w:hAnsi="Calibri"/>
          <w:spacing w:val="-12"/>
        </w:rPr>
        <w:t> </w:t>
      </w:r>
      <w:r>
        <w:rPr>
          <w:rFonts w:ascii="Calibri" w:hAnsi="Calibri"/>
        </w:rPr>
        <w:t>&amp;</w:t>
      </w:r>
      <w:r>
        <w:rPr>
          <w:rFonts w:ascii="Calibri" w:hAnsi="Calibri"/>
          <w:spacing w:val="-12"/>
        </w:rPr>
        <w:t> </w:t>
      </w:r>
      <w:r>
        <w:rPr>
          <w:rFonts w:ascii="Calibri" w:hAnsi="Calibri"/>
        </w:rPr>
        <w:t>Dadhaniya,</w:t>
      </w:r>
      <w:r>
        <w:rPr>
          <w:rFonts w:ascii="Calibri" w:hAnsi="Calibri"/>
          <w:spacing w:val="-11"/>
        </w:rPr>
        <w:t> </w:t>
      </w:r>
      <w:r>
        <w:rPr>
          <w:rFonts w:ascii="Calibri" w:hAnsi="Calibri"/>
        </w:rPr>
        <w:t>R.</w:t>
      </w:r>
      <w:r>
        <w:rPr>
          <w:rFonts w:ascii="Calibri" w:hAnsi="Calibri"/>
          <w:spacing w:val="-12"/>
        </w:rPr>
        <w:t> </w:t>
      </w:r>
      <w:r>
        <w:rPr>
          <w:rFonts w:ascii="Calibri" w:hAnsi="Calibri"/>
        </w:rPr>
        <w:t>(2019).</w:t>
      </w:r>
      <w:r>
        <w:rPr>
          <w:rFonts w:ascii="Calibri" w:hAnsi="Calibri"/>
          <w:spacing w:val="-12"/>
        </w:rPr>
        <w:t> </w:t>
      </w:r>
      <w:r>
        <w:rPr>
          <w:rFonts w:ascii="Calibri" w:hAnsi="Calibri"/>
        </w:rPr>
        <w:t>An</w:t>
      </w:r>
      <w:r>
        <w:rPr>
          <w:rFonts w:ascii="Calibri" w:hAnsi="Calibri"/>
          <w:spacing w:val="-11"/>
        </w:rPr>
        <w:t> </w:t>
      </w:r>
      <w:r>
        <w:rPr>
          <w:rFonts w:ascii="Calibri" w:hAnsi="Calibri"/>
        </w:rPr>
        <w:t>empirical</w:t>
      </w:r>
      <w:r>
        <w:rPr>
          <w:rFonts w:ascii="Calibri" w:hAnsi="Calibri"/>
          <w:spacing w:val="-11"/>
        </w:rPr>
        <w:t> </w:t>
      </w:r>
      <w:r>
        <w:rPr>
          <w:rFonts w:ascii="Calibri" w:hAnsi="Calibri"/>
        </w:rPr>
        <w:t>analysis</w:t>
      </w:r>
      <w:r>
        <w:rPr>
          <w:rFonts w:ascii="Calibri" w:hAnsi="Calibri"/>
          <w:spacing w:val="-12"/>
        </w:rPr>
        <w:t> </w:t>
      </w:r>
      <w:r>
        <w:rPr>
          <w:rFonts w:ascii="Calibri" w:hAnsi="Calibri"/>
        </w:rPr>
        <w:t>of</w:t>
      </w:r>
      <w:r>
        <w:rPr>
          <w:rFonts w:ascii="Calibri" w:hAnsi="Calibri"/>
          <w:spacing w:val="-10"/>
        </w:rPr>
        <w:t> </w:t>
      </w:r>
      <w:r>
        <w:rPr>
          <w:rFonts w:ascii="Calibri" w:hAnsi="Calibri"/>
        </w:rPr>
        <w:t>the</w:t>
      </w:r>
      <w:r>
        <w:rPr>
          <w:rFonts w:ascii="Calibri" w:hAnsi="Calibri"/>
          <w:spacing w:val="-14"/>
        </w:rPr>
        <w:t> </w:t>
      </w:r>
      <w:r>
        <w:rPr>
          <w:rFonts w:ascii="Calibri" w:hAnsi="Calibri"/>
        </w:rPr>
        <w:t>performance</w:t>
      </w:r>
      <w:r>
        <w:rPr>
          <w:rFonts w:ascii="Calibri" w:hAnsi="Calibri"/>
          <w:spacing w:val="-10"/>
        </w:rPr>
        <w:t> </w:t>
      </w:r>
      <w:r>
        <w:rPr>
          <w:rFonts w:ascii="Calibri" w:hAnsi="Calibri"/>
        </w:rPr>
        <w:t>of</w:t>
      </w:r>
      <w:r>
        <w:rPr>
          <w:rFonts w:ascii="Calibri" w:hAnsi="Calibri"/>
          <w:spacing w:val="-10"/>
        </w:rPr>
        <w:t> </w:t>
      </w:r>
      <w:r>
        <w:rPr>
          <w:rFonts w:ascii="Calibri" w:hAnsi="Calibri"/>
        </w:rPr>
        <w:t>sponsored vs non-sponsored IPOs: Evidence from India. </w:t>
      </w:r>
      <w:r>
        <w:rPr>
          <w:rFonts w:ascii="Calibri" w:hAnsi="Calibri"/>
          <w:i/>
        </w:rPr>
        <w:t>Journal of Accounting in Emerging Economies</w:t>
      </w:r>
      <w:r>
        <w:rPr>
          <w:rFonts w:ascii="Calibri" w:hAnsi="Calibri"/>
        </w:rPr>
        <w:t>, </w:t>
      </w:r>
      <w:r>
        <w:rPr>
          <w:rFonts w:ascii="Calibri" w:hAnsi="Calibri"/>
          <w:i/>
        </w:rPr>
        <w:t>10</w:t>
      </w:r>
      <w:r>
        <w:rPr>
          <w:rFonts w:ascii="Calibri" w:hAnsi="Calibri"/>
        </w:rPr>
        <w:t>(1), 100–116. https://doi.org/10.1108/JAEE-05-2019-0100</w:t>
      </w:r>
    </w:p>
    <w:p>
      <w:pPr>
        <w:pStyle w:val="BodyText"/>
        <w:spacing w:line="360" w:lineRule="auto" w:before="1"/>
        <w:ind w:left="743" w:right="18" w:hanging="720"/>
        <w:jc w:val="both"/>
        <w:rPr>
          <w:rFonts w:ascii="Calibri" w:hAnsi="Calibri"/>
        </w:rPr>
      </w:pPr>
      <w:r>
        <w:rPr>
          <w:rFonts w:ascii="Calibri" w:hAnsi="Calibri"/>
        </w:rPr>
        <w:t>Smith,</w:t>
      </w:r>
      <w:r>
        <w:rPr>
          <w:rFonts w:ascii="Calibri" w:hAnsi="Calibri"/>
          <w:spacing w:val="-13"/>
        </w:rPr>
        <w:t> </w:t>
      </w:r>
      <w:r>
        <w:rPr>
          <w:rFonts w:ascii="Calibri" w:hAnsi="Calibri"/>
        </w:rPr>
        <w:t>T.</w:t>
      </w:r>
      <w:r>
        <w:rPr>
          <w:rFonts w:ascii="Calibri" w:hAnsi="Calibri"/>
          <w:spacing w:val="-12"/>
        </w:rPr>
        <w:t> </w:t>
      </w:r>
      <w:r>
        <w:rPr>
          <w:rFonts w:ascii="Calibri" w:hAnsi="Calibri"/>
        </w:rPr>
        <w:t>D.,</w:t>
      </w:r>
      <w:r>
        <w:rPr>
          <w:rFonts w:ascii="Calibri" w:hAnsi="Calibri"/>
          <w:spacing w:val="-12"/>
        </w:rPr>
        <w:t> </w:t>
      </w:r>
      <w:r>
        <w:rPr>
          <w:rFonts w:ascii="Calibri" w:hAnsi="Calibri"/>
        </w:rPr>
        <w:t>&amp;</w:t>
      </w:r>
      <w:r>
        <w:rPr>
          <w:rFonts w:ascii="Calibri" w:hAnsi="Calibri"/>
          <w:spacing w:val="-12"/>
        </w:rPr>
        <w:t> </w:t>
      </w:r>
      <w:r>
        <w:rPr>
          <w:rFonts w:ascii="Calibri" w:hAnsi="Calibri"/>
        </w:rPr>
        <w:t>Dalmia,</w:t>
      </w:r>
      <w:r>
        <w:rPr>
          <w:rFonts w:ascii="Calibri" w:hAnsi="Calibri"/>
          <w:spacing w:val="-12"/>
        </w:rPr>
        <w:t> </w:t>
      </w:r>
      <w:r>
        <w:rPr>
          <w:rFonts w:ascii="Calibri" w:hAnsi="Calibri"/>
        </w:rPr>
        <w:t>G.</w:t>
      </w:r>
      <w:r>
        <w:rPr>
          <w:rFonts w:ascii="Calibri" w:hAnsi="Calibri"/>
          <w:spacing w:val="-14"/>
        </w:rPr>
        <w:t> </w:t>
      </w:r>
      <w:r>
        <w:rPr>
          <w:rFonts w:ascii="Calibri" w:hAnsi="Calibri"/>
        </w:rPr>
        <w:t>(2020).</w:t>
      </w:r>
      <w:r>
        <w:rPr>
          <w:rFonts w:ascii="Calibri" w:hAnsi="Calibri"/>
          <w:spacing w:val="-12"/>
        </w:rPr>
        <w:t> </w:t>
      </w:r>
      <w:r>
        <w:rPr>
          <w:rFonts w:ascii="Calibri" w:hAnsi="Calibri"/>
        </w:rPr>
        <w:t>The</w:t>
      </w:r>
      <w:r>
        <w:rPr>
          <w:rFonts w:ascii="Calibri" w:hAnsi="Calibri"/>
          <w:spacing w:val="-14"/>
        </w:rPr>
        <w:t> </w:t>
      </w:r>
      <w:r>
        <w:rPr>
          <w:rFonts w:ascii="Calibri" w:hAnsi="Calibri"/>
        </w:rPr>
        <w:t>Evolution</w:t>
      </w:r>
      <w:r>
        <w:rPr>
          <w:rFonts w:ascii="Calibri" w:hAnsi="Calibri"/>
          <w:spacing w:val="-11"/>
        </w:rPr>
        <w:t> </w:t>
      </w:r>
      <w:r>
        <w:rPr>
          <w:rFonts w:ascii="Calibri" w:hAnsi="Calibri"/>
        </w:rPr>
        <w:t>of</w:t>
      </w:r>
      <w:r>
        <w:rPr>
          <w:rFonts w:ascii="Calibri" w:hAnsi="Calibri"/>
          <w:spacing w:val="-13"/>
        </w:rPr>
        <w:t> </w:t>
      </w:r>
      <w:r>
        <w:rPr>
          <w:rFonts w:ascii="Calibri" w:hAnsi="Calibri"/>
        </w:rPr>
        <w:t>Private</w:t>
      </w:r>
      <w:r>
        <w:rPr>
          <w:rFonts w:ascii="Calibri" w:hAnsi="Calibri"/>
          <w:spacing w:val="-11"/>
        </w:rPr>
        <w:t> </w:t>
      </w:r>
      <w:r>
        <w:rPr>
          <w:rFonts w:ascii="Calibri" w:hAnsi="Calibri"/>
        </w:rPr>
        <w:t>Equity</w:t>
      </w:r>
      <w:r>
        <w:rPr>
          <w:rFonts w:ascii="Calibri" w:hAnsi="Calibri"/>
          <w:spacing w:val="-12"/>
        </w:rPr>
        <w:t> </w:t>
      </w:r>
      <w:r>
        <w:rPr>
          <w:rFonts w:ascii="Calibri" w:hAnsi="Calibri"/>
        </w:rPr>
        <w:t>in</w:t>
      </w:r>
      <w:r>
        <w:rPr>
          <w:rFonts w:ascii="Calibri" w:hAnsi="Calibri"/>
          <w:spacing w:val="-11"/>
        </w:rPr>
        <w:t> </w:t>
      </w:r>
      <w:r>
        <w:rPr>
          <w:rFonts w:ascii="Calibri" w:hAnsi="Calibri"/>
        </w:rPr>
        <w:t>India.</w:t>
      </w:r>
      <w:r>
        <w:rPr>
          <w:rFonts w:ascii="Calibri" w:hAnsi="Calibri"/>
          <w:spacing w:val="-12"/>
        </w:rPr>
        <w:t> </w:t>
      </w:r>
      <w:r>
        <w:rPr>
          <w:rFonts w:ascii="Calibri" w:hAnsi="Calibri"/>
        </w:rPr>
        <w:t>In</w:t>
      </w:r>
      <w:r>
        <w:rPr>
          <w:rFonts w:ascii="Calibri" w:hAnsi="Calibri"/>
          <w:spacing w:val="-14"/>
        </w:rPr>
        <w:t> </w:t>
      </w:r>
      <w:r>
        <w:rPr>
          <w:rFonts w:ascii="Calibri" w:hAnsi="Calibri"/>
        </w:rPr>
        <w:t>D.</w:t>
      </w:r>
      <w:r>
        <w:rPr>
          <w:rFonts w:ascii="Calibri" w:hAnsi="Calibri"/>
          <w:spacing w:val="-12"/>
        </w:rPr>
        <w:t> </w:t>
      </w:r>
      <w:r>
        <w:rPr>
          <w:rFonts w:ascii="Calibri" w:hAnsi="Calibri"/>
        </w:rPr>
        <w:t>Klonowski</w:t>
      </w:r>
      <w:r>
        <w:rPr>
          <w:rFonts w:ascii="Calibri" w:hAnsi="Calibri"/>
          <w:spacing w:val="-12"/>
        </w:rPr>
        <w:t> </w:t>
      </w:r>
      <w:r>
        <w:rPr>
          <w:rFonts w:ascii="Calibri" w:hAnsi="Calibri"/>
        </w:rPr>
        <w:t>(Ed.), </w:t>
      </w:r>
      <w:r>
        <w:rPr>
          <w:rFonts w:ascii="Calibri" w:hAnsi="Calibri"/>
          <w:i/>
        </w:rPr>
        <w:t>Entrepreneurial Finance in Emerging Markets </w:t>
      </w:r>
      <w:r>
        <w:rPr>
          <w:rFonts w:ascii="Calibri" w:hAnsi="Calibri"/>
        </w:rPr>
        <w:t>(pp. 177–191). Springer International Publishing. https://doi.org/10.1007/978-3-030-46220-8_12</w:t>
      </w:r>
    </w:p>
    <w:p>
      <w:pPr>
        <w:pStyle w:val="BodyText"/>
        <w:spacing w:line="360" w:lineRule="auto"/>
        <w:ind w:left="743" w:right="17" w:hanging="720"/>
        <w:jc w:val="both"/>
        <w:rPr>
          <w:rFonts w:ascii="Calibri" w:hAnsi="Calibri"/>
        </w:rPr>
      </w:pPr>
      <w:r>
        <w:rPr>
          <w:rFonts w:ascii="Calibri" w:hAnsi="Calibri"/>
        </w:rPr>
        <w:t>Swaminathan, N., &amp; Saraswathy, C. (2022). Study on private equity investment growth and infrastructure in India. </w:t>
      </w:r>
      <w:r>
        <w:rPr>
          <w:rFonts w:ascii="Calibri" w:hAnsi="Calibri"/>
          <w:i/>
        </w:rPr>
        <w:t>International Journal of Health Sciences</w:t>
      </w:r>
      <w:r>
        <w:rPr>
          <w:rFonts w:ascii="Calibri" w:hAnsi="Calibri"/>
        </w:rPr>
        <w:t>, 7263–7269. </w:t>
      </w:r>
      <w:r>
        <w:rPr>
          <w:rFonts w:ascii="Calibri" w:hAnsi="Calibri"/>
          <w:spacing w:val="-2"/>
        </w:rPr>
        <w:t>https://doi.org/10.53730/ijhs.v6nS3.7741</w:t>
      </w:r>
    </w:p>
    <w:p>
      <w:pPr>
        <w:spacing w:line="360" w:lineRule="auto" w:before="0"/>
        <w:ind w:left="743" w:right="23" w:hanging="720"/>
        <w:jc w:val="both"/>
        <w:rPr>
          <w:rFonts w:ascii="Calibri"/>
          <w:i/>
          <w:sz w:val="24"/>
        </w:rPr>
      </w:pPr>
      <w:r>
        <w:rPr>
          <w:rFonts w:ascii="Calibri"/>
          <w:sz w:val="24"/>
        </w:rPr>
        <w:t>Thanusree, Voota Naga. (2024). Factors Influencing Private Equity Investments in Asian Countries.</w:t>
      </w:r>
      <w:r>
        <w:rPr>
          <w:rFonts w:ascii="Calibri"/>
          <w:spacing w:val="-2"/>
          <w:sz w:val="24"/>
        </w:rPr>
        <w:t> </w:t>
      </w:r>
      <w:r>
        <w:rPr>
          <w:rFonts w:ascii="Calibri"/>
          <w:i/>
          <w:sz w:val="24"/>
        </w:rPr>
        <w:t>INTERANTIONAL</w:t>
      </w:r>
      <w:r>
        <w:rPr>
          <w:rFonts w:ascii="Calibri"/>
          <w:i/>
          <w:spacing w:val="-3"/>
          <w:sz w:val="24"/>
        </w:rPr>
        <w:t> </w:t>
      </w:r>
      <w:r>
        <w:rPr>
          <w:rFonts w:ascii="Calibri"/>
          <w:i/>
          <w:sz w:val="24"/>
        </w:rPr>
        <w:t>JOURNAL</w:t>
      </w:r>
      <w:r>
        <w:rPr>
          <w:rFonts w:ascii="Calibri"/>
          <w:i/>
          <w:spacing w:val="-3"/>
          <w:sz w:val="24"/>
        </w:rPr>
        <w:t> </w:t>
      </w:r>
      <w:r>
        <w:rPr>
          <w:rFonts w:ascii="Calibri"/>
          <w:i/>
          <w:sz w:val="24"/>
        </w:rPr>
        <w:t>OF</w:t>
      </w:r>
      <w:r>
        <w:rPr>
          <w:rFonts w:ascii="Calibri"/>
          <w:i/>
          <w:spacing w:val="-3"/>
          <w:sz w:val="24"/>
        </w:rPr>
        <w:t> </w:t>
      </w:r>
      <w:r>
        <w:rPr>
          <w:rFonts w:ascii="Calibri"/>
          <w:i/>
          <w:sz w:val="24"/>
        </w:rPr>
        <w:t>SCIENTIFIC</w:t>
      </w:r>
      <w:r>
        <w:rPr>
          <w:rFonts w:ascii="Calibri"/>
          <w:i/>
          <w:spacing w:val="-4"/>
          <w:sz w:val="24"/>
        </w:rPr>
        <w:t> </w:t>
      </w:r>
      <w:r>
        <w:rPr>
          <w:rFonts w:ascii="Calibri"/>
          <w:i/>
          <w:sz w:val="24"/>
        </w:rPr>
        <w:t>RESEARCH</w:t>
      </w:r>
      <w:r>
        <w:rPr>
          <w:rFonts w:ascii="Calibri"/>
          <w:i/>
          <w:spacing w:val="-4"/>
          <w:sz w:val="24"/>
        </w:rPr>
        <w:t> </w:t>
      </w:r>
      <w:r>
        <w:rPr>
          <w:rFonts w:ascii="Calibri"/>
          <w:i/>
          <w:sz w:val="24"/>
        </w:rPr>
        <w:t>IN</w:t>
      </w:r>
      <w:r>
        <w:rPr>
          <w:rFonts w:ascii="Calibri"/>
          <w:i/>
          <w:spacing w:val="-5"/>
          <w:sz w:val="24"/>
        </w:rPr>
        <w:t> </w:t>
      </w:r>
      <w:r>
        <w:rPr>
          <w:rFonts w:ascii="Calibri"/>
          <w:i/>
          <w:sz w:val="24"/>
        </w:rPr>
        <w:t>ENGINEERING</w:t>
      </w:r>
      <w:r>
        <w:rPr>
          <w:rFonts w:ascii="Calibri"/>
          <w:i/>
          <w:spacing w:val="-3"/>
          <w:sz w:val="24"/>
        </w:rPr>
        <w:t> </w:t>
      </w:r>
      <w:r>
        <w:rPr>
          <w:rFonts w:ascii="Calibri"/>
          <w:i/>
          <w:spacing w:val="-5"/>
          <w:sz w:val="24"/>
        </w:rPr>
        <w:t>AND</w:t>
      </w:r>
    </w:p>
    <w:p>
      <w:pPr>
        <w:spacing w:before="0"/>
        <w:ind w:left="743" w:right="0" w:firstLine="0"/>
        <w:jc w:val="both"/>
        <w:rPr>
          <w:rFonts w:ascii="Calibri"/>
          <w:sz w:val="24"/>
        </w:rPr>
      </w:pPr>
      <w:r>
        <w:rPr>
          <w:rFonts w:ascii="Calibri"/>
          <w:i/>
          <w:sz w:val="24"/>
        </w:rPr>
        <w:t>MANAGEMENT</w:t>
      </w:r>
      <w:r>
        <w:rPr>
          <w:rFonts w:ascii="Calibri"/>
          <w:sz w:val="24"/>
        </w:rPr>
        <w:t>.</w:t>
      </w:r>
      <w:r>
        <w:rPr>
          <w:rFonts w:ascii="Calibri"/>
          <w:spacing w:val="-10"/>
          <w:sz w:val="24"/>
        </w:rPr>
        <w:t> </w:t>
      </w:r>
      <w:r>
        <w:rPr>
          <w:rFonts w:ascii="Calibri"/>
          <w:spacing w:val="-2"/>
          <w:sz w:val="24"/>
        </w:rPr>
        <w:t>https://doi.org/10.55041/ijsrem30588</w:t>
      </w:r>
    </w:p>
    <w:p>
      <w:pPr>
        <w:spacing w:line="360" w:lineRule="auto" w:before="148"/>
        <w:ind w:left="743" w:right="22" w:hanging="720"/>
        <w:jc w:val="both"/>
        <w:rPr>
          <w:rFonts w:ascii="Calibri"/>
          <w:sz w:val="24"/>
        </w:rPr>
      </w:pPr>
      <w:r>
        <w:rPr>
          <w:rFonts w:ascii="Calibri"/>
          <w:sz w:val="24"/>
        </w:rPr>
        <w:t>Tripathi, S. (2015). </w:t>
      </w:r>
      <w:r>
        <w:rPr>
          <w:rFonts w:ascii="Calibri"/>
          <w:i/>
          <w:sz w:val="24"/>
        </w:rPr>
        <w:t>Trends and Patterns in Venture Capital/Private Equity in India: A Review </w:t>
      </w:r>
      <w:r>
        <w:rPr>
          <w:rFonts w:ascii="Calibri"/>
          <w:sz w:val="24"/>
        </w:rPr>
        <w:t>(SSRN Scholarly Paper No. 2674486). Social Science Research Network. </w:t>
      </w:r>
      <w:r>
        <w:rPr>
          <w:rFonts w:ascii="Calibri"/>
          <w:spacing w:val="-2"/>
          <w:sz w:val="24"/>
        </w:rPr>
        <w:t>https://papers.ssrn.com/abstract=2674486</w:t>
      </w:r>
    </w:p>
    <w:p>
      <w:pPr>
        <w:spacing w:line="360" w:lineRule="auto" w:before="0"/>
        <w:ind w:left="743" w:right="24" w:hanging="720"/>
        <w:jc w:val="both"/>
        <w:rPr>
          <w:rFonts w:ascii="Calibri" w:hAnsi="Calibri"/>
          <w:sz w:val="24"/>
        </w:rPr>
      </w:pPr>
      <w:r>
        <w:rPr>
          <w:rFonts w:ascii="Calibri" w:hAnsi="Calibri"/>
          <w:sz w:val="24"/>
        </w:rPr>
        <w:t>Zeeshan,</w:t>
      </w:r>
      <w:r>
        <w:rPr>
          <w:rFonts w:ascii="Calibri" w:hAnsi="Calibri"/>
          <w:spacing w:val="-12"/>
          <w:sz w:val="24"/>
        </w:rPr>
        <w:t> </w:t>
      </w:r>
      <w:r>
        <w:rPr>
          <w:rFonts w:ascii="Calibri" w:hAnsi="Calibri"/>
          <w:sz w:val="24"/>
        </w:rPr>
        <w:t>K.,</w:t>
      </w:r>
      <w:r>
        <w:rPr>
          <w:rFonts w:ascii="Calibri" w:hAnsi="Calibri"/>
          <w:spacing w:val="-13"/>
          <w:sz w:val="24"/>
        </w:rPr>
        <w:t> </w:t>
      </w:r>
      <w:r>
        <w:rPr>
          <w:rFonts w:ascii="Calibri" w:hAnsi="Calibri"/>
          <w:sz w:val="24"/>
        </w:rPr>
        <w:t>&amp;</w:t>
      </w:r>
      <w:r>
        <w:rPr>
          <w:rFonts w:ascii="Calibri" w:hAnsi="Calibri"/>
          <w:spacing w:val="-13"/>
          <w:sz w:val="24"/>
        </w:rPr>
        <w:t> </w:t>
      </w:r>
      <w:r>
        <w:rPr>
          <w:rFonts w:ascii="Calibri" w:hAnsi="Calibri"/>
          <w:sz w:val="24"/>
        </w:rPr>
        <w:t>Azar,</w:t>
      </w:r>
      <w:r>
        <w:rPr>
          <w:rFonts w:ascii="Calibri" w:hAnsi="Calibri"/>
          <w:spacing w:val="-12"/>
          <w:sz w:val="24"/>
        </w:rPr>
        <w:t> </w:t>
      </w:r>
      <w:r>
        <w:rPr>
          <w:rFonts w:ascii="Calibri" w:hAnsi="Calibri"/>
          <w:sz w:val="24"/>
        </w:rPr>
        <w:t>S.</w:t>
      </w:r>
      <w:r>
        <w:rPr>
          <w:rFonts w:ascii="Calibri" w:hAnsi="Calibri"/>
          <w:spacing w:val="-13"/>
          <w:sz w:val="24"/>
        </w:rPr>
        <w:t> </w:t>
      </w:r>
      <w:r>
        <w:rPr>
          <w:rFonts w:ascii="Calibri" w:hAnsi="Calibri"/>
          <w:sz w:val="24"/>
        </w:rPr>
        <w:t>(2018).</w:t>
      </w:r>
      <w:r>
        <w:rPr>
          <w:rFonts w:ascii="Calibri" w:hAnsi="Calibri"/>
          <w:spacing w:val="-11"/>
          <w:sz w:val="24"/>
        </w:rPr>
        <w:t> </w:t>
      </w:r>
      <w:r>
        <w:rPr>
          <w:rFonts w:ascii="Calibri" w:hAnsi="Calibri"/>
          <w:i/>
          <w:sz w:val="24"/>
        </w:rPr>
        <w:t>Industry-Wise</w:t>
      </w:r>
      <w:r>
        <w:rPr>
          <w:rFonts w:ascii="Calibri" w:hAnsi="Calibri"/>
          <w:i/>
          <w:spacing w:val="-12"/>
          <w:sz w:val="24"/>
        </w:rPr>
        <w:t> </w:t>
      </w:r>
      <w:r>
        <w:rPr>
          <w:rFonts w:ascii="Calibri" w:hAnsi="Calibri"/>
          <w:i/>
          <w:sz w:val="24"/>
        </w:rPr>
        <w:t>Investment</w:t>
      </w:r>
      <w:r>
        <w:rPr>
          <w:rFonts w:ascii="Calibri" w:hAnsi="Calibri"/>
          <w:i/>
          <w:spacing w:val="-13"/>
          <w:sz w:val="24"/>
        </w:rPr>
        <w:t> </w:t>
      </w:r>
      <w:r>
        <w:rPr>
          <w:rFonts w:ascii="Calibri" w:hAnsi="Calibri"/>
          <w:i/>
          <w:sz w:val="24"/>
        </w:rPr>
        <w:t>Pattern</w:t>
      </w:r>
      <w:r>
        <w:rPr>
          <w:rFonts w:ascii="Calibri" w:hAnsi="Calibri"/>
          <w:i/>
          <w:spacing w:val="-11"/>
          <w:sz w:val="24"/>
        </w:rPr>
        <w:t> </w:t>
      </w:r>
      <w:r>
        <w:rPr>
          <w:rFonts w:ascii="Calibri" w:hAnsi="Calibri"/>
          <w:i/>
          <w:sz w:val="24"/>
        </w:rPr>
        <w:t>of</w:t>
      </w:r>
      <w:r>
        <w:rPr>
          <w:rFonts w:ascii="Calibri" w:hAnsi="Calibri"/>
          <w:i/>
          <w:spacing w:val="-11"/>
          <w:sz w:val="24"/>
        </w:rPr>
        <w:t> </w:t>
      </w:r>
      <w:r>
        <w:rPr>
          <w:rFonts w:ascii="Calibri" w:hAnsi="Calibri"/>
          <w:i/>
          <w:sz w:val="24"/>
        </w:rPr>
        <w:t>Select</w:t>
      </w:r>
      <w:r>
        <w:rPr>
          <w:rFonts w:ascii="Calibri" w:hAnsi="Calibri"/>
          <w:i/>
          <w:spacing w:val="-13"/>
          <w:sz w:val="24"/>
        </w:rPr>
        <w:t> </w:t>
      </w:r>
      <w:r>
        <w:rPr>
          <w:rFonts w:ascii="Calibri" w:hAnsi="Calibri"/>
          <w:i/>
          <w:sz w:val="24"/>
        </w:rPr>
        <w:t>Private</w:t>
      </w:r>
      <w:r>
        <w:rPr>
          <w:rFonts w:ascii="Calibri" w:hAnsi="Calibri"/>
          <w:i/>
          <w:spacing w:val="-12"/>
          <w:sz w:val="24"/>
        </w:rPr>
        <w:t> </w:t>
      </w:r>
      <w:r>
        <w:rPr>
          <w:rFonts w:ascii="Calibri" w:hAnsi="Calibri"/>
          <w:i/>
          <w:sz w:val="24"/>
        </w:rPr>
        <w:t>Equity</w:t>
      </w:r>
      <w:r>
        <w:rPr>
          <w:rFonts w:ascii="Calibri" w:hAnsi="Calibri"/>
          <w:i/>
          <w:spacing w:val="-12"/>
          <w:sz w:val="24"/>
        </w:rPr>
        <w:t> </w:t>
      </w:r>
      <w:r>
        <w:rPr>
          <w:rFonts w:ascii="Calibri" w:hAnsi="Calibri"/>
          <w:i/>
          <w:sz w:val="24"/>
        </w:rPr>
        <w:t>Funds in India</w:t>
      </w:r>
      <w:r>
        <w:rPr>
          <w:rFonts w:ascii="Calibri" w:hAnsi="Calibri"/>
          <w:sz w:val="24"/>
        </w:rPr>
        <w:t>. </w:t>
      </w:r>
      <w:r>
        <w:rPr>
          <w:rFonts w:ascii="Calibri" w:hAnsi="Calibri"/>
          <w:i/>
          <w:sz w:val="24"/>
        </w:rPr>
        <w:t>22</w:t>
      </w:r>
      <w:r>
        <w:rPr>
          <w:rFonts w:ascii="Calibri" w:hAnsi="Calibri"/>
          <w:sz w:val="24"/>
        </w:rPr>
        <w:t>, 42–51. https://doi.org/10.3905/jpe.2018.1.074</w:t>
      </w:r>
    </w:p>
    <w:sectPr>
      <w:pgSz w:w="11910" w:h="16840"/>
      <w:pgMar w:header="0" w:footer="1009" w:top="1380" w:bottom="120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896416</wp:posOffset>
              </wp:positionH>
              <wp:positionV relativeFrom="page">
                <wp:posOffset>9873994</wp:posOffset>
              </wp:positionV>
              <wp:extent cx="576961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69610" cy="6350"/>
                      </a:xfrm>
                      <a:custGeom>
                        <a:avLst/>
                        <a:gdLst/>
                        <a:ahLst/>
                        <a:cxnLst/>
                        <a:rect l="l" t="t" r="r" b="b"/>
                        <a:pathLst>
                          <a:path w="5769610" h="6350">
                            <a:moveTo>
                              <a:pt x="5769610" y="0"/>
                            </a:moveTo>
                            <a:lnTo>
                              <a:pt x="0" y="0"/>
                            </a:lnTo>
                            <a:lnTo>
                              <a:pt x="0" y="6096"/>
                            </a:lnTo>
                            <a:lnTo>
                              <a:pt x="5769610" y="6096"/>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77.479919pt;width:454.3pt;height:.48004pt;mso-position-horizontal-relative:page;mso-position-vertical-relative:page;z-index:-16632320" id="docshape3"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684672">
              <wp:simplePos x="0" y="0"/>
              <wp:positionH relativeFrom="page">
                <wp:posOffset>5927597</wp:posOffset>
              </wp:positionH>
              <wp:positionV relativeFrom="page">
                <wp:posOffset>9885509</wp:posOffset>
              </wp:positionV>
              <wp:extent cx="69469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94690" cy="194310"/>
                      </a:xfrm>
                      <a:prstGeom prst="rect">
                        <a:avLst/>
                      </a:prstGeom>
                    </wps:spPr>
                    <wps:txbx>
                      <w:txbxContent>
                        <w:p>
                          <w:pPr>
                            <w:pStyle w:val="BodyText"/>
                            <w:spacing w:before="10"/>
                            <w:ind w:left="20"/>
                          </w:pPr>
                          <w:r>
                            <w:rPr/>
                            <w:fldChar w:fldCharType="begin"/>
                          </w:r>
                          <w:r>
                            <w:rPr/>
                            <w:instrText> PAGE </w:instrText>
                          </w:r>
                          <w:r>
                            <w:rPr/>
                            <w:fldChar w:fldCharType="separate"/>
                          </w:r>
                          <w:r>
                            <w:rPr/>
                            <w:t>10</w:t>
                          </w:r>
                          <w:r>
                            <w:rPr/>
                            <w:fldChar w:fldCharType="end"/>
                          </w:r>
                          <w:r>
                            <w:rPr/>
                            <w:t> |</w:t>
                          </w:r>
                          <w:r>
                            <w:rPr>
                              <w:spacing w:val="-1"/>
                            </w:rPr>
                            <w:t> </w:t>
                          </w:r>
                          <w:r>
                            <w:rPr>
                              <w:color w:val="7E7E7E"/>
                            </w:rPr>
                            <w:t>P a</w:t>
                          </w:r>
                          <w:r>
                            <w:rPr>
                              <w:color w:val="7E7E7E"/>
                              <w:spacing w:val="-2"/>
                            </w:rPr>
                            <w:t> </w:t>
                          </w:r>
                          <w:r>
                            <w:rPr>
                              <w:color w:val="7E7E7E"/>
                            </w:rPr>
                            <w:t>g</w:t>
                          </w:r>
                          <w:r>
                            <w:rPr>
                              <w:color w:val="7E7E7E"/>
                              <w:spacing w:val="-1"/>
                            </w:rPr>
                            <w:t> </w:t>
                          </w:r>
                          <w:r>
                            <w:rPr>
                              <w:color w:val="7E7E7E"/>
                              <w:spacing w:val="-10"/>
                            </w:rPr>
                            <w: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6.73999pt;margin-top:778.386597pt;width:54.7pt;height:15.3pt;mso-position-horizontal-relative:page;mso-position-vertical-relative:page;z-index:-16631808" type="#_x0000_t202" id="docshape4" filled="false" stroked="false">
              <v:textbox inset="0,0,0,0">
                <w:txbxContent>
                  <w:p>
                    <w:pPr>
                      <w:pStyle w:val="BodyText"/>
                      <w:spacing w:before="10"/>
                      <w:ind w:left="20"/>
                    </w:pPr>
                    <w:r>
                      <w:rPr/>
                      <w:fldChar w:fldCharType="begin"/>
                    </w:r>
                    <w:r>
                      <w:rPr/>
                      <w:instrText> PAGE </w:instrText>
                    </w:r>
                    <w:r>
                      <w:rPr/>
                      <w:fldChar w:fldCharType="separate"/>
                    </w:r>
                    <w:r>
                      <w:rPr/>
                      <w:t>10</w:t>
                    </w:r>
                    <w:r>
                      <w:rPr/>
                      <w:fldChar w:fldCharType="end"/>
                    </w:r>
                    <w:r>
                      <w:rPr/>
                      <w:t> |</w:t>
                    </w:r>
                    <w:r>
                      <w:rPr>
                        <w:spacing w:val="-1"/>
                      </w:rPr>
                      <w:t> </w:t>
                    </w:r>
                    <w:r>
                      <w:rPr>
                        <w:color w:val="7E7E7E"/>
                      </w:rPr>
                      <w:t>P a</w:t>
                    </w:r>
                    <w:r>
                      <w:rPr>
                        <w:color w:val="7E7E7E"/>
                        <w:spacing w:val="-2"/>
                      </w:rPr>
                      <w:t> </w:t>
                    </w:r>
                    <w:r>
                      <w:rPr>
                        <w:color w:val="7E7E7E"/>
                      </w:rPr>
                      <w:t>g</w:t>
                    </w:r>
                    <w:r>
                      <w:rPr>
                        <w:color w:val="7E7E7E"/>
                        <w:spacing w:val="-1"/>
                      </w:rPr>
                      <w:t> </w:t>
                    </w:r>
                    <w:r>
                      <w:rPr>
                        <w:color w:val="7E7E7E"/>
                        <w:spacing w:val="-10"/>
                      </w:rPr>
                      <w:t>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896416</wp:posOffset>
              </wp:positionH>
              <wp:positionV relativeFrom="page">
                <wp:posOffset>9873994</wp:posOffset>
              </wp:positionV>
              <wp:extent cx="5769610"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769610" cy="6350"/>
                      </a:xfrm>
                      <a:custGeom>
                        <a:avLst/>
                        <a:gdLst/>
                        <a:ahLst/>
                        <a:cxnLst/>
                        <a:rect l="l" t="t" r="r" b="b"/>
                        <a:pathLst>
                          <a:path w="5769610" h="6350">
                            <a:moveTo>
                              <a:pt x="5769610" y="0"/>
                            </a:moveTo>
                            <a:lnTo>
                              <a:pt x="0" y="0"/>
                            </a:lnTo>
                            <a:lnTo>
                              <a:pt x="0" y="6096"/>
                            </a:lnTo>
                            <a:lnTo>
                              <a:pt x="5769610" y="6096"/>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77.479919pt;width:454.3pt;height:.48004pt;mso-position-horizontal-relative:page;mso-position-vertical-relative:page;z-index:-16632320" id="docshape5"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684672">
              <wp:simplePos x="0" y="0"/>
              <wp:positionH relativeFrom="page">
                <wp:posOffset>5927597</wp:posOffset>
              </wp:positionH>
              <wp:positionV relativeFrom="page">
                <wp:posOffset>9885509</wp:posOffset>
              </wp:positionV>
              <wp:extent cx="69469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94690" cy="194310"/>
                      </a:xfrm>
                      <a:prstGeom prst="rect">
                        <a:avLst/>
                      </a:prstGeom>
                    </wps:spPr>
                    <wps:txbx>
                      <w:txbxContent>
                        <w:p>
                          <w:pPr>
                            <w:pStyle w:val="BodyText"/>
                            <w:spacing w:before="10"/>
                            <w:ind w:left="20"/>
                          </w:pPr>
                          <w:r>
                            <w:rPr/>
                            <w:fldChar w:fldCharType="begin"/>
                          </w:r>
                          <w:r>
                            <w:rPr/>
                            <w:instrText> PAGE </w:instrText>
                          </w:r>
                          <w:r>
                            <w:rPr/>
                            <w:fldChar w:fldCharType="separate"/>
                          </w:r>
                          <w:r>
                            <w:rPr/>
                            <w:t>10</w:t>
                          </w:r>
                          <w:r>
                            <w:rPr/>
                            <w:fldChar w:fldCharType="end"/>
                          </w:r>
                          <w:r>
                            <w:rPr/>
                            <w:t> |</w:t>
                          </w:r>
                          <w:r>
                            <w:rPr>
                              <w:spacing w:val="-1"/>
                            </w:rPr>
                            <w:t> </w:t>
                          </w:r>
                          <w:r>
                            <w:rPr>
                              <w:color w:val="7E7E7E"/>
                            </w:rPr>
                            <w:t>P a</w:t>
                          </w:r>
                          <w:r>
                            <w:rPr>
                              <w:color w:val="7E7E7E"/>
                              <w:spacing w:val="-2"/>
                            </w:rPr>
                            <w:t> </w:t>
                          </w:r>
                          <w:r>
                            <w:rPr>
                              <w:color w:val="7E7E7E"/>
                            </w:rPr>
                            <w:t>g</w:t>
                          </w:r>
                          <w:r>
                            <w:rPr>
                              <w:color w:val="7E7E7E"/>
                              <w:spacing w:val="-1"/>
                            </w:rPr>
                            <w:t> </w:t>
                          </w:r>
                          <w:r>
                            <w:rPr>
                              <w:color w:val="7E7E7E"/>
                              <w:spacing w:val="-10"/>
                            </w:rPr>
                            <w:t>e</w:t>
                          </w:r>
                        </w:p>
                      </w:txbxContent>
                    </wps:txbx>
                    <wps:bodyPr wrap="square" lIns="0" tIns="0" rIns="0" bIns="0" rtlCol="0">
                      <a:noAutofit/>
                    </wps:bodyPr>
                  </wps:wsp>
                </a:graphicData>
              </a:graphic>
            </wp:anchor>
          </w:drawing>
        </mc:Choice>
        <mc:Fallback>
          <w:pict>
            <v:shape style="position:absolute;margin-left:466.73999pt;margin-top:778.386597pt;width:54.7pt;height:15.3pt;mso-position-horizontal-relative:page;mso-position-vertical-relative:page;z-index:-16631808" type="#_x0000_t202" id="docshape6" filled="false" stroked="false">
              <v:textbox inset="0,0,0,0">
                <w:txbxContent>
                  <w:p>
                    <w:pPr>
                      <w:pStyle w:val="BodyText"/>
                      <w:spacing w:before="10"/>
                      <w:ind w:left="20"/>
                    </w:pPr>
                    <w:r>
                      <w:rPr/>
                      <w:fldChar w:fldCharType="begin"/>
                    </w:r>
                    <w:r>
                      <w:rPr/>
                      <w:instrText> PAGE </w:instrText>
                    </w:r>
                    <w:r>
                      <w:rPr/>
                      <w:fldChar w:fldCharType="separate"/>
                    </w:r>
                    <w:r>
                      <w:rPr/>
                      <w:t>10</w:t>
                    </w:r>
                    <w:r>
                      <w:rPr/>
                      <w:fldChar w:fldCharType="end"/>
                    </w:r>
                    <w:r>
                      <w:rPr/>
                      <w:t> |</w:t>
                    </w:r>
                    <w:r>
                      <w:rPr>
                        <w:spacing w:val="-1"/>
                      </w:rPr>
                      <w:t> </w:t>
                    </w:r>
                    <w:r>
                      <w:rPr>
                        <w:color w:val="7E7E7E"/>
                      </w:rPr>
                      <w:t>P a</w:t>
                    </w:r>
                    <w:r>
                      <w:rPr>
                        <w:color w:val="7E7E7E"/>
                        <w:spacing w:val="-2"/>
                      </w:rPr>
                      <w:t> </w:t>
                    </w:r>
                    <w:r>
                      <w:rPr>
                        <w:color w:val="7E7E7E"/>
                      </w:rPr>
                      <w:t>g</w:t>
                    </w:r>
                    <w:r>
                      <w:rPr>
                        <w:color w:val="7E7E7E"/>
                        <w:spacing w:val="-1"/>
                      </w:rPr>
                      <w:t> </w:t>
                    </w:r>
                    <w:r>
                      <w:rPr>
                        <w:color w:val="7E7E7E"/>
                        <w:spacing w:val="-10"/>
                      </w:rPr>
                      <w:t>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4"/>
      <w:numFmt w:val="decimal"/>
      <w:lvlText w:val="%1"/>
      <w:lvlJc w:val="left"/>
      <w:pPr>
        <w:ind w:left="412" w:hanging="389"/>
        <w:jc w:val="left"/>
      </w:pPr>
      <w:rPr>
        <w:rFonts w:hint="default"/>
        <w:lang w:val="en-US" w:eastAsia="en-US" w:bidi="ar-SA"/>
      </w:rPr>
    </w:lvl>
    <w:lvl w:ilvl="1">
      <w:start w:val="1"/>
      <w:numFmt w:val="decimal"/>
      <w:lvlText w:val="%1.%2"/>
      <w:lvlJc w:val="left"/>
      <w:pPr>
        <w:ind w:left="412"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563"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624" w:hanging="540"/>
      </w:pPr>
      <w:rPr>
        <w:rFonts w:hint="default"/>
        <w:lang w:val="en-US" w:eastAsia="en-US" w:bidi="ar-SA"/>
      </w:rPr>
    </w:lvl>
    <w:lvl w:ilvl="4">
      <w:start w:val="0"/>
      <w:numFmt w:val="bullet"/>
      <w:lvlText w:val="•"/>
      <w:lvlJc w:val="left"/>
      <w:pPr>
        <w:ind w:left="2688" w:hanging="540"/>
      </w:pPr>
      <w:rPr>
        <w:rFonts w:hint="default"/>
        <w:lang w:val="en-US" w:eastAsia="en-US" w:bidi="ar-SA"/>
      </w:rPr>
    </w:lvl>
    <w:lvl w:ilvl="5">
      <w:start w:val="0"/>
      <w:numFmt w:val="bullet"/>
      <w:lvlText w:val="•"/>
      <w:lvlJc w:val="left"/>
      <w:pPr>
        <w:ind w:left="3752" w:hanging="540"/>
      </w:pPr>
      <w:rPr>
        <w:rFonts w:hint="default"/>
        <w:lang w:val="en-US" w:eastAsia="en-US" w:bidi="ar-SA"/>
      </w:rPr>
    </w:lvl>
    <w:lvl w:ilvl="6">
      <w:start w:val="0"/>
      <w:numFmt w:val="bullet"/>
      <w:lvlText w:val="•"/>
      <w:lvlJc w:val="left"/>
      <w:pPr>
        <w:ind w:left="4816" w:hanging="540"/>
      </w:pPr>
      <w:rPr>
        <w:rFonts w:hint="default"/>
        <w:lang w:val="en-US" w:eastAsia="en-US" w:bidi="ar-SA"/>
      </w:rPr>
    </w:lvl>
    <w:lvl w:ilvl="7">
      <w:start w:val="0"/>
      <w:numFmt w:val="bullet"/>
      <w:lvlText w:val="•"/>
      <w:lvlJc w:val="left"/>
      <w:pPr>
        <w:ind w:left="5880" w:hanging="540"/>
      </w:pPr>
      <w:rPr>
        <w:rFonts w:hint="default"/>
        <w:lang w:val="en-US" w:eastAsia="en-US" w:bidi="ar-SA"/>
      </w:rPr>
    </w:lvl>
    <w:lvl w:ilvl="8">
      <w:start w:val="0"/>
      <w:numFmt w:val="bullet"/>
      <w:lvlText w:val="•"/>
      <w:lvlJc w:val="left"/>
      <w:pPr>
        <w:ind w:left="6944" w:hanging="540"/>
      </w:pPr>
      <w:rPr>
        <w:rFonts w:hint="default"/>
        <w:lang w:val="en-US" w:eastAsia="en-US" w:bidi="ar-SA"/>
      </w:rPr>
    </w:lvl>
  </w:abstractNum>
  <w:abstractNum w:abstractNumId="3">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2">
    <w:multiLevelType w:val="hybridMultilevel"/>
    <w:lvl w:ilvl="0">
      <w:start w:val="1"/>
      <w:numFmt w:val="decimal"/>
      <w:lvlText w:val="%1."/>
      <w:lvlJc w:val="left"/>
      <w:pPr>
        <w:ind w:left="304"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412"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563"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743"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1930" w:hanging="360"/>
      </w:pPr>
      <w:rPr>
        <w:rFonts w:hint="default"/>
        <w:lang w:val="en-US" w:eastAsia="en-US" w:bidi="ar-SA"/>
      </w:rPr>
    </w:lvl>
    <w:lvl w:ilvl="5">
      <w:start w:val="0"/>
      <w:numFmt w:val="bullet"/>
      <w:lvlText w:val="•"/>
      <w:lvlJc w:val="left"/>
      <w:pPr>
        <w:ind w:left="3120" w:hanging="360"/>
      </w:pPr>
      <w:rPr>
        <w:rFonts w:hint="default"/>
        <w:lang w:val="en-US" w:eastAsia="en-US" w:bidi="ar-SA"/>
      </w:rPr>
    </w:lvl>
    <w:lvl w:ilvl="6">
      <w:start w:val="0"/>
      <w:numFmt w:val="bullet"/>
      <w:lvlText w:val="•"/>
      <w:lvlJc w:val="left"/>
      <w:pPr>
        <w:ind w:left="4311" w:hanging="360"/>
      </w:pPr>
      <w:rPr>
        <w:rFonts w:hint="default"/>
        <w:lang w:val="en-US" w:eastAsia="en-US" w:bidi="ar-SA"/>
      </w:rPr>
    </w:lvl>
    <w:lvl w:ilvl="7">
      <w:start w:val="0"/>
      <w:numFmt w:val="bullet"/>
      <w:lvlText w:val="•"/>
      <w:lvlJc w:val="left"/>
      <w:pPr>
        <w:ind w:left="5501" w:hanging="360"/>
      </w:pPr>
      <w:rPr>
        <w:rFonts w:hint="default"/>
        <w:lang w:val="en-US" w:eastAsia="en-US" w:bidi="ar-SA"/>
      </w:rPr>
    </w:lvl>
    <w:lvl w:ilvl="8">
      <w:start w:val="0"/>
      <w:numFmt w:val="bullet"/>
      <w:lvlText w:val="•"/>
      <w:lvlJc w:val="left"/>
      <w:pPr>
        <w:ind w:left="6691" w:hanging="360"/>
      </w:pPr>
      <w:rPr>
        <w:rFonts w:hint="default"/>
        <w:lang w:val="en-US" w:eastAsia="en-US" w:bidi="ar-SA"/>
      </w:rPr>
    </w:lvl>
  </w:abstractNum>
  <w:abstractNum w:abstractNumId="1">
    <w:multiLevelType w:val="hybridMultilevel"/>
    <w:lvl w:ilvl="0">
      <w:start w:val="4"/>
      <w:numFmt w:val="decimal"/>
      <w:lvlText w:val="%1"/>
      <w:lvlJc w:val="left"/>
      <w:pPr>
        <w:ind w:left="623" w:hanging="360"/>
        <w:jc w:val="left"/>
      </w:pPr>
      <w:rPr>
        <w:rFonts w:hint="default"/>
        <w:lang w:val="en-US" w:eastAsia="en-US" w:bidi="ar-SA"/>
      </w:rPr>
    </w:lvl>
    <w:lvl w:ilvl="1">
      <w:start w:val="1"/>
      <w:numFmt w:val="decimal"/>
      <w:lvlText w:val="%1.%2"/>
      <w:lvlJc w:val="left"/>
      <w:pPr>
        <w:ind w:left="62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043"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044" w:hanging="540"/>
      </w:pPr>
      <w:rPr>
        <w:rFonts w:hint="default"/>
        <w:lang w:val="en-US" w:eastAsia="en-US" w:bidi="ar-SA"/>
      </w:rPr>
    </w:lvl>
    <w:lvl w:ilvl="4">
      <w:start w:val="0"/>
      <w:numFmt w:val="bullet"/>
      <w:lvlText w:val="•"/>
      <w:lvlJc w:val="left"/>
      <w:pPr>
        <w:ind w:left="3048" w:hanging="540"/>
      </w:pPr>
      <w:rPr>
        <w:rFonts w:hint="default"/>
        <w:lang w:val="en-US" w:eastAsia="en-US" w:bidi="ar-SA"/>
      </w:rPr>
    </w:lvl>
    <w:lvl w:ilvl="5">
      <w:start w:val="0"/>
      <w:numFmt w:val="bullet"/>
      <w:lvlText w:val="•"/>
      <w:lvlJc w:val="left"/>
      <w:pPr>
        <w:ind w:left="4052" w:hanging="540"/>
      </w:pPr>
      <w:rPr>
        <w:rFonts w:hint="default"/>
        <w:lang w:val="en-US" w:eastAsia="en-US" w:bidi="ar-SA"/>
      </w:rPr>
    </w:lvl>
    <w:lvl w:ilvl="6">
      <w:start w:val="0"/>
      <w:numFmt w:val="bullet"/>
      <w:lvlText w:val="•"/>
      <w:lvlJc w:val="left"/>
      <w:pPr>
        <w:ind w:left="5056" w:hanging="540"/>
      </w:pPr>
      <w:rPr>
        <w:rFonts w:hint="default"/>
        <w:lang w:val="en-US" w:eastAsia="en-US" w:bidi="ar-SA"/>
      </w:rPr>
    </w:lvl>
    <w:lvl w:ilvl="7">
      <w:start w:val="0"/>
      <w:numFmt w:val="bullet"/>
      <w:lvlText w:val="•"/>
      <w:lvlJc w:val="left"/>
      <w:pPr>
        <w:ind w:left="6060" w:hanging="540"/>
      </w:pPr>
      <w:rPr>
        <w:rFonts w:hint="default"/>
        <w:lang w:val="en-US" w:eastAsia="en-US" w:bidi="ar-SA"/>
      </w:rPr>
    </w:lvl>
    <w:lvl w:ilvl="8">
      <w:start w:val="0"/>
      <w:numFmt w:val="bullet"/>
      <w:lvlText w:val="•"/>
      <w:lvlJc w:val="left"/>
      <w:pPr>
        <w:ind w:left="7064" w:hanging="540"/>
      </w:pPr>
      <w:rPr>
        <w:rFonts w:hint="default"/>
        <w:lang w:val="en-US" w:eastAsia="en-US" w:bidi="ar-SA"/>
      </w:rPr>
    </w:lvl>
  </w:abstractNum>
  <w:abstractNum w:abstractNumId="0">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62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043"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044" w:hanging="540"/>
      </w:pPr>
      <w:rPr>
        <w:rFonts w:hint="default"/>
        <w:lang w:val="en-US" w:eastAsia="en-US" w:bidi="ar-SA"/>
      </w:rPr>
    </w:lvl>
    <w:lvl w:ilvl="4">
      <w:start w:val="0"/>
      <w:numFmt w:val="bullet"/>
      <w:lvlText w:val="•"/>
      <w:lvlJc w:val="left"/>
      <w:pPr>
        <w:ind w:left="3048" w:hanging="540"/>
      </w:pPr>
      <w:rPr>
        <w:rFonts w:hint="default"/>
        <w:lang w:val="en-US" w:eastAsia="en-US" w:bidi="ar-SA"/>
      </w:rPr>
    </w:lvl>
    <w:lvl w:ilvl="5">
      <w:start w:val="0"/>
      <w:numFmt w:val="bullet"/>
      <w:lvlText w:val="•"/>
      <w:lvlJc w:val="left"/>
      <w:pPr>
        <w:ind w:left="4052" w:hanging="540"/>
      </w:pPr>
      <w:rPr>
        <w:rFonts w:hint="default"/>
        <w:lang w:val="en-US" w:eastAsia="en-US" w:bidi="ar-SA"/>
      </w:rPr>
    </w:lvl>
    <w:lvl w:ilvl="6">
      <w:start w:val="0"/>
      <w:numFmt w:val="bullet"/>
      <w:lvlText w:val="•"/>
      <w:lvlJc w:val="left"/>
      <w:pPr>
        <w:ind w:left="5056" w:hanging="540"/>
      </w:pPr>
      <w:rPr>
        <w:rFonts w:hint="default"/>
        <w:lang w:val="en-US" w:eastAsia="en-US" w:bidi="ar-SA"/>
      </w:rPr>
    </w:lvl>
    <w:lvl w:ilvl="7">
      <w:start w:val="0"/>
      <w:numFmt w:val="bullet"/>
      <w:lvlText w:val="•"/>
      <w:lvlJc w:val="left"/>
      <w:pPr>
        <w:ind w:left="6060" w:hanging="540"/>
      </w:pPr>
      <w:rPr>
        <w:rFonts w:hint="default"/>
        <w:lang w:val="en-US" w:eastAsia="en-US" w:bidi="ar-SA"/>
      </w:rPr>
    </w:lvl>
    <w:lvl w:ilvl="8">
      <w:start w:val="0"/>
      <w:numFmt w:val="bullet"/>
      <w:lvlText w:val="•"/>
      <w:lvlJc w:val="left"/>
      <w:pPr>
        <w:ind w:left="7064" w:hanging="54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38"/>
      <w:ind w:left="23" w:hanging="24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238"/>
      <w:ind w:left="623" w:hanging="36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238"/>
      <w:ind w:left="1043"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4"/>
      <w:ind w:left="23" w:hanging="279"/>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61"/>
      <w:ind w:left="411" w:hanging="388"/>
      <w:jc w:val="both"/>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spacing w:before="159"/>
      <w:ind w:left="563" w:hanging="540"/>
      <w:jc w:val="both"/>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324"/>
      <w:ind w:left="2" w:right="3"/>
      <w:jc w:val="center"/>
    </w:pPr>
    <w:rPr>
      <w:rFonts w:ascii="Times New Roman" w:hAnsi="Times New Roman" w:eastAsia="Times New Roman" w:cs="Times New Roman"/>
      <w:sz w:val="56"/>
      <w:szCs w:val="56"/>
      <w:lang w:val="en-US" w:eastAsia="en-US" w:bidi="ar-SA"/>
    </w:rPr>
  </w:style>
  <w:style w:styleId="ListParagraph" w:type="paragraph">
    <w:name w:val="List Paragraph"/>
    <w:basedOn w:val="Normal"/>
    <w:uiPriority w:val="1"/>
    <w:qFormat/>
    <w:pPr>
      <w:spacing w:before="238"/>
      <w:ind w:left="743" w:hanging="5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hyperlink" Target="https://doi.org/10.51594/ijmer.v6i9.1530" TargetMode="External"/><Relationship Id="rId51" Type="http://schemas.openxmlformats.org/officeDocument/2006/relationships/hyperlink" Target="https://doi.org/10.1016/j.ememar.2024.101149" TargetMode="External"/><Relationship Id="rId52" Type="http://schemas.openxmlformats.org/officeDocument/2006/relationships/hyperlink" Target="https://doi.org/10.3390/jcp4030024" TargetMode="External"/><Relationship Id="rId53" Type="http://schemas.openxmlformats.org/officeDocument/2006/relationships/hyperlink" Target="http://www.pwc.com/gx/en/services/deals/trends.html" TargetMode="External"/><Relationship Id="rId54" Type="http://schemas.openxmlformats.org/officeDocument/2006/relationships/hyperlink" Target="http://www.entrepreneur.com/en-in/news-and-trends/india-emerges-as-bright-spot-" TargetMode="External"/><Relationship Id="rId55" Type="http://schemas.openxmlformats.org/officeDocument/2006/relationships/hyperlink" Target="http://www.bain.com/insights/india-private-equity-report-2025/" TargetMode="External"/><Relationship Id="rId5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Ajeem Ansari</dc:creator>
  <dcterms:created xsi:type="dcterms:W3CDTF">2026-01-05T06:38:50Z</dcterms:created>
  <dcterms:modified xsi:type="dcterms:W3CDTF">2026-01-05T06:38:50Z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Creator">
    <vt:lpwstr>Microsoft® Word 2024</vt:lpwstr>
  </property>
  <property fmtid="{D5CDD505-2E9C-101B-9397-08002B2CF9AE}" pid="4" name="LastSaved">
    <vt:filetime>2026-01-05T00:00:00Z</vt:filetime>
  </property>
  <property fmtid="{D5CDD505-2E9C-101B-9397-08002B2CF9AE}" pid="5" name="Producer">
    <vt:lpwstr>Microsoft® Word 2024</vt:lpwstr>
  </property>
</Properties>
</file>