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rFonts w:ascii="Georgia" w:cs="Georgia" w:eastAsia="Georgia" w:hAnsi="Georgia"/>
          <w:i w:val="1"/>
          <w:color w:val="263238"/>
          <w:sz w:val="30"/>
          <w:szCs w:val="30"/>
          <w:rtl w:val="0"/>
        </w:rPr>
        <w:t xml:space="preserve">A bullet expresses a clear benefit and promise to the reader. That’s right… they’re mini-headlines. Bullets encourage the scanning reader to go back into the real meat of your content, or go forward with your call to action.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rFonts w:ascii="Georgia" w:cs="Georgia" w:eastAsia="Georgia" w:hAnsi="Georgia"/>
          <w:i w:val="1"/>
          <w:color w:val="263238"/>
          <w:sz w:val="30"/>
          <w:szCs w:val="30"/>
          <w:rtl w:val="0"/>
        </w:rPr>
        <w:t xml:space="preserve">Keep your bullet points symmetrical if possible; meaning, one line each, two lines each, etc. It’s easier on the eyes and therefore easier on the reader.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rFonts w:ascii="Georgia" w:cs="Georgia" w:eastAsia="Georgia" w:hAnsi="Georgia"/>
          <w:i w:val="1"/>
          <w:color w:val="263238"/>
          <w:sz w:val="30"/>
          <w:szCs w:val="30"/>
          <w:rtl w:val="0"/>
        </w:rPr>
        <w:t xml:space="preserve">Avoid bullet clutter at all costs. Do not get into a detailed outline jumble of subtitles, bullets and sub-bullets. Bullets are designed for clarity, not confusion.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rFonts w:ascii="Georgia" w:cs="Georgia" w:eastAsia="Georgia" w:hAnsi="Georgia"/>
          <w:i w:val="1"/>
          <w:color w:val="263238"/>
          <w:sz w:val="30"/>
          <w:szCs w:val="30"/>
          <w:rtl w:val="0"/>
        </w:rPr>
        <w:t xml:space="preserve">Practice parallelism. Keep your bullet groups thematically related, begin each bullet with the same part of speech, and maintain the same grammatical form.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rFonts w:ascii="Georgia" w:cs="Georgia" w:eastAsia="Georgia" w:hAnsi="Georgia"/>
          <w:i w:val="1"/>
          <w:color w:val="263238"/>
          <w:sz w:val="30"/>
          <w:szCs w:val="30"/>
          <w:rtl w:val="0"/>
        </w:rPr>
        <w:t xml:space="preserve">Remember that bullets (like headlines) are not necessarily sentences. If you want to write complete sentences, stick with a paragraph or a numbered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920" w:lineRule="auto"/>
        <w:ind w:left="1320" w:hanging="360"/>
        <w:rPr>
          <w:rFonts w:ascii="Georgia" w:cs="Georgia" w:eastAsia="Georgia" w:hAnsi="Georgia"/>
          <w:i w:val="1"/>
          <w:color w:val="263238"/>
          <w:sz w:val="30"/>
          <w:szCs w:val="30"/>
          <w:u w:val="none"/>
        </w:rPr>
      </w:pPr>
      <w:r w:rsidDel="00000000" w:rsidR="00000000" w:rsidRPr="00000000">
        <w:rPr>
          <w:i w:val="1"/>
          <w:color w:val="263238"/>
          <w:sz w:val="20"/>
          <w:szCs w:val="20"/>
          <w:rtl w:val="0"/>
        </w:rPr>
        <w:t xml:space="preserve">Ì(Ì((!''+'')[ó-É]+(!''+'')[ó]+(!''+' ')[ó-ó]+(!''+'')[É]+((!''+''))[ó-É]+ ([].$+'')[ó-É]+'''+''+''+(ó-É)+(É+É) +(ó-É)+''+...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20" w:lineRule="auto"/>
        <w:rPr>
          <w:rFonts w:ascii="Georgia" w:cs="Georgia" w:eastAsia="Georgia" w:hAnsi="Georgia"/>
          <w:color w:val="263238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63238"/>
          <w:sz w:val="30"/>
          <w:szCs w:val="30"/>
          <w:rtl w:val="0"/>
        </w:rPr>
        <w:t xml:space="preserve">•</w:t>
        <w:tab/>
        <w:t xml:space="preserve">You may have seen writers complain about the proliferation of “listicles” in recent years.</w:t>
        <w:br w:type="textWrapping"/>
        <w:t xml:space="preserve">•</w:t>
        <w:tab/>
        <w:t xml:space="preserve">The thing is, the elitists don’t know what they’re talking about. Again, in this fast, short, and constantly evolving digital world, she who makes sense first, wins.</w:t>
        <w:br w:type="textWrapping"/>
        <w:t xml:space="preserve">•</w:t>
        <w:tab/>
        <w:t xml:space="preserve">And one of the best ways to make sense of an idea — especially online — is not to dumb it down, it’s to break it up into digestible chunks.</w:t>
        <w:br w:type="textWrapping"/>
        <w:t xml:space="preserve">•</w:t>
        <w:tab/>
        <w:t xml:space="preserve">Bullet points can be a great way to do that — but don’t just rely on the stale, simplistic bullet point types you’re using now. Expand your range and add these to your copy tollbox:</w:t>
        <w:br w:type="textWrapping"/>
      </w:r>
    </w:p>
    <w:p w:rsidR="00000000" w:rsidDel="00000000" w:rsidP="00000000" w:rsidRDefault="00000000" w:rsidRPr="00000000" w14:paraId="00000008">
      <w:pPr>
        <w:spacing w:after="920" w:lineRule="auto"/>
        <w:ind w:left="720" w:firstLine="0"/>
        <w:rPr>
          <w:rFonts w:ascii="Georgia" w:cs="Georgia" w:eastAsia="Georgia" w:hAnsi="Georgia"/>
          <w:i w:val="1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i w:val="1"/>
        <w:color w:val="263238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