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20" w:lineRule="auto"/>
        <w:rPr>
          <w:rFonts w:ascii="Georgia" w:cs="Georgia" w:eastAsia="Georgia" w:hAnsi="Georgia"/>
          <w:color w:val="263238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t xml:space="preserve">•</w:t>
        <w:tab/>
        <w:t xml:space="preserve">You may have seen writers complain about the proliferation of “listicles” in recent years.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Georgia" w:cs="Georgia" w:eastAsia="Georgia" w:hAnsi="Georgia"/>
          <w:color w:val="263238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t xml:space="preserve">I am Kinkini Gamage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Georgia" w:cs="Georgia" w:eastAsia="Georgia" w:hAnsi="Georgia"/>
          <w:color w:val="263238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t xml:space="preserve">I am from Ambalangoda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920" w:lineRule="auto"/>
        <w:ind w:left="720" w:hanging="360"/>
        <w:rPr>
          <w:rFonts w:ascii="Georgia" w:cs="Georgia" w:eastAsia="Georgia" w:hAnsi="Georgia"/>
          <w:color w:val="263238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t xml:space="preserve">I love ice cream</w:t>
      </w:r>
    </w:p>
    <w:p w:rsidR="00000000" w:rsidDel="00000000" w:rsidP="00000000" w:rsidRDefault="00000000" w:rsidRPr="00000000" w14:paraId="00000005">
      <w:pPr>
        <w:spacing w:after="920" w:lineRule="auto"/>
        <w:ind w:left="0" w:firstLine="0"/>
        <w:rPr>
          <w:rFonts w:ascii="Georgia" w:cs="Georgia" w:eastAsia="Georgia" w:hAnsi="Georgia"/>
          <w:color w:val="263238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br w:type="textWrapping"/>
        <w:t xml:space="preserve">•</w:t>
        <w:tab/>
        <w:t xml:space="preserve">The thing is, the elitists don’t know what they’re talking about. Again, in this fast, short, and constantly evolving digital world, she who makes sense first, wins.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color w:val="263238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t xml:space="preserve">Colombo is the main city in sri lanka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920" w:lineRule="auto"/>
        <w:ind w:left="720" w:hanging="360"/>
        <w:rPr>
          <w:rFonts w:ascii="Georgia" w:cs="Georgia" w:eastAsia="Georgia" w:hAnsi="Georgia"/>
          <w:color w:val="263238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t xml:space="preserve">What is the capital city in Sri Lanka</w:t>
        <w:br w:type="textWrapping"/>
        <w:t xml:space="preserve">•</w:t>
        <w:tab/>
        <w:t xml:space="preserve">And one of the best ways to make sense of an idea — especially online — is not to dumb it down, it’s to break it up into digestible chunks.</w:t>
        <w:br w:type="textWrapping"/>
        <w:t xml:space="preserve">•</w:t>
        <w:tab/>
        <w:t xml:space="preserve">Bullet points can be a great way to do that — but don’t just rely on the stale, simplistic bullet point types you’re using now. Expand </w:t>
      </w:r>
    </w:p>
    <w:p w:rsidR="00000000" w:rsidDel="00000000" w:rsidP="00000000" w:rsidRDefault="00000000" w:rsidRPr="00000000" w14:paraId="00000008">
      <w:pPr>
        <w:spacing w:after="920" w:lineRule="auto"/>
        <w:ind w:left="720" w:firstLine="0"/>
        <w:rPr>
          <w:rFonts w:ascii="Georgia" w:cs="Georgia" w:eastAsia="Georgia" w:hAnsi="Georgia"/>
          <w:color w:val="263238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