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LAB 1 – USE-CASE FLOW SPECIFICATION</w:t>
      </w:r>
    </w:p>
    <w:p>
      <w:pPr>
        <w:jc w:val="center"/>
      </w:pPr>
      <w:r>
        <w:rPr>
          <w:b/>
          <w:sz w:val="24"/>
        </w:rPr>
        <w:t>UC-02 – Grant Time-Bounded Consent</w:t>
      </w:r>
    </w:p>
    <w:p>
      <w:pPr>
        <w:jc w:val="center"/>
      </w:pPr>
      <w:r>
        <w:rPr>
          <w:sz w:val="18"/>
        </w:rPr>
        <w:t>Narayanan Arun | PES1UG24AM172 | Problem Statement #13</w:t>
      </w:r>
    </w:p>
    <w:p>
      <w:r>
        <w:rPr>
          <w:b/>
          <w:sz w:val="20"/>
        </w:rPr>
        <w:t>Preconditions</w:t>
      </w:r>
    </w:p>
    <w:p>
      <w:pPr>
        <w:spacing w:after="20" w:line="240" w:lineRule="auto"/>
      </w:pPr>
      <w:r>
        <w:rPr>
          <w:sz w:val="18"/>
        </w:rPr>
        <w:t>The patient is authenticated.</w:t>
      </w:r>
    </w:p>
    <w:p>
      <w:pPr>
        <w:spacing w:after="20" w:line="240" w:lineRule="auto"/>
      </w:pPr>
      <w:r>
        <w:rPr>
          <w:sz w:val="18"/>
        </w:rPr>
        <w:t>The selected doctor has been verified by the Clinic Administrator.</w:t>
      </w:r>
    </w:p>
    <w:p>
      <w:pPr>
        <w:spacing w:after="20" w:line="240" w:lineRule="auto"/>
      </w:pPr>
      <w:r>
        <w:rPr>
          <w:sz w:val="18"/>
        </w:rPr>
        <w:t>The requested diagnostic records exist in the patient's health record.</w:t>
      </w:r>
    </w:p>
    <w:p>
      <w:r>
        <w:rPr>
          <w:b/>
          <w:sz w:val="20"/>
        </w:rPr>
        <w:t>Postconditions</w:t>
      </w:r>
    </w:p>
    <w:p>
      <w:pPr>
        <w:spacing w:after="20" w:line="240" w:lineRule="auto"/>
      </w:pPr>
      <w:r>
        <w:rPr>
          <w:sz w:val="18"/>
        </w:rPr>
        <w:t>A consent permission is stored with the selected doctor, selected records, grant time, and expiry time.</w:t>
      </w:r>
    </w:p>
    <w:p>
      <w:pPr>
        <w:spacing w:after="20" w:line="240" w:lineRule="auto"/>
      </w:pPr>
      <w:r>
        <w:rPr>
          <w:sz w:val="18"/>
        </w:rPr>
        <w:t>The consent-grant event is written to the append-only audit trail.</w:t>
      </w:r>
    </w:p>
    <w:p>
      <w:r>
        <w:rPr>
          <w:b/>
          <w:sz w:val="20"/>
        </w:rPr>
        <w:t>Main Success Scenario</w:t>
      </w:r>
    </w:p>
    <w:p>
      <w:pPr>
        <w:spacing w:after="20" w:line="240" w:lineRule="auto"/>
      </w:pPr>
      <w:r>
        <w:rPr>
          <w:sz w:val="18"/>
        </w:rPr>
        <w:t>1. Patient opens Consent Management.</w:t>
      </w:r>
    </w:p>
    <w:p>
      <w:pPr>
        <w:spacing w:after="20" w:line="240" w:lineRule="auto"/>
      </w:pPr>
      <w:r>
        <w:rPr>
          <w:sz w:val="18"/>
        </w:rPr>
        <w:t>2. System displays available diagnostic records and eligible verified clinic doctors.</w:t>
      </w:r>
    </w:p>
    <w:p>
      <w:pPr>
        <w:spacing w:after="20" w:line="240" w:lineRule="auto"/>
      </w:pPr>
      <w:r>
        <w:rPr>
          <w:sz w:val="18"/>
        </w:rPr>
        <w:t>3. Patient selects one or more diagnostic records.</w:t>
      </w:r>
    </w:p>
    <w:p>
      <w:pPr>
        <w:spacing w:after="20" w:line="240" w:lineRule="auto"/>
      </w:pPr>
      <w:r>
        <w:rPr>
          <w:sz w:val="18"/>
        </w:rPr>
        <w:t>4. Patient selects a verified clinic doctor.</w:t>
      </w:r>
    </w:p>
    <w:p>
      <w:pPr>
        <w:spacing w:after="20" w:line="240" w:lineRule="auto"/>
      </w:pPr>
      <w:r>
        <w:rPr>
          <w:sz w:val="18"/>
        </w:rPr>
        <w:t>5. Patient specifies the consent expiry time.</w:t>
      </w:r>
    </w:p>
    <w:p>
      <w:pPr>
        <w:spacing w:after="20" w:line="240" w:lineRule="auto"/>
      </w:pPr>
      <w:r>
        <w:rPr>
          <w:sz w:val="18"/>
        </w:rPr>
        <w:t>6. System validates the doctor, record scope, and expiry details.</w:t>
      </w:r>
    </w:p>
    <w:p>
      <w:pPr>
        <w:spacing w:after="20" w:line="240" w:lineRule="auto"/>
      </w:pPr>
      <w:r>
        <w:rPr>
          <w:sz w:val="18"/>
        </w:rPr>
        <w:t>7. System creates the consent permission and marks it Active.</w:t>
      </w:r>
    </w:p>
    <w:p>
      <w:pPr>
        <w:spacing w:after="20" w:line="240" w:lineRule="auto"/>
      </w:pPr>
      <w:r>
        <w:rPr>
          <w:sz w:val="18"/>
        </w:rPr>
        <w:t>8. System records the grant event in the append-only audit trail.</w:t>
      </w:r>
    </w:p>
    <w:p>
      <w:pPr>
        <w:spacing w:after="20" w:line="240" w:lineRule="auto"/>
      </w:pPr>
      <w:r>
        <w:rPr>
          <w:sz w:val="18"/>
        </w:rPr>
        <w:t>9. System displays confirmation with the recipient, records, and expiry time.</w:t>
      </w:r>
    </w:p>
    <w:p>
      <w:pPr>
        <w:spacing w:after="20" w:line="240" w:lineRule="auto"/>
      </w:pPr>
      <w:r>
        <w:rPr>
          <w:sz w:val="18"/>
        </w:rPr>
        <w:t>10. Use case ends successfully.</w:t>
      </w:r>
    </w:p>
    <w:p>
      <w:r>
        <w:rPr>
          <w:b/>
          <w:sz w:val="20"/>
        </w:rPr>
        <w:t>Alternate Flow</w:t>
      </w:r>
    </w:p>
    <w:p>
      <w:pPr>
        <w:spacing w:after="20" w:line="240" w:lineRule="auto"/>
      </w:pPr>
      <w:r>
        <w:rPr>
          <w:sz w:val="18"/>
        </w:rPr>
        <w:t>6a. Invalid or Expired Consent Details</w:t>
      </w:r>
    </w:p>
    <w:p>
      <w:pPr>
        <w:spacing w:after="20" w:line="240" w:lineRule="auto"/>
      </w:pPr>
      <w:r>
        <w:rPr>
          <w:sz w:val="18"/>
        </w:rPr>
        <w:t>6a1. System detects an unverified doctor or invalid expiry details.</w:t>
      </w:r>
    </w:p>
    <w:p>
      <w:pPr>
        <w:spacing w:after="20" w:line="240" w:lineRule="auto"/>
      </w:pPr>
      <w:r>
        <w:rPr>
          <w:sz w:val="18"/>
        </w:rPr>
        <w:t>6a2. System rejects the consent request.</w:t>
      </w:r>
    </w:p>
    <w:p>
      <w:pPr>
        <w:spacing w:after="20" w:line="240" w:lineRule="auto"/>
      </w:pPr>
      <w:r>
        <w:rPr>
          <w:sz w:val="18"/>
        </w:rPr>
        <w:t>6a3. System displays the reason for rejection.</w:t>
      </w:r>
    </w:p>
    <w:p>
      <w:pPr>
        <w:spacing w:after="20" w:line="240" w:lineRule="auto"/>
      </w:pPr>
      <w:r>
        <w:rPr>
          <w:sz w:val="18"/>
        </w:rPr>
        <w:t>6a4. Patient may correct the details and resubmit.</w:t>
      </w:r>
    </w:p>
    <w:p>
      <w:r>
        <w:rPr>
          <w:sz w:val="16"/>
        </w:rPr>
        <w:t>Traceability: This flow is a member-specific scenario derived from Problem Statement #13 and the shared group requirements/UML model.</w:t>
      </w:r>
    </w:p>
    <w:sectPr w:rsidR="00FC693F" w:rsidRPr="0006063C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