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 – REQUIREMENTS ENGINEERING</w:t>
      </w:r>
    </w:p>
    <w:p>
      <w:pPr>
        <w:jc w:val="center"/>
      </w:pPr>
      <w:r>
        <w:rPr>
          <w:b/>
          <w:sz w:val="26"/>
        </w:rPr>
        <w:t>Patient Health Record Consent Management System</w:t>
      </w:r>
    </w:p>
    <w:p>
      <w:pPr>
        <w:jc w:val="center"/>
      </w:pPr>
      <w:r>
        <w:rPr>
          <w:sz w:val="20"/>
        </w:rPr>
        <w:t>Nishitha S  |  PES1UG24AM180  |  Problem Statement #13</w:t>
      </w:r>
    </w:p>
    <w:p>
      <w:pPr>
        <w:pStyle w:val="Heading1"/>
      </w:pPr>
      <w:r>
        <w:t>Requirements Table</w:t>
      </w:r>
    </w:p>
    <w:p>
      <w:r>
        <w:rPr>
          <w:sz w:val="18"/>
        </w:rPr>
        <w:t>Exactly 5 Functional Requirements and 2 Non-Functional Requirements, following the required fields from the lab handout.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93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29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3744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936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528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2880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FR-001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The system shall allow patients to grant time-bounded access permissions for specific diagnostic records to verified clinic doctors.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Pass: The selected doctor can access only the selected records until the stored expiry timestamp; Fail: access remains available after expiry.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Core consent-management functionality specified in the problem statement.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FR-002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The system shall allow patients to revoke an active consent permission before its expiry time.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Pass: After revocation, a subsequent access request using that consent is denied; Fail: the doctor can still access the records.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Gives patients direct control over previously granted access.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FR-003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The system shall allow patients to view each active or past consent with its recipient, record scope, grant time, status, and expiry time.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Pass: The consent list displays all five required fields for every stored consent; Fail: any required field is missing or incorrect.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Enables patients to understand and manage their sharing permissions.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FR-004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The system shall allow clinic administrators to verify a clinic doctor's identity and authorization status before the doctor is eligible to receive consented records.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Pass: An unverified doctor cannot be selected for record access and a verified doctor can be selected; Fail: an unverified doctor receives access.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Prevents records from being shared with unauthorized clinic doctors.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FR-005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Functional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The system shall allow a verified clinic doctor to access only medical records covered by an active, unexpired consent granted to that doctor.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Pass: Access is granted only when recipient, record scope, and expiry conditions all match; Fail: any record outside the consent scope is displayed.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Enforces granular, time-bound patient permissions at the point of access.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NFR-001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Nonfunctional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The system shall permanently write all consent grant, revoke, and record-access events to an append-only audit trail.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Pass: 100% of tested grant, revoke, and access events appear in the audit trail and cannot be edited or deleted; Fail: any event is missing or mutable.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Provides traceability and supports the required security/audit controls.</w:t>
            </w:r>
          </w:p>
        </w:tc>
      </w:tr>
      <w:tr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NFR-002</w:t>
            </w:r>
          </w:p>
        </w:tc>
        <w:tc>
          <w:tcPr>
            <w:tcW w:type="dxa" w:w="129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Nonfunctional</w:t>
            </w:r>
          </w:p>
        </w:tc>
        <w:tc>
          <w:tcPr>
            <w:tcW w:type="dxa" w:w="3744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The system shall complete consent validation and record-access authorization within 2 seconds for at least 95% of requests under a simulated load of 500 concurrent users.</w:t>
            </w:r>
          </w:p>
        </w:tc>
        <w:tc>
          <w:tcPr>
            <w:tcW w:type="dxa" w:w="93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3528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Pass: At least 95% of 1,000 authorization requests complete within 2 seconds at 500 concurrent users; Fail: the measured percentage is below 95%.</w:t>
            </w:r>
          </w:p>
        </w:tc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sz w:val="15"/>
              </w:rPr>
              <w:t>Keeps access decisions responsive while defining a measurable performance target.</w:t>
            </w:r>
          </w:p>
        </w:tc>
      </w:tr>
    </w:tbl>
    <w:p/>
    <w:p>
      <w:pPr>
        <w:pStyle w:val="Heading1"/>
      </w:pPr>
      <w:r>
        <w:t>Actors and Use Cases</w:t>
      </w:r>
    </w:p>
    <w:p>
      <w:r>
        <w:t>Actors: Patient; Clinic Administrator; Verified Clinic Doctor</w:t>
      </w:r>
    </w:p>
    <w:p>
      <w:r>
        <w:t>Use cases: UC-01 Authenticate Patient; UC-02 Grant Consent; UC-03 Revoke Consent; UC-04 View Consent Status; UC-05 Verify Doctor; UC-06 Access Medical Records; UC-07 Record Audit Event; UC-08 Deny Access for Expired Consent</w:t>
      </w:r>
    </w:p>
    <w:p>
      <w:r>
        <w:t>Relationships: UC-02 Grant Consent «include» UC-05 Verify Doctor; UC-02 Grant Consent «include» UC-07 Record Audit Event; UC-03 Revoke Consent «include» UC-07 Record Audit Event; UC-06 Access Medical Records «include» UC-07 Record Audit Event; UC-08 Deny Access for Expired Consent «extend» UC-06 Access Medical Records.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