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969B0" w14:textId="783E7235" w:rsidR="00DC58C8" w:rsidRPr="007D4BB9" w:rsidRDefault="00DC58C8" w:rsidP="00715AEE">
      <w:pPr>
        <w:jc w:val="left"/>
        <w:rPr>
          <w:rFonts w:ascii="Times New Roman" w:hAnsi="Times New Roman" w:cs="Times New Roman"/>
          <w:b/>
          <w:bCs/>
          <w:sz w:val="28"/>
          <w:szCs w:val="28"/>
          <w:lang w:val="en-US"/>
        </w:rPr>
      </w:pPr>
      <w:bookmarkStart w:id="0" w:name="_GoBack"/>
      <w:bookmarkEnd w:id="0"/>
      <w:r w:rsidRPr="007D4BB9">
        <w:rPr>
          <w:rFonts w:ascii="Times New Roman" w:hAnsi="Times New Roman" w:cs="Times New Roman"/>
          <w:b/>
          <w:bCs/>
          <w:sz w:val="28"/>
          <w:szCs w:val="28"/>
          <w:lang w:val="en-US"/>
        </w:rPr>
        <w:t>Supplementary Material</w:t>
      </w:r>
    </w:p>
    <w:p w14:paraId="0EB0644D" w14:textId="2280A5CC" w:rsidR="00DC58C8" w:rsidRPr="007D4BB9" w:rsidRDefault="00DC58C8" w:rsidP="00715AEE">
      <w:pPr>
        <w:jc w:val="left"/>
        <w:rPr>
          <w:rFonts w:ascii="Times New Roman" w:hAnsi="Times New Roman" w:cs="Times New Roman"/>
          <w:lang w:val="en-US"/>
        </w:rPr>
      </w:pPr>
    </w:p>
    <w:p w14:paraId="0EEEAF8B" w14:textId="39D02092" w:rsidR="006F59A8" w:rsidRPr="007D4BB9" w:rsidRDefault="00DC58C8" w:rsidP="00715AEE">
      <w:pPr>
        <w:jc w:val="left"/>
        <w:rPr>
          <w:rFonts w:ascii="Times New Roman" w:hAnsi="Times New Roman" w:cs="Times New Roman"/>
          <w:sz w:val="24"/>
          <w:szCs w:val="24"/>
          <w:lang w:val="en-US"/>
        </w:rPr>
      </w:pPr>
      <w:r w:rsidRPr="007D4BB9">
        <w:rPr>
          <w:rFonts w:ascii="Times New Roman" w:hAnsi="Times New Roman" w:cs="Times New Roman"/>
          <w:sz w:val="24"/>
          <w:szCs w:val="24"/>
          <w:lang w:val="en-US"/>
        </w:rPr>
        <w:t>We conducted sensitivity analyses</w:t>
      </w:r>
      <w:r w:rsidR="0049202A" w:rsidRPr="007D4BB9">
        <w:rPr>
          <w:rFonts w:ascii="Times New Roman" w:hAnsi="Times New Roman" w:cs="Times New Roman"/>
          <w:sz w:val="24"/>
          <w:szCs w:val="24"/>
          <w:lang w:val="en-US"/>
        </w:rPr>
        <w:t xml:space="preserve"> to estimate the time-</w:t>
      </w:r>
      <w:r w:rsidR="00715AEE" w:rsidRPr="007D4BB9">
        <w:rPr>
          <w:rFonts w:ascii="Times New Roman" w:hAnsi="Times New Roman" w:cs="Times New Roman"/>
          <w:sz w:val="24"/>
          <w:szCs w:val="24"/>
          <w:lang w:val="en-US"/>
        </w:rPr>
        <w:t>dependent</w:t>
      </w:r>
      <w:r w:rsidR="0049202A" w:rsidRPr="007D4BB9">
        <w:rPr>
          <w:rFonts w:ascii="Times New Roman" w:hAnsi="Times New Roman" w:cs="Times New Roman"/>
          <w:sz w:val="24"/>
          <w:szCs w:val="24"/>
          <w:lang w:val="en-US"/>
        </w:rPr>
        <w:t xml:space="preserve"> </w:t>
      </w:r>
      <w:r w:rsidR="007F01AC" w:rsidRPr="00677390">
        <w:rPr>
          <w:rFonts w:ascii="Times New Roman" w:hAnsi="Times New Roman" w:cs="Times New Roman"/>
          <w:sz w:val="24"/>
          <w:szCs w:val="24"/>
          <w:lang w:val="en-US"/>
        </w:rPr>
        <w:t>proportion</w:t>
      </w:r>
      <w:r w:rsidR="007F01AC">
        <w:rPr>
          <w:rFonts w:ascii="Times New Roman" w:hAnsi="Times New Roman" w:cs="Times New Roman"/>
          <w:sz w:val="24"/>
          <w:szCs w:val="24"/>
          <w:lang w:val="en-US"/>
        </w:rPr>
        <w:t xml:space="preserve"> of the population that is</w:t>
      </w:r>
      <w:r w:rsidR="007F01AC" w:rsidRPr="007F01AC">
        <w:rPr>
          <w:rFonts w:ascii="Times New Roman" w:hAnsi="Times New Roman" w:cs="Times New Roman"/>
          <w:sz w:val="24"/>
          <w:szCs w:val="24"/>
          <w:lang w:val="en-US"/>
        </w:rPr>
        <w:t xml:space="preserve"> </w:t>
      </w:r>
      <w:r w:rsidR="0049202A" w:rsidRPr="007D4BB9">
        <w:rPr>
          <w:rFonts w:ascii="Times New Roman" w:hAnsi="Times New Roman" w:cs="Times New Roman"/>
          <w:sz w:val="24"/>
          <w:szCs w:val="24"/>
          <w:lang w:val="en-US"/>
        </w:rPr>
        <w:t xml:space="preserve">immune </w:t>
      </w:r>
      <w:r w:rsidR="00C372E4" w:rsidRPr="007D4BB9">
        <w:rPr>
          <w:rFonts w:ascii="Times New Roman" w:hAnsi="Times New Roman" w:cs="Times New Roman"/>
          <w:sz w:val="24"/>
          <w:szCs w:val="24"/>
          <w:lang w:val="en-US"/>
        </w:rPr>
        <w:t xml:space="preserve">to symptomatic </w:t>
      </w:r>
      <w:r w:rsidR="00E37532" w:rsidRPr="007D4BB9">
        <w:rPr>
          <w:rFonts w:ascii="Times New Roman" w:hAnsi="Times New Roman" w:cs="Times New Roman"/>
          <w:sz w:val="24"/>
          <w:szCs w:val="24"/>
          <w:lang w:val="en-US"/>
        </w:rPr>
        <w:t>SARS-CoV-2</w:t>
      </w:r>
      <w:r w:rsidR="00C372E4" w:rsidRPr="007D4BB9">
        <w:rPr>
          <w:rFonts w:ascii="Times New Roman" w:hAnsi="Times New Roman" w:cs="Times New Roman"/>
          <w:sz w:val="24"/>
          <w:szCs w:val="24"/>
          <w:lang w:val="en-US"/>
        </w:rPr>
        <w:t xml:space="preserve"> infection </w:t>
      </w:r>
      <w:r w:rsidR="007F01AC">
        <w:rPr>
          <w:rFonts w:ascii="Times New Roman" w:hAnsi="Times New Roman" w:cs="Times New Roman"/>
          <w:sz w:val="24"/>
          <w:szCs w:val="24"/>
          <w:lang w:val="en-US"/>
        </w:rPr>
        <w:t>by applying</w:t>
      </w:r>
      <w:r w:rsidR="0049202A" w:rsidRPr="007D4BB9">
        <w:rPr>
          <w:rFonts w:ascii="Times New Roman" w:hAnsi="Times New Roman" w:cs="Times New Roman"/>
          <w:sz w:val="24"/>
          <w:szCs w:val="24"/>
          <w:lang w:val="en-US"/>
        </w:rPr>
        <w:t xml:space="preserve"> three different scenarios</w:t>
      </w:r>
      <w:r w:rsidR="008D1FE1" w:rsidRPr="007D4BB9">
        <w:rPr>
          <w:rFonts w:ascii="Times New Roman" w:hAnsi="Times New Roman" w:cs="Times New Roman"/>
          <w:sz w:val="24"/>
          <w:szCs w:val="24"/>
          <w:lang w:val="en-US"/>
        </w:rPr>
        <w:t>: 1</w:t>
      </w:r>
      <w:r w:rsidR="0049202A" w:rsidRPr="007D4BB9">
        <w:rPr>
          <w:rFonts w:ascii="Times New Roman" w:hAnsi="Times New Roman" w:cs="Times New Roman"/>
          <w:sz w:val="24"/>
          <w:szCs w:val="24"/>
          <w:lang w:val="en-US"/>
        </w:rPr>
        <w:t xml:space="preserve">) the immunity elicited by natural infection wanes at the same rate as that </w:t>
      </w:r>
      <w:r w:rsidR="007F01AC">
        <w:rPr>
          <w:rFonts w:ascii="Times New Roman" w:hAnsi="Times New Roman" w:cs="Times New Roman"/>
          <w:sz w:val="24"/>
          <w:szCs w:val="24"/>
          <w:lang w:val="en-US"/>
        </w:rPr>
        <w:t>elicited by</w:t>
      </w:r>
      <w:r w:rsidR="007F01AC" w:rsidRPr="007D4BB9">
        <w:rPr>
          <w:rFonts w:ascii="Times New Roman" w:hAnsi="Times New Roman" w:cs="Times New Roman"/>
          <w:sz w:val="24"/>
          <w:szCs w:val="24"/>
          <w:lang w:val="en-US"/>
        </w:rPr>
        <w:t xml:space="preserve"> </w:t>
      </w:r>
      <w:r w:rsidR="0049202A" w:rsidRPr="007D4BB9">
        <w:rPr>
          <w:rFonts w:ascii="Times New Roman" w:hAnsi="Times New Roman" w:cs="Times New Roman"/>
          <w:sz w:val="24"/>
          <w:szCs w:val="24"/>
          <w:lang w:val="en-US"/>
        </w:rPr>
        <w:t xml:space="preserve">the second </w:t>
      </w:r>
      <w:r w:rsidR="007F01AC" w:rsidRPr="00654419">
        <w:rPr>
          <w:rFonts w:ascii="Times New Roman" w:hAnsi="Times New Roman" w:cs="Times New Roman"/>
          <w:sz w:val="24"/>
          <w:szCs w:val="24"/>
          <w:lang w:val="en-US"/>
        </w:rPr>
        <w:t>vaccine</w:t>
      </w:r>
      <w:r w:rsidR="007F01AC" w:rsidRPr="007F01AC">
        <w:rPr>
          <w:rFonts w:ascii="Times New Roman" w:hAnsi="Times New Roman" w:cs="Times New Roman"/>
          <w:sz w:val="24"/>
          <w:szCs w:val="24"/>
          <w:lang w:val="en-US"/>
        </w:rPr>
        <w:t xml:space="preserve"> </w:t>
      </w:r>
      <w:r w:rsidR="0049202A" w:rsidRPr="007D4BB9">
        <w:rPr>
          <w:rFonts w:ascii="Times New Roman" w:hAnsi="Times New Roman" w:cs="Times New Roman"/>
          <w:sz w:val="24"/>
          <w:szCs w:val="24"/>
          <w:lang w:val="en-US"/>
        </w:rPr>
        <w:t xml:space="preserve">dose; 2) </w:t>
      </w:r>
      <w:r w:rsidR="006F59A8" w:rsidRPr="007D4BB9">
        <w:rPr>
          <w:rFonts w:ascii="Times New Roman" w:hAnsi="Times New Roman" w:cs="Times New Roman"/>
          <w:sz w:val="24"/>
          <w:szCs w:val="24"/>
          <w:lang w:val="en-US"/>
        </w:rPr>
        <w:t xml:space="preserve">the immunity elicited by natural </w:t>
      </w:r>
      <w:r w:rsidR="00C372E4" w:rsidRPr="007D4BB9">
        <w:rPr>
          <w:rFonts w:ascii="Times New Roman" w:hAnsi="Times New Roman" w:cs="Times New Roman"/>
          <w:sz w:val="24"/>
          <w:szCs w:val="24"/>
          <w:lang w:val="en-US"/>
        </w:rPr>
        <w:t>infection</w:t>
      </w:r>
      <w:r w:rsidR="006F59A8" w:rsidRPr="007D4BB9">
        <w:rPr>
          <w:rFonts w:ascii="Times New Roman" w:hAnsi="Times New Roman" w:cs="Times New Roman"/>
          <w:sz w:val="24"/>
          <w:szCs w:val="24"/>
          <w:lang w:val="en-US"/>
        </w:rPr>
        <w:t xml:space="preserve"> wanes </w:t>
      </w:r>
      <w:r w:rsidR="007F01AC">
        <w:rPr>
          <w:rFonts w:ascii="Times New Roman" w:hAnsi="Times New Roman" w:cs="Times New Roman"/>
          <w:sz w:val="24"/>
          <w:szCs w:val="24"/>
          <w:lang w:val="en-US"/>
        </w:rPr>
        <w:t xml:space="preserve">at a rate that </w:t>
      </w:r>
      <w:r w:rsidR="006F59A8" w:rsidRPr="007D4BB9">
        <w:rPr>
          <w:rFonts w:ascii="Times New Roman" w:hAnsi="Times New Roman" w:cs="Times New Roman"/>
          <w:sz w:val="24"/>
          <w:szCs w:val="24"/>
          <w:lang w:val="en-US"/>
        </w:rPr>
        <w:t>depend</w:t>
      </w:r>
      <w:r w:rsidR="007F01AC">
        <w:rPr>
          <w:rFonts w:ascii="Times New Roman" w:hAnsi="Times New Roman" w:cs="Times New Roman"/>
          <w:sz w:val="24"/>
          <w:szCs w:val="24"/>
          <w:lang w:val="en-US"/>
        </w:rPr>
        <w:t>s</w:t>
      </w:r>
      <w:r w:rsidR="006F59A8" w:rsidRPr="007D4BB9">
        <w:rPr>
          <w:rFonts w:ascii="Times New Roman" w:hAnsi="Times New Roman" w:cs="Times New Roman"/>
          <w:sz w:val="24"/>
          <w:szCs w:val="24"/>
          <w:lang w:val="en-US"/>
        </w:rPr>
        <w:t xml:space="preserve"> on the dominant </w:t>
      </w:r>
      <w:r w:rsidR="007F01AC">
        <w:rPr>
          <w:rFonts w:ascii="Times New Roman" w:hAnsi="Times New Roman" w:cs="Times New Roman"/>
          <w:sz w:val="24"/>
          <w:szCs w:val="24"/>
          <w:lang w:val="en-US"/>
        </w:rPr>
        <w:t xml:space="preserve">SARS-CoV-2 </w:t>
      </w:r>
      <w:r w:rsidR="006F59A8" w:rsidRPr="007D4BB9">
        <w:rPr>
          <w:rFonts w:ascii="Times New Roman" w:hAnsi="Times New Roman" w:cs="Times New Roman"/>
          <w:sz w:val="24"/>
          <w:szCs w:val="24"/>
          <w:lang w:val="en-US"/>
        </w:rPr>
        <w:t xml:space="preserve">variant in circulation; and 3) </w:t>
      </w:r>
      <w:r w:rsidR="008D1FE1" w:rsidRPr="007D4BB9">
        <w:rPr>
          <w:rFonts w:ascii="Times New Roman" w:hAnsi="Times New Roman" w:cs="Times New Roman"/>
          <w:sz w:val="24"/>
          <w:szCs w:val="24"/>
          <w:lang w:val="en-US"/>
        </w:rPr>
        <w:t>there was no emergence</w:t>
      </w:r>
      <w:r w:rsidR="00C372E4" w:rsidRPr="007D4BB9">
        <w:rPr>
          <w:rFonts w:ascii="Times New Roman" w:hAnsi="Times New Roman" w:cs="Times New Roman"/>
          <w:sz w:val="24"/>
          <w:szCs w:val="24"/>
          <w:lang w:val="en-US"/>
        </w:rPr>
        <w:t xml:space="preserve"> of the Omicron variant</w:t>
      </w:r>
      <w:r w:rsidR="008D1FE1" w:rsidRPr="007D4BB9">
        <w:rPr>
          <w:rFonts w:ascii="Times New Roman" w:hAnsi="Times New Roman" w:cs="Times New Roman"/>
          <w:sz w:val="24"/>
          <w:szCs w:val="24"/>
          <w:lang w:val="en-US"/>
        </w:rPr>
        <w:t xml:space="preserve"> or booster vaccine</w:t>
      </w:r>
      <w:r w:rsidR="00E37532" w:rsidRPr="007D4BB9">
        <w:rPr>
          <w:rFonts w:ascii="Times New Roman" w:hAnsi="Times New Roman" w:cs="Times New Roman"/>
          <w:sz w:val="24"/>
          <w:szCs w:val="24"/>
          <w:lang w:val="en-US"/>
        </w:rPr>
        <w:t xml:space="preserve"> rollout</w:t>
      </w:r>
      <w:r w:rsidR="008D1FE1" w:rsidRPr="007D4BB9">
        <w:rPr>
          <w:rFonts w:ascii="Times New Roman" w:hAnsi="Times New Roman" w:cs="Times New Roman"/>
          <w:sz w:val="24"/>
          <w:szCs w:val="24"/>
          <w:lang w:val="en-US"/>
        </w:rPr>
        <w:t xml:space="preserve">. </w:t>
      </w:r>
    </w:p>
    <w:p w14:paraId="0B80894F" w14:textId="5D204283" w:rsidR="008D1FE1" w:rsidRPr="007D4BB9" w:rsidRDefault="008D1FE1" w:rsidP="00715AEE">
      <w:pPr>
        <w:jc w:val="left"/>
        <w:rPr>
          <w:rFonts w:ascii="Times New Roman" w:hAnsi="Times New Roman" w:cs="Times New Roman"/>
          <w:sz w:val="24"/>
          <w:szCs w:val="24"/>
          <w:lang w:val="en-US"/>
        </w:rPr>
      </w:pPr>
    </w:p>
    <w:p w14:paraId="39A478E0" w14:textId="1CA8A57D" w:rsidR="008D1FE1" w:rsidRPr="007D4BB9" w:rsidRDefault="008D1FE1" w:rsidP="00715AEE">
      <w:pPr>
        <w:jc w:val="left"/>
        <w:rPr>
          <w:rFonts w:ascii="Times New Roman" w:hAnsi="Times New Roman" w:cs="Times New Roman"/>
          <w:b/>
          <w:bCs/>
          <w:sz w:val="24"/>
          <w:szCs w:val="24"/>
          <w:lang w:val="en-US"/>
        </w:rPr>
      </w:pPr>
      <w:r w:rsidRPr="007D4BB9">
        <w:rPr>
          <w:rFonts w:ascii="Times New Roman" w:hAnsi="Times New Roman" w:cs="Times New Roman"/>
          <w:b/>
          <w:bCs/>
          <w:sz w:val="24"/>
          <w:szCs w:val="24"/>
          <w:lang w:val="en-US"/>
        </w:rPr>
        <w:t>Sensitivity analysis 1.</w:t>
      </w:r>
    </w:p>
    <w:p w14:paraId="26A3EC53" w14:textId="5FF998E5" w:rsidR="00E37532" w:rsidRPr="007D4BB9" w:rsidRDefault="008D1FE1" w:rsidP="00715AEE">
      <w:pPr>
        <w:jc w:val="left"/>
        <w:rPr>
          <w:rFonts w:ascii="Times New Roman" w:hAnsi="Times New Roman" w:cs="Times New Roman"/>
          <w:sz w:val="24"/>
          <w:szCs w:val="24"/>
          <w:lang w:val="en-US"/>
        </w:rPr>
      </w:pPr>
      <w:r w:rsidRPr="007D4BB9">
        <w:rPr>
          <w:rFonts w:ascii="Times New Roman" w:hAnsi="Times New Roman" w:cs="Times New Roman"/>
          <w:sz w:val="24"/>
          <w:szCs w:val="24"/>
          <w:lang w:val="en-US"/>
        </w:rPr>
        <w:t xml:space="preserve">We </w:t>
      </w:r>
      <w:r w:rsidR="00E45DDD" w:rsidRPr="007D4BB9">
        <w:rPr>
          <w:rFonts w:ascii="Times New Roman" w:hAnsi="Times New Roman" w:cs="Times New Roman"/>
          <w:sz w:val="24"/>
          <w:szCs w:val="24"/>
          <w:lang w:val="en-US"/>
        </w:rPr>
        <w:t>assume</w:t>
      </w:r>
      <w:r w:rsidR="007F01AC">
        <w:rPr>
          <w:rFonts w:ascii="Times New Roman" w:hAnsi="Times New Roman" w:cs="Times New Roman"/>
          <w:sz w:val="24"/>
          <w:szCs w:val="24"/>
          <w:lang w:val="en-US"/>
        </w:rPr>
        <w:t>d</w:t>
      </w:r>
      <w:r w:rsidR="00E45DDD" w:rsidRPr="007D4BB9">
        <w:rPr>
          <w:rFonts w:ascii="Times New Roman" w:hAnsi="Times New Roman" w:cs="Times New Roman"/>
          <w:sz w:val="24"/>
          <w:szCs w:val="24"/>
          <w:lang w:val="en-US"/>
        </w:rPr>
        <w:t xml:space="preserve"> that </w:t>
      </w:r>
      <w:r w:rsidR="008B4DA9" w:rsidRPr="007D4BB9">
        <w:rPr>
          <w:rFonts w:ascii="Times New Roman" w:hAnsi="Times New Roman" w:cs="Times New Roman"/>
          <w:sz w:val="24"/>
          <w:szCs w:val="24"/>
          <w:lang w:val="en-US"/>
        </w:rPr>
        <w:t xml:space="preserve">the infection-induced immunity against symptomatic infection with the Omicron variant wanes in </w:t>
      </w:r>
      <w:r w:rsidR="007F01AC">
        <w:rPr>
          <w:rFonts w:ascii="Times New Roman" w:hAnsi="Times New Roman" w:cs="Times New Roman"/>
          <w:sz w:val="24"/>
          <w:szCs w:val="24"/>
          <w:lang w:val="en-US"/>
        </w:rPr>
        <w:t xml:space="preserve">a fashion </w:t>
      </w:r>
      <w:r w:rsidR="008B4DA9" w:rsidRPr="007D4BB9">
        <w:rPr>
          <w:rFonts w:ascii="Times New Roman" w:hAnsi="Times New Roman" w:cs="Times New Roman"/>
          <w:sz w:val="24"/>
          <w:szCs w:val="24"/>
          <w:lang w:val="en-US"/>
        </w:rPr>
        <w:t xml:space="preserve">identical to </w:t>
      </w:r>
      <w:r w:rsidR="007F01AC">
        <w:rPr>
          <w:rFonts w:ascii="Times New Roman" w:hAnsi="Times New Roman" w:cs="Times New Roman"/>
          <w:sz w:val="24"/>
          <w:szCs w:val="24"/>
          <w:lang w:val="en-US"/>
        </w:rPr>
        <w:t xml:space="preserve">that of </w:t>
      </w:r>
      <w:r w:rsidR="008B4DA9" w:rsidRPr="007D4BB9">
        <w:rPr>
          <w:rFonts w:ascii="Times New Roman" w:hAnsi="Times New Roman" w:cs="Times New Roman"/>
          <w:sz w:val="24"/>
          <w:szCs w:val="24"/>
          <w:lang w:val="en-US"/>
        </w:rPr>
        <w:t xml:space="preserve">the immunity </w:t>
      </w:r>
      <w:r w:rsidR="007F01AC">
        <w:rPr>
          <w:rFonts w:ascii="Times New Roman" w:hAnsi="Times New Roman" w:cs="Times New Roman"/>
          <w:sz w:val="24"/>
          <w:szCs w:val="24"/>
          <w:lang w:val="en-US"/>
        </w:rPr>
        <w:t>induced by</w:t>
      </w:r>
      <w:r w:rsidR="008B4DA9" w:rsidRPr="007D4BB9">
        <w:rPr>
          <w:rFonts w:ascii="Times New Roman" w:hAnsi="Times New Roman" w:cs="Times New Roman"/>
          <w:sz w:val="24"/>
          <w:szCs w:val="24"/>
          <w:lang w:val="en-US"/>
        </w:rPr>
        <w:t xml:space="preserve"> </w:t>
      </w:r>
      <w:r w:rsidR="00E45DDD" w:rsidRPr="007D4BB9">
        <w:rPr>
          <w:rFonts w:ascii="Times New Roman" w:hAnsi="Times New Roman" w:cs="Times New Roman"/>
          <w:sz w:val="24"/>
          <w:szCs w:val="24"/>
          <w:lang w:val="en-US"/>
        </w:rPr>
        <w:t xml:space="preserve">the second </w:t>
      </w:r>
      <w:r w:rsidR="007F01AC" w:rsidRPr="005D2515">
        <w:rPr>
          <w:rFonts w:ascii="Times New Roman" w:hAnsi="Times New Roman" w:cs="Times New Roman"/>
          <w:sz w:val="24"/>
          <w:szCs w:val="24"/>
          <w:lang w:val="en-US"/>
        </w:rPr>
        <w:t>vaccine</w:t>
      </w:r>
      <w:r w:rsidR="007F01AC" w:rsidRPr="007F01AC">
        <w:rPr>
          <w:rFonts w:ascii="Times New Roman" w:hAnsi="Times New Roman" w:cs="Times New Roman"/>
          <w:sz w:val="24"/>
          <w:szCs w:val="24"/>
          <w:lang w:val="en-US"/>
        </w:rPr>
        <w:t xml:space="preserve"> </w:t>
      </w:r>
      <w:r w:rsidR="00E45DDD" w:rsidRPr="007D4BB9">
        <w:rPr>
          <w:rFonts w:ascii="Times New Roman" w:hAnsi="Times New Roman" w:cs="Times New Roman"/>
          <w:sz w:val="24"/>
          <w:szCs w:val="24"/>
          <w:lang w:val="en-US"/>
        </w:rPr>
        <w:t>dose</w:t>
      </w:r>
      <w:r w:rsidR="008B4DA9" w:rsidRPr="007D4BB9">
        <w:rPr>
          <w:rFonts w:ascii="Times New Roman" w:hAnsi="Times New Roman" w:cs="Times New Roman"/>
          <w:sz w:val="24"/>
          <w:szCs w:val="24"/>
          <w:lang w:val="en-US"/>
        </w:rPr>
        <w:t>. T</w:t>
      </w:r>
      <w:r w:rsidR="00C372E4" w:rsidRPr="007D4BB9">
        <w:rPr>
          <w:rFonts w:ascii="Times New Roman" w:hAnsi="Times New Roman" w:cs="Times New Roman"/>
          <w:sz w:val="24"/>
          <w:szCs w:val="24"/>
          <w:lang w:val="en-US"/>
        </w:rPr>
        <w:t>he result</w:t>
      </w:r>
      <w:r w:rsidR="00FB05C1" w:rsidRPr="007D4BB9">
        <w:rPr>
          <w:rFonts w:ascii="Times New Roman" w:hAnsi="Times New Roman" w:cs="Times New Roman"/>
          <w:sz w:val="24"/>
          <w:szCs w:val="24"/>
          <w:lang w:val="en-US"/>
        </w:rPr>
        <w:t>s</w:t>
      </w:r>
      <w:r w:rsidR="00C372E4" w:rsidRPr="007D4BB9">
        <w:rPr>
          <w:rFonts w:ascii="Times New Roman" w:hAnsi="Times New Roman" w:cs="Times New Roman"/>
          <w:sz w:val="24"/>
          <w:szCs w:val="24"/>
          <w:lang w:val="en-US"/>
        </w:rPr>
        <w:t xml:space="preserve"> </w:t>
      </w:r>
      <w:r w:rsidR="00E23167">
        <w:rPr>
          <w:rFonts w:ascii="Times New Roman" w:hAnsi="Times New Roman" w:cs="Times New Roman"/>
          <w:sz w:val="24"/>
          <w:szCs w:val="24"/>
          <w:lang w:val="en-US"/>
        </w:rPr>
        <w:t xml:space="preserve">of this analysis </w:t>
      </w:r>
      <w:r w:rsidR="00FB05C1" w:rsidRPr="007D4BB9">
        <w:rPr>
          <w:rFonts w:ascii="Times New Roman" w:hAnsi="Times New Roman" w:cs="Times New Roman"/>
          <w:sz w:val="24"/>
          <w:szCs w:val="24"/>
          <w:lang w:val="en-US"/>
        </w:rPr>
        <w:t>are</w:t>
      </w:r>
      <w:r w:rsidR="00C372E4" w:rsidRPr="007D4BB9">
        <w:rPr>
          <w:rFonts w:ascii="Times New Roman" w:hAnsi="Times New Roman" w:cs="Times New Roman"/>
          <w:sz w:val="24"/>
          <w:szCs w:val="24"/>
          <w:lang w:val="en-US"/>
        </w:rPr>
        <w:t xml:space="preserve"> shown in Figure</w:t>
      </w:r>
      <w:r w:rsidR="00F67251" w:rsidRPr="007D4BB9">
        <w:rPr>
          <w:rFonts w:ascii="Times New Roman" w:hAnsi="Times New Roman" w:cs="Times New Roman"/>
          <w:sz w:val="24"/>
          <w:szCs w:val="24"/>
          <w:lang w:val="en-US"/>
        </w:rPr>
        <w:t xml:space="preserve"> </w:t>
      </w:r>
      <w:r w:rsidR="00C372E4" w:rsidRPr="007D4BB9">
        <w:rPr>
          <w:rFonts w:ascii="Times New Roman" w:hAnsi="Times New Roman" w:cs="Times New Roman"/>
          <w:sz w:val="24"/>
          <w:szCs w:val="24"/>
          <w:lang w:val="en-US"/>
        </w:rPr>
        <w:t>S</w:t>
      </w:r>
      <w:r w:rsidR="00F014D7" w:rsidRPr="007D4BB9">
        <w:rPr>
          <w:rFonts w:ascii="Times New Roman" w:hAnsi="Times New Roman" w:cs="Times New Roman"/>
          <w:sz w:val="24"/>
          <w:szCs w:val="24"/>
          <w:lang w:val="en-US"/>
        </w:rPr>
        <w:t>1</w:t>
      </w:r>
      <w:r w:rsidR="00FB05C1" w:rsidRPr="007D4BB9">
        <w:rPr>
          <w:rFonts w:ascii="Times New Roman" w:hAnsi="Times New Roman" w:cs="Times New Roman"/>
          <w:sz w:val="24"/>
          <w:szCs w:val="24"/>
          <w:lang w:val="en-US"/>
        </w:rPr>
        <w:t xml:space="preserve"> and Table S1</w:t>
      </w:r>
      <w:r w:rsidR="00C372E4" w:rsidRPr="007D4BB9">
        <w:rPr>
          <w:rFonts w:ascii="Times New Roman" w:hAnsi="Times New Roman" w:cs="Times New Roman"/>
          <w:sz w:val="24"/>
          <w:szCs w:val="24"/>
          <w:lang w:val="en-US"/>
        </w:rPr>
        <w:t>.</w:t>
      </w:r>
    </w:p>
    <w:p w14:paraId="023D6B6B" w14:textId="77777777" w:rsidR="00C32B2D" w:rsidRPr="007D4BB9" w:rsidRDefault="00C32B2D" w:rsidP="00715AEE">
      <w:pPr>
        <w:jc w:val="left"/>
        <w:rPr>
          <w:rFonts w:ascii="Times New Roman" w:hAnsi="Times New Roman" w:cs="Times New Roman"/>
          <w:sz w:val="24"/>
          <w:szCs w:val="24"/>
          <w:lang w:val="en-US"/>
        </w:rPr>
      </w:pPr>
    </w:p>
    <w:p w14:paraId="35EAB03D" w14:textId="77777777" w:rsidR="008026E8" w:rsidRDefault="008026E8">
      <w:pPr>
        <w:widowControl/>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E93A60" w14:textId="6FA55CEC" w:rsidR="00E37532" w:rsidRPr="007D4BB9" w:rsidRDefault="00195D94" w:rsidP="00715AEE">
      <w:pPr>
        <w:jc w:val="left"/>
        <w:rPr>
          <w:rFonts w:ascii="Times New Roman" w:hAnsi="Times New Roman" w:cs="Times New Roman"/>
          <w:sz w:val="24"/>
          <w:szCs w:val="24"/>
          <w:lang w:val="en-US"/>
        </w:rPr>
      </w:pPr>
      <w:r w:rsidRPr="00C267A6">
        <w:rPr>
          <w:noProof/>
          <w:lang w:val="en-US" w:eastAsia="en-US"/>
        </w:rPr>
        <w:lastRenderedPageBreak/>
        <w:drawing>
          <wp:inline distT="0" distB="0" distL="0" distR="0" wp14:anchorId="28F6E25E" wp14:editId="1DF626B0">
            <wp:extent cx="5400040" cy="35998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052AC292" w14:textId="572892F9" w:rsidR="008028EB" w:rsidRPr="007D4BB9" w:rsidRDefault="00F67251" w:rsidP="00715AEE">
      <w:pPr>
        <w:jc w:val="left"/>
        <w:rPr>
          <w:rFonts w:ascii="Times New Roman" w:hAnsi="Times New Roman" w:cs="Times New Roman"/>
          <w:sz w:val="24"/>
          <w:szCs w:val="24"/>
          <w:lang w:val="en-US"/>
        </w:rPr>
      </w:pPr>
      <w:r w:rsidRPr="007D4BB9">
        <w:rPr>
          <w:rFonts w:ascii="Times New Roman" w:hAnsi="Times New Roman" w:cs="Times New Roman"/>
          <w:b/>
          <w:bCs/>
          <w:sz w:val="24"/>
          <w:szCs w:val="24"/>
          <w:lang w:val="en-US"/>
        </w:rPr>
        <w:t>Figure S1.</w:t>
      </w:r>
      <w:r w:rsidRPr="007D4BB9">
        <w:rPr>
          <w:rFonts w:ascii="Times New Roman" w:hAnsi="Times New Roman" w:cs="Times New Roman"/>
          <w:sz w:val="24"/>
          <w:szCs w:val="24"/>
          <w:lang w:val="en-US"/>
        </w:rPr>
        <w:t xml:space="preserve"> </w:t>
      </w:r>
      <w:r w:rsidR="008028EB" w:rsidRPr="007D4BB9">
        <w:rPr>
          <w:rFonts w:ascii="Times New Roman" w:hAnsi="Times New Roman" w:cs="Times New Roman"/>
          <w:b/>
          <w:bCs/>
          <w:sz w:val="24"/>
          <w:szCs w:val="28"/>
          <w:lang w:val="en-US"/>
        </w:rPr>
        <w:t xml:space="preserve">Age-specific proportion </w:t>
      </w:r>
      <w:r w:rsidR="005030C9">
        <w:rPr>
          <w:rFonts w:ascii="Times New Roman" w:hAnsi="Times New Roman" w:cs="Times New Roman"/>
          <w:b/>
          <w:bCs/>
          <w:sz w:val="24"/>
          <w:szCs w:val="28"/>
          <w:lang w:val="en-US"/>
        </w:rPr>
        <w:t xml:space="preserve">of the population that is </w:t>
      </w:r>
      <w:r w:rsidR="008028EB" w:rsidRPr="007D4BB9">
        <w:rPr>
          <w:rFonts w:ascii="Times New Roman" w:hAnsi="Times New Roman" w:cs="Times New Roman"/>
          <w:b/>
          <w:bCs/>
          <w:sz w:val="24"/>
          <w:szCs w:val="28"/>
          <w:lang w:val="en-US"/>
        </w:rPr>
        <w:t xml:space="preserve">immune to symptomatic </w:t>
      </w:r>
      <w:r w:rsidR="00475130" w:rsidRPr="007D4BB9">
        <w:rPr>
          <w:rFonts w:ascii="Times New Roman" w:hAnsi="Times New Roman" w:cs="Times New Roman"/>
          <w:b/>
          <w:bCs/>
          <w:sz w:val="24"/>
          <w:szCs w:val="28"/>
          <w:lang w:val="en-US"/>
        </w:rPr>
        <w:t>SARS-CoV-2</w:t>
      </w:r>
      <w:r w:rsidR="008028EB" w:rsidRPr="007D4BB9">
        <w:rPr>
          <w:rFonts w:ascii="Times New Roman" w:hAnsi="Times New Roman" w:cs="Times New Roman"/>
          <w:b/>
          <w:bCs/>
          <w:sz w:val="24"/>
          <w:szCs w:val="28"/>
          <w:lang w:val="en-US"/>
        </w:rPr>
        <w:t xml:space="preserve"> infection, February 17, 2021–August 1, 2022.</w:t>
      </w:r>
    </w:p>
    <w:p w14:paraId="2307C68A" w14:textId="32B9C16B" w:rsidR="00E07202" w:rsidRPr="007D4BB9" w:rsidRDefault="005030C9" w:rsidP="00715AEE">
      <w:pPr>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(A–F) </w:t>
      </w:r>
      <w:r w:rsidR="00F67251" w:rsidRPr="007D4BB9">
        <w:rPr>
          <w:rFonts w:ascii="Times New Roman" w:hAnsi="Times New Roman" w:cs="Times New Roman"/>
          <w:sz w:val="24"/>
          <w:szCs w:val="24"/>
          <w:lang w:val="en-US"/>
        </w:rPr>
        <w:t>The lines show the time-dependent proportion</w:t>
      </w:r>
      <w:r>
        <w:rPr>
          <w:rFonts w:ascii="Times New Roman" w:hAnsi="Times New Roman" w:cs="Times New Roman"/>
          <w:sz w:val="24"/>
          <w:szCs w:val="24"/>
          <w:lang w:val="en-US"/>
        </w:rPr>
        <w:t xml:space="preserve"> of the population that is</w:t>
      </w:r>
      <w:r w:rsidR="00F67251" w:rsidRPr="007D4BB9">
        <w:rPr>
          <w:rFonts w:ascii="Times New Roman" w:hAnsi="Times New Roman" w:cs="Times New Roman"/>
          <w:sz w:val="24"/>
          <w:szCs w:val="24"/>
          <w:lang w:val="en-US"/>
        </w:rPr>
        <w:t xml:space="preserve"> immune to symptomatic infection among </w:t>
      </w:r>
      <w:r w:rsidR="00715AEE" w:rsidRPr="007D4BB9">
        <w:rPr>
          <w:rFonts w:ascii="Times New Roman" w:hAnsi="Times New Roman" w:cs="Times New Roman"/>
          <w:sz w:val="24"/>
          <w:szCs w:val="24"/>
          <w:lang w:val="en-US"/>
        </w:rPr>
        <w:t xml:space="preserve">people aged from </w:t>
      </w:r>
      <w:r w:rsidR="00F67251" w:rsidRPr="007D4BB9">
        <w:rPr>
          <w:rFonts w:ascii="Times New Roman" w:hAnsi="Times New Roman" w:cs="Times New Roman"/>
          <w:sz w:val="24"/>
          <w:szCs w:val="24"/>
          <w:lang w:val="en-US"/>
        </w:rPr>
        <w:t>20–29</w:t>
      </w:r>
      <w:r>
        <w:rPr>
          <w:rFonts w:ascii="Times New Roman" w:hAnsi="Times New Roman" w:cs="Times New Roman"/>
          <w:sz w:val="24"/>
          <w:szCs w:val="24"/>
          <w:lang w:val="en-US"/>
        </w:rPr>
        <w:t xml:space="preserve"> </w:t>
      </w:r>
      <w:r w:rsidRPr="00345E7B">
        <w:rPr>
          <w:rFonts w:ascii="Times New Roman" w:hAnsi="Times New Roman" w:cs="Times New Roman"/>
          <w:sz w:val="24"/>
          <w:szCs w:val="24"/>
          <w:lang w:val="en-US"/>
        </w:rPr>
        <w:t>(A)</w:t>
      </w:r>
      <w:r w:rsidR="00F67251" w:rsidRPr="007D4BB9">
        <w:rPr>
          <w:rFonts w:ascii="Times New Roman" w:hAnsi="Times New Roman" w:cs="Times New Roman"/>
          <w:sz w:val="24"/>
          <w:szCs w:val="24"/>
          <w:lang w:val="en-US"/>
        </w:rPr>
        <w:t>, 30–39</w:t>
      </w:r>
      <w:r>
        <w:rPr>
          <w:rFonts w:ascii="Times New Roman" w:hAnsi="Times New Roman" w:cs="Times New Roman"/>
          <w:sz w:val="24"/>
          <w:szCs w:val="24"/>
          <w:lang w:val="en-US"/>
        </w:rPr>
        <w:t xml:space="preserve"> </w:t>
      </w:r>
      <w:r w:rsidRPr="004629C4">
        <w:rPr>
          <w:rFonts w:ascii="Times New Roman" w:hAnsi="Times New Roman" w:cs="Times New Roman"/>
          <w:sz w:val="24"/>
          <w:szCs w:val="24"/>
          <w:lang w:val="en-US"/>
        </w:rPr>
        <w:t>(B)</w:t>
      </w:r>
      <w:r w:rsidR="00F67251" w:rsidRPr="007D4BB9">
        <w:rPr>
          <w:rFonts w:ascii="Times New Roman" w:hAnsi="Times New Roman" w:cs="Times New Roman"/>
          <w:sz w:val="24"/>
          <w:szCs w:val="24"/>
          <w:lang w:val="en-US"/>
        </w:rPr>
        <w:t>, 40–49</w:t>
      </w:r>
      <w:r>
        <w:rPr>
          <w:rFonts w:ascii="Times New Roman" w:hAnsi="Times New Roman" w:cs="Times New Roman"/>
          <w:sz w:val="24"/>
          <w:szCs w:val="24"/>
          <w:lang w:val="en-US"/>
        </w:rPr>
        <w:t xml:space="preserve"> </w:t>
      </w:r>
      <w:r w:rsidRPr="00735B51">
        <w:rPr>
          <w:rFonts w:ascii="Times New Roman" w:hAnsi="Times New Roman" w:cs="Times New Roman"/>
          <w:sz w:val="24"/>
          <w:szCs w:val="24"/>
          <w:lang w:val="en-US"/>
        </w:rPr>
        <w:t>(C)</w:t>
      </w:r>
      <w:r w:rsidR="00F67251" w:rsidRPr="007D4BB9">
        <w:rPr>
          <w:rFonts w:ascii="Times New Roman" w:hAnsi="Times New Roman" w:cs="Times New Roman"/>
          <w:sz w:val="24"/>
          <w:szCs w:val="24"/>
          <w:lang w:val="en-US"/>
        </w:rPr>
        <w:t>, 50–59</w:t>
      </w:r>
      <w:r>
        <w:rPr>
          <w:rFonts w:ascii="Times New Roman" w:hAnsi="Times New Roman" w:cs="Times New Roman"/>
          <w:sz w:val="24"/>
          <w:szCs w:val="24"/>
          <w:lang w:val="en-US"/>
        </w:rPr>
        <w:t xml:space="preserve"> </w:t>
      </w:r>
      <w:r w:rsidRPr="004F6704">
        <w:rPr>
          <w:rFonts w:ascii="Times New Roman" w:hAnsi="Times New Roman" w:cs="Times New Roman"/>
          <w:sz w:val="24"/>
          <w:szCs w:val="24"/>
          <w:lang w:val="en-US"/>
        </w:rPr>
        <w:t>(D)</w:t>
      </w:r>
      <w:r w:rsidR="00F67251" w:rsidRPr="007D4BB9">
        <w:rPr>
          <w:rFonts w:ascii="Times New Roman" w:hAnsi="Times New Roman" w:cs="Times New Roman"/>
          <w:sz w:val="24"/>
          <w:szCs w:val="24"/>
          <w:lang w:val="en-US"/>
        </w:rPr>
        <w:t>, 60–69</w:t>
      </w:r>
      <w:r>
        <w:rPr>
          <w:rFonts w:ascii="Times New Roman" w:hAnsi="Times New Roman" w:cs="Times New Roman"/>
          <w:sz w:val="24"/>
          <w:szCs w:val="24"/>
          <w:lang w:val="en-US"/>
        </w:rPr>
        <w:t xml:space="preserve"> </w:t>
      </w:r>
      <w:r w:rsidRPr="00137884">
        <w:rPr>
          <w:rFonts w:ascii="Times New Roman" w:hAnsi="Times New Roman" w:cs="Times New Roman"/>
          <w:sz w:val="24"/>
          <w:szCs w:val="24"/>
          <w:lang w:val="en-US"/>
        </w:rPr>
        <w:t>(E)</w:t>
      </w:r>
      <w:r w:rsidR="00F67251" w:rsidRPr="007D4BB9">
        <w:rPr>
          <w:rFonts w:ascii="Times New Roman" w:hAnsi="Times New Roman" w:cs="Times New Roman"/>
          <w:sz w:val="24"/>
          <w:szCs w:val="24"/>
          <w:lang w:val="en-US"/>
        </w:rPr>
        <w:t>, and ≥70</w:t>
      </w:r>
      <w:r>
        <w:rPr>
          <w:rFonts w:ascii="Times New Roman" w:hAnsi="Times New Roman" w:cs="Times New Roman"/>
          <w:sz w:val="24"/>
          <w:szCs w:val="24"/>
          <w:lang w:val="en-US"/>
        </w:rPr>
        <w:t xml:space="preserve"> (F)</w:t>
      </w:r>
      <w:r w:rsidR="00F67251" w:rsidRPr="007D4BB9">
        <w:rPr>
          <w:rFonts w:ascii="Times New Roman" w:hAnsi="Times New Roman" w:cs="Times New Roman"/>
          <w:sz w:val="24"/>
          <w:szCs w:val="24"/>
          <w:lang w:val="en-US"/>
        </w:rPr>
        <w:t xml:space="preserve"> years, and </w:t>
      </w:r>
      <w:r>
        <w:rPr>
          <w:rFonts w:ascii="Times New Roman" w:hAnsi="Times New Roman" w:cs="Times New Roman"/>
          <w:sz w:val="24"/>
          <w:szCs w:val="24"/>
          <w:lang w:val="en-US"/>
        </w:rPr>
        <w:t xml:space="preserve">the </w:t>
      </w:r>
      <w:r w:rsidR="00F67251" w:rsidRPr="007D4BB9">
        <w:rPr>
          <w:rFonts w:ascii="Times New Roman" w:hAnsi="Times New Roman" w:cs="Times New Roman"/>
          <w:sz w:val="24"/>
          <w:szCs w:val="24"/>
          <w:lang w:val="en-US"/>
        </w:rPr>
        <w:t>shaded areas are their 95% confidence intervals</w:t>
      </w:r>
      <w:r w:rsidR="00475130" w:rsidRPr="007D4BB9">
        <w:rPr>
          <w:rFonts w:ascii="Times New Roman" w:hAnsi="Times New Roman" w:cs="Times New Roman"/>
          <w:sz w:val="24"/>
          <w:szCs w:val="24"/>
          <w:lang w:val="en-US"/>
        </w:rPr>
        <w:t xml:space="preserve"> (CIs)</w:t>
      </w:r>
      <w:r>
        <w:rPr>
          <w:rFonts w:ascii="Times New Roman" w:hAnsi="Times New Roman" w:cs="Times New Roman"/>
          <w:sz w:val="24"/>
          <w:szCs w:val="24"/>
          <w:lang w:val="en-US"/>
        </w:rPr>
        <w:t>,</w:t>
      </w:r>
      <w:r w:rsidR="00F67251" w:rsidRPr="007D4BB9">
        <w:rPr>
          <w:rFonts w:ascii="Times New Roman" w:hAnsi="Times New Roman" w:cs="Times New Roman"/>
          <w:sz w:val="24"/>
          <w:szCs w:val="24"/>
          <w:lang w:val="en-US"/>
        </w:rPr>
        <w:t xml:space="preserve"> computed via </w:t>
      </w:r>
      <w:r>
        <w:rPr>
          <w:rFonts w:ascii="Times New Roman" w:hAnsi="Times New Roman" w:cs="Times New Roman"/>
          <w:sz w:val="24"/>
          <w:szCs w:val="24"/>
          <w:lang w:val="en-US"/>
        </w:rPr>
        <w:t xml:space="preserve">the </w:t>
      </w:r>
      <w:r w:rsidR="00F67251" w:rsidRPr="007D4BB9">
        <w:rPr>
          <w:rFonts w:ascii="Times New Roman" w:hAnsi="Times New Roman" w:cs="Times New Roman"/>
          <w:sz w:val="24"/>
          <w:szCs w:val="24"/>
          <w:lang w:val="en-US"/>
        </w:rPr>
        <w:t xml:space="preserve">bootstrapping method. The red lines </w:t>
      </w:r>
      <w:r>
        <w:rPr>
          <w:rFonts w:ascii="Times New Roman" w:hAnsi="Times New Roman" w:cs="Times New Roman"/>
          <w:sz w:val="24"/>
          <w:szCs w:val="24"/>
          <w:lang w:val="en-US"/>
        </w:rPr>
        <w:t xml:space="preserve">reflect the scenarios in which </w:t>
      </w:r>
      <w:r w:rsidR="00F67251" w:rsidRPr="007D4BB9">
        <w:rPr>
          <w:rFonts w:ascii="Times New Roman" w:hAnsi="Times New Roman" w:cs="Times New Roman"/>
          <w:sz w:val="24"/>
          <w:szCs w:val="24"/>
          <w:lang w:val="en-US"/>
        </w:rPr>
        <w:t xml:space="preserve">the immunity from natural infection as well as </w:t>
      </w:r>
      <w:r>
        <w:rPr>
          <w:rFonts w:ascii="Times New Roman" w:hAnsi="Times New Roman" w:cs="Times New Roman"/>
          <w:sz w:val="24"/>
          <w:szCs w:val="24"/>
          <w:lang w:val="en-US"/>
        </w:rPr>
        <w:t xml:space="preserve">the immunity from the </w:t>
      </w:r>
      <w:r w:rsidR="00F67251" w:rsidRPr="007D4BB9">
        <w:rPr>
          <w:rFonts w:ascii="Times New Roman" w:hAnsi="Times New Roman" w:cs="Times New Roman"/>
          <w:sz w:val="24"/>
          <w:szCs w:val="24"/>
          <w:lang w:val="en-US"/>
        </w:rPr>
        <w:t xml:space="preserve">second and third </w:t>
      </w:r>
      <w:r>
        <w:rPr>
          <w:rFonts w:ascii="Times New Roman" w:hAnsi="Times New Roman" w:cs="Times New Roman"/>
          <w:sz w:val="24"/>
          <w:szCs w:val="24"/>
          <w:lang w:val="en-US"/>
        </w:rPr>
        <w:t xml:space="preserve">vaccine </w:t>
      </w:r>
      <w:r w:rsidR="00F67251" w:rsidRPr="007D4BB9">
        <w:rPr>
          <w:rFonts w:ascii="Times New Roman" w:hAnsi="Times New Roman" w:cs="Times New Roman"/>
          <w:sz w:val="24"/>
          <w:szCs w:val="24"/>
          <w:lang w:val="en-US"/>
        </w:rPr>
        <w:t>dose</w:t>
      </w:r>
      <w:r>
        <w:rPr>
          <w:rFonts w:ascii="Times New Roman" w:hAnsi="Times New Roman" w:cs="Times New Roman"/>
          <w:sz w:val="24"/>
          <w:szCs w:val="24"/>
          <w:lang w:val="en-US"/>
        </w:rPr>
        <w:t>s are considered</w:t>
      </w:r>
      <w:r w:rsidR="00F67251" w:rsidRPr="007D4BB9">
        <w:rPr>
          <w:rFonts w:ascii="Times New Roman" w:hAnsi="Times New Roman" w:cs="Times New Roman"/>
          <w:sz w:val="24"/>
          <w:szCs w:val="24"/>
          <w:lang w:val="en-US"/>
        </w:rPr>
        <w:t xml:space="preserve">, whereas the light blue lines reflect the </w:t>
      </w:r>
      <w:r>
        <w:rPr>
          <w:rFonts w:ascii="Times New Roman" w:hAnsi="Times New Roman" w:cs="Times New Roman"/>
          <w:sz w:val="24"/>
          <w:szCs w:val="24"/>
          <w:lang w:val="en-US"/>
        </w:rPr>
        <w:t xml:space="preserve">scenarios in which only the </w:t>
      </w:r>
      <w:r w:rsidR="00F67251" w:rsidRPr="007D4BB9">
        <w:rPr>
          <w:rFonts w:ascii="Times New Roman" w:hAnsi="Times New Roman" w:cs="Times New Roman"/>
          <w:sz w:val="24"/>
          <w:szCs w:val="24"/>
          <w:lang w:val="en-US"/>
        </w:rPr>
        <w:t xml:space="preserve">immunity from </w:t>
      </w:r>
      <w:r>
        <w:rPr>
          <w:rFonts w:ascii="Times New Roman" w:hAnsi="Times New Roman" w:cs="Times New Roman"/>
          <w:sz w:val="24"/>
          <w:szCs w:val="24"/>
          <w:lang w:val="en-US"/>
        </w:rPr>
        <w:t xml:space="preserve">the </w:t>
      </w:r>
      <w:r w:rsidR="00F67251" w:rsidRPr="007D4BB9">
        <w:rPr>
          <w:rFonts w:ascii="Times New Roman" w:hAnsi="Times New Roman" w:cs="Times New Roman"/>
          <w:sz w:val="24"/>
          <w:szCs w:val="24"/>
          <w:lang w:val="en-US"/>
        </w:rPr>
        <w:t xml:space="preserve">second and third </w:t>
      </w:r>
      <w:r>
        <w:rPr>
          <w:rFonts w:ascii="Times New Roman" w:hAnsi="Times New Roman" w:cs="Times New Roman"/>
          <w:sz w:val="24"/>
          <w:szCs w:val="24"/>
          <w:lang w:val="en-US"/>
        </w:rPr>
        <w:t xml:space="preserve">vaccine </w:t>
      </w:r>
      <w:r w:rsidR="00F67251" w:rsidRPr="007D4BB9">
        <w:rPr>
          <w:rFonts w:ascii="Times New Roman" w:hAnsi="Times New Roman" w:cs="Times New Roman"/>
          <w:sz w:val="24"/>
          <w:szCs w:val="24"/>
          <w:lang w:val="en-US"/>
        </w:rPr>
        <w:t>dose</w:t>
      </w:r>
      <w:r>
        <w:rPr>
          <w:rFonts w:ascii="Times New Roman" w:hAnsi="Times New Roman" w:cs="Times New Roman"/>
          <w:sz w:val="24"/>
          <w:szCs w:val="24"/>
          <w:lang w:val="en-US"/>
        </w:rPr>
        <w:t>s</w:t>
      </w:r>
      <w:r w:rsidR="00F67251" w:rsidRPr="007D4B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proofErr w:type="gramStart"/>
      <w:r>
        <w:rPr>
          <w:rFonts w:ascii="Times New Roman" w:hAnsi="Times New Roman" w:cs="Times New Roman"/>
          <w:sz w:val="24"/>
          <w:szCs w:val="24"/>
          <w:lang w:val="en-US"/>
        </w:rPr>
        <w:t>taken into account</w:t>
      </w:r>
      <w:proofErr w:type="gramEnd"/>
      <w:r w:rsidR="00F67251" w:rsidRPr="007D4BB9">
        <w:rPr>
          <w:rFonts w:ascii="Times New Roman" w:hAnsi="Times New Roman" w:cs="Times New Roman"/>
          <w:sz w:val="24"/>
          <w:szCs w:val="24"/>
          <w:lang w:val="en-US"/>
        </w:rPr>
        <w:t>.</w:t>
      </w:r>
    </w:p>
    <w:p w14:paraId="639F5D95" w14:textId="77777777" w:rsidR="00E07202" w:rsidRPr="007D4BB9" w:rsidRDefault="00E07202" w:rsidP="00715AEE">
      <w:pPr>
        <w:jc w:val="left"/>
        <w:rPr>
          <w:rFonts w:ascii="Times New Roman" w:hAnsi="Times New Roman" w:cs="Times New Roman"/>
          <w:sz w:val="24"/>
          <w:szCs w:val="24"/>
          <w:lang w:val="en-US"/>
        </w:rPr>
      </w:pPr>
    </w:p>
    <w:p w14:paraId="531F379D" w14:textId="77777777" w:rsidR="008026E8" w:rsidRDefault="008026E8">
      <w:pPr>
        <w:widowControl/>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C9C1433" w14:textId="06B46F51" w:rsidR="008028EB" w:rsidRPr="007D4BB9" w:rsidRDefault="008028EB" w:rsidP="00715AEE">
      <w:pPr>
        <w:jc w:val="left"/>
        <w:rPr>
          <w:rFonts w:ascii="Times New Roman" w:hAnsi="Times New Roman" w:cs="Times New Roman"/>
          <w:b/>
          <w:bCs/>
          <w:sz w:val="24"/>
          <w:szCs w:val="28"/>
          <w:lang w:val="en-US"/>
        </w:rPr>
      </w:pPr>
      <w:r w:rsidRPr="007D4BB9">
        <w:rPr>
          <w:rFonts w:ascii="Times New Roman" w:hAnsi="Times New Roman" w:cs="Times New Roman"/>
          <w:b/>
          <w:bCs/>
          <w:sz w:val="24"/>
          <w:szCs w:val="24"/>
          <w:lang w:val="en-US"/>
        </w:rPr>
        <w:lastRenderedPageBreak/>
        <w:t xml:space="preserve">Table S1. </w:t>
      </w:r>
      <w:r w:rsidRPr="007D4BB9">
        <w:rPr>
          <w:rFonts w:ascii="Times New Roman" w:hAnsi="Times New Roman" w:cs="Times New Roman"/>
          <w:b/>
          <w:bCs/>
          <w:sz w:val="24"/>
          <w:szCs w:val="28"/>
          <w:lang w:val="en-US"/>
        </w:rPr>
        <w:t xml:space="preserve">Age-specific proportion </w:t>
      </w:r>
      <w:r w:rsidR="00F82098">
        <w:rPr>
          <w:rFonts w:ascii="Times New Roman" w:hAnsi="Times New Roman" w:cs="Times New Roman"/>
          <w:b/>
          <w:bCs/>
          <w:sz w:val="24"/>
          <w:szCs w:val="28"/>
          <w:lang w:val="en-US"/>
        </w:rPr>
        <w:t xml:space="preserve">of the population </w:t>
      </w:r>
      <w:r w:rsidRPr="007D4BB9">
        <w:rPr>
          <w:rFonts w:ascii="Times New Roman" w:hAnsi="Times New Roman" w:cs="Times New Roman"/>
          <w:b/>
          <w:bCs/>
          <w:sz w:val="24"/>
          <w:szCs w:val="28"/>
          <w:lang w:val="en-US"/>
        </w:rPr>
        <w:t xml:space="preserve">immune to symptomatic </w:t>
      </w:r>
      <w:r w:rsidR="00E37532" w:rsidRPr="007D4BB9">
        <w:rPr>
          <w:rFonts w:ascii="Times New Roman" w:hAnsi="Times New Roman" w:cs="Times New Roman"/>
          <w:b/>
          <w:bCs/>
          <w:sz w:val="24"/>
          <w:szCs w:val="28"/>
          <w:lang w:val="en-US"/>
        </w:rPr>
        <w:t xml:space="preserve">SARS-CoV-2 </w:t>
      </w:r>
      <w:r w:rsidRPr="007D4BB9">
        <w:rPr>
          <w:rFonts w:ascii="Times New Roman" w:hAnsi="Times New Roman" w:cs="Times New Roman"/>
          <w:b/>
          <w:bCs/>
          <w:sz w:val="24"/>
          <w:szCs w:val="28"/>
          <w:lang w:val="en-US"/>
        </w:rPr>
        <w:t>infection on April</w:t>
      </w:r>
      <w:r w:rsidR="00F82098">
        <w:rPr>
          <w:rFonts w:ascii="Times New Roman" w:hAnsi="Times New Roman" w:cs="Times New Roman"/>
          <w:b/>
          <w:bCs/>
          <w:sz w:val="24"/>
          <w:szCs w:val="28"/>
          <w:lang w:val="en-US"/>
        </w:rPr>
        <w:t xml:space="preserve"> </w:t>
      </w:r>
      <w:r w:rsidR="00F82098" w:rsidRPr="00C779D9">
        <w:rPr>
          <w:rFonts w:ascii="Times New Roman" w:hAnsi="Times New Roman" w:cs="Times New Roman"/>
          <w:b/>
          <w:bCs/>
          <w:sz w:val="24"/>
          <w:szCs w:val="28"/>
          <w:lang w:val="en-US"/>
        </w:rPr>
        <w:t>10</w:t>
      </w:r>
      <w:r w:rsidRPr="007D4BB9">
        <w:rPr>
          <w:rFonts w:ascii="Times New Roman" w:hAnsi="Times New Roman" w:cs="Times New Roman"/>
          <w:b/>
          <w:bCs/>
          <w:sz w:val="24"/>
          <w:szCs w:val="28"/>
          <w:lang w:val="en-US"/>
        </w:rPr>
        <w:t>, June 1, and August 1, 2022</w:t>
      </w:r>
      <w:r w:rsidR="007C2988">
        <w:rPr>
          <w:rFonts w:ascii="Times New Roman" w:hAnsi="Times New Roman" w:cs="Times New Roman" w:hint="eastAsia"/>
          <w:b/>
          <w:bCs/>
          <w:sz w:val="24"/>
          <w:szCs w:val="28"/>
          <w:lang w:val="en-US"/>
        </w:rPr>
        <w:t>.</w:t>
      </w:r>
    </w:p>
    <w:p w14:paraId="3ABFE835" w14:textId="21C4F224" w:rsidR="008028EB" w:rsidRPr="007D4BB9" w:rsidRDefault="008028EB" w:rsidP="00715AEE">
      <w:pPr>
        <w:jc w:val="left"/>
        <w:rPr>
          <w:rFonts w:ascii="Times New Roman" w:hAnsi="Times New Roman" w:cs="Times New Roman"/>
          <w:sz w:val="24"/>
          <w:szCs w:val="28"/>
          <w:lang w:val="en-US"/>
        </w:rPr>
      </w:pPr>
      <w:r w:rsidRPr="007D4BB9">
        <w:rPr>
          <w:rFonts w:ascii="Times New Roman" w:hAnsi="Times New Roman" w:cs="Times New Roman"/>
          <w:sz w:val="24"/>
          <w:szCs w:val="28"/>
          <w:lang w:val="en-US"/>
        </w:rPr>
        <w:t xml:space="preserve">The values represent the proportion </w:t>
      </w:r>
      <w:r w:rsidR="009D6CA6">
        <w:rPr>
          <w:rFonts w:ascii="Times New Roman" w:hAnsi="Times New Roman" w:cs="Times New Roman"/>
          <w:sz w:val="24"/>
          <w:szCs w:val="28"/>
          <w:lang w:val="en-US"/>
        </w:rPr>
        <w:t xml:space="preserve">of the population that is </w:t>
      </w:r>
      <w:r w:rsidRPr="007D4BB9">
        <w:rPr>
          <w:rFonts w:ascii="Times New Roman" w:hAnsi="Times New Roman" w:cs="Times New Roman"/>
          <w:sz w:val="24"/>
          <w:szCs w:val="28"/>
          <w:lang w:val="en-US"/>
        </w:rPr>
        <w:t>immune to symptomatic infection with the Omicron variant</w:t>
      </w:r>
      <w:r w:rsidR="009D6CA6">
        <w:rPr>
          <w:rFonts w:ascii="Times New Roman" w:hAnsi="Times New Roman" w:cs="Times New Roman"/>
          <w:sz w:val="24"/>
          <w:szCs w:val="28"/>
          <w:lang w:val="en-US"/>
        </w:rPr>
        <w:t>, when</w:t>
      </w:r>
      <w:r w:rsidRPr="007D4BB9">
        <w:rPr>
          <w:rFonts w:ascii="Times New Roman" w:hAnsi="Times New Roman" w:cs="Times New Roman"/>
          <w:sz w:val="24"/>
          <w:szCs w:val="28"/>
          <w:lang w:val="en-US"/>
        </w:rPr>
        <w:t xml:space="preserve"> considering </w:t>
      </w:r>
      <w:r w:rsidR="009D6CA6" w:rsidRPr="00023FCE">
        <w:rPr>
          <w:rFonts w:ascii="Times New Roman" w:hAnsi="Times New Roman" w:cs="Times New Roman"/>
          <w:sz w:val="24"/>
          <w:szCs w:val="28"/>
          <w:lang w:val="en-US"/>
        </w:rPr>
        <w:t xml:space="preserve">both </w:t>
      </w:r>
      <w:proofErr w:type="gramStart"/>
      <w:r w:rsidRPr="007D4BB9">
        <w:rPr>
          <w:rFonts w:ascii="Times New Roman" w:hAnsi="Times New Roman" w:cs="Times New Roman"/>
          <w:sz w:val="24"/>
          <w:szCs w:val="28"/>
          <w:lang w:val="en-US"/>
        </w:rPr>
        <w:t>immunity</w:t>
      </w:r>
      <w:proofErr w:type="gramEnd"/>
      <w:r w:rsidRPr="007D4BB9">
        <w:rPr>
          <w:rFonts w:ascii="Times New Roman" w:hAnsi="Times New Roman" w:cs="Times New Roman"/>
          <w:sz w:val="24"/>
          <w:szCs w:val="28"/>
          <w:lang w:val="en-US"/>
        </w:rPr>
        <w:t xml:space="preserve"> </w:t>
      </w:r>
      <w:r w:rsidR="009D6CA6">
        <w:rPr>
          <w:rFonts w:ascii="Times New Roman" w:hAnsi="Times New Roman" w:cs="Times New Roman"/>
          <w:sz w:val="24"/>
          <w:szCs w:val="28"/>
          <w:lang w:val="en-US"/>
        </w:rPr>
        <w:t xml:space="preserve">derived </w:t>
      </w:r>
      <w:r w:rsidRPr="007D4BB9">
        <w:rPr>
          <w:rFonts w:ascii="Times New Roman" w:hAnsi="Times New Roman" w:cs="Times New Roman"/>
          <w:sz w:val="24"/>
          <w:szCs w:val="28"/>
          <w:lang w:val="en-US"/>
        </w:rPr>
        <w:t xml:space="preserve">from vaccination and </w:t>
      </w:r>
      <w:r w:rsidR="009D6CA6">
        <w:rPr>
          <w:rFonts w:ascii="Times New Roman" w:hAnsi="Times New Roman" w:cs="Times New Roman"/>
          <w:sz w:val="24"/>
          <w:szCs w:val="28"/>
          <w:lang w:val="en-US"/>
        </w:rPr>
        <w:t xml:space="preserve">that induced by </w:t>
      </w:r>
      <w:r w:rsidRPr="007D4BB9">
        <w:rPr>
          <w:rFonts w:ascii="Times New Roman" w:hAnsi="Times New Roman" w:cs="Times New Roman"/>
          <w:sz w:val="24"/>
          <w:szCs w:val="28"/>
          <w:lang w:val="en-US"/>
        </w:rPr>
        <w:t>natural infection.</w:t>
      </w:r>
      <w:r w:rsidR="00715AEE" w:rsidRPr="007D4BB9">
        <w:rPr>
          <w:rFonts w:ascii="Times New Roman" w:hAnsi="Times New Roman" w:cs="Times New Roman"/>
          <w:sz w:val="24"/>
          <w:szCs w:val="28"/>
          <w:lang w:val="en-US"/>
        </w:rPr>
        <w:t xml:space="preserve"> </w:t>
      </w:r>
      <w:r w:rsidR="009D6CA6">
        <w:rPr>
          <w:rFonts w:ascii="Times New Roman" w:hAnsi="Times New Roman" w:cs="Times New Roman"/>
          <w:sz w:val="24"/>
          <w:szCs w:val="28"/>
          <w:lang w:val="en-US"/>
        </w:rPr>
        <w:t>The n</w:t>
      </w:r>
      <w:r w:rsidR="00715AEE" w:rsidRPr="007D4BB9">
        <w:rPr>
          <w:rFonts w:ascii="Times New Roman" w:hAnsi="Times New Roman" w:cs="Times New Roman"/>
          <w:sz w:val="24"/>
          <w:szCs w:val="28"/>
          <w:lang w:val="en-US"/>
        </w:rPr>
        <w:t>umbers in parenthes</w:t>
      </w:r>
      <w:r w:rsidR="00015220">
        <w:rPr>
          <w:rFonts w:ascii="Times New Roman" w:hAnsi="Times New Roman" w:cs="Times New Roman"/>
          <w:sz w:val="24"/>
          <w:szCs w:val="28"/>
          <w:lang w:val="en-US"/>
        </w:rPr>
        <w:t>e</w:t>
      </w:r>
      <w:r w:rsidR="00715AEE" w:rsidRPr="007D4BB9">
        <w:rPr>
          <w:rFonts w:ascii="Times New Roman" w:hAnsi="Times New Roman" w:cs="Times New Roman"/>
          <w:sz w:val="24"/>
          <w:szCs w:val="28"/>
          <w:lang w:val="en-US"/>
        </w:rPr>
        <w:t xml:space="preserve">s show the 95% confidence intervals as computed by </w:t>
      </w:r>
      <w:r w:rsidR="009D6CA6">
        <w:rPr>
          <w:rFonts w:ascii="Times New Roman" w:hAnsi="Times New Roman" w:cs="Times New Roman"/>
          <w:sz w:val="24"/>
          <w:szCs w:val="28"/>
          <w:lang w:val="en-US"/>
        </w:rPr>
        <w:t xml:space="preserve">the </w:t>
      </w:r>
      <w:r w:rsidR="00715AEE" w:rsidRPr="007D4BB9">
        <w:rPr>
          <w:rFonts w:ascii="Times New Roman" w:hAnsi="Times New Roman" w:cs="Times New Roman"/>
          <w:sz w:val="24"/>
          <w:szCs w:val="28"/>
          <w:lang w:val="en-US"/>
        </w:rPr>
        <w:t>parametric bootstrap method.</w:t>
      </w:r>
    </w:p>
    <w:p w14:paraId="7EE2DD62" w14:textId="77777777" w:rsidR="00F610DA" w:rsidRPr="007D4BB9" w:rsidRDefault="00F610DA" w:rsidP="00715AEE">
      <w:pPr>
        <w:jc w:val="left"/>
        <w:rPr>
          <w:rFonts w:ascii="Times New Roman" w:hAnsi="Times New Roman" w:cs="Times New Roman"/>
          <w:sz w:val="24"/>
          <w:szCs w:val="28"/>
          <w:lang w:val="en-US"/>
        </w:rPr>
      </w:pPr>
    </w:p>
    <w:tbl>
      <w:tblPr>
        <w:tblStyle w:val="a4"/>
        <w:tblW w:w="0" w:type="auto"/>
        <w:tblLook w:val="04A0" w:firstRow="1" w:lastRow="0" w:firstColumn="1" w:lastColumn="0" w:noHBand="0" w:noVBand="1"/>
      </w:tblPr>
      <w:tblGrid>
        <w:gridCol w:w="2123"/>
        <w:gridCol w:w="2123"/>
        <w:gridCol w:w="2124"/>
        <w:gridCol w:w="2124"/>
      </w:tblGrid>
      <w:tr w:rsidR="00F610DA" w:rsidRPr="007F01AC" w14:paraId="3D1BB919" w14:textId="77777777" w:rsidTr="00F610DA">
        <w:tc>
          <w:tcPr>
            <w:tcW w:w="2123" w:type="dxa"/>
          </w:tcPr>
          <w:p w14:paraId="42272DF9" w14:textId="2949BD91" w:rsidR="00F610DA" w:rsidRPr="007D4BB9" w:rsidRDefault="00E37532"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Age group</w:t>
            </w:r>
          </w:p>
        </w:tc>
        <w:tc>
          <w:tcPr>
            <w:tcW w:w="2123" w:type="dxa"/>
          </w:tcPr>
          <w:p w14:paraId="741B93ED" w14:textId="70069C8D"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2022/4/10</w:t>
            </w:r>
          </w:p>
        </w:tc>
        <w:tc>
          <w:tcPr>
            <w:tcW w:w="2124" w:type="dxa"/>
          </w:tcPr>
          <w:p w14:paraId="6106EF92" w14:textId="470C20AD"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2022/6/1</w:t>
            </w:r>
          </w:p>
        </w:tc>
        <w:tc>
          <w:tcPr>
            <w:tcW w:w="2124" w:type="dxa"/>
          </w:tcPr>
          <w:p w14:paraId="62219345" w14:textId="53D2F20A"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2022/8/1</w:t>
            </w:r>
          </w:p>
        </w:tc>
      </w:tr>
      <w:tr w:rsidR="00F610DA" w:rsidRPr="007F01AC" w14:paraId="241BBE57" w14:textId="77777777" w:rsidTr="00F610DA">
        <w:tc>
          <w:tcPr>
            <w:tcW w:w="2123" w:type="dxa"/>
          </w:tcPr>
          <w:p w14:paraId="6B98D7A9" w14:textId="1844A200"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20</w:t>
            </w:r>
            <w:r w:rsidRPr="007D4BB9">
              <w:rPr>
                <w:rFonts w:ascii="Times New Roman" w:hAnsi="Times New Roman"/>
                <w:sz w:val="24"/>
                <w:szCs w:val="24"/>
                <w:lang w:val="en-US"/>
              </w:rPr>
              <w:t>–29</w:t>
            </w:r>
          </w:p>
        </w:tc>
        <w:tc>
          <w:tcPr>
            <w:tcW w:w="2123" w:type="dxa"/>
          </w:tcPr>
          <w:p w14:paraId="61965798" w14:textId="4E0353E7"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35 (34.6</w:t>
            </w:r>
            <w:r w:rsidRPr="007D4BB9">
              <w:rPr>
                <w:rFonts w:ascii="Times New Roman" w:hAnsi="Times New Roman"/>
                <w:sz w:val="24"/>
                <w:szCs w:val="24"/>
                <w:lang w:val="en-US"/>
              </w:rPr>
              <w:t>–</w:t>
            </w:r>
            <w:r w:rsidRPr="007D4BB9">
              <w:rPr>
                <w:rFonts w:ascii="Times New Roman" w:hAnsi="Times New Roman" w:cs="Times New Roman"/>
                <w:sz w:val="24"/>
                <w:szCs w:val="24"/>
                <w:lang w:val="en-US"/>
              </w:rPr>
              <w:t>35.4)</w:t>
            </w:r>
          </w:p>
        </w:tc>
        <w:tc>
          <w:tcPr>
            <w:tcW w:w="2124" w:type="dxa"/>
          </w:tcPr>
          <w:p w14:paraId="5FAB3CF5" w14:textId="4EE1FA3C"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40.9 (40.5</w:t>
            </w:r>
            <w:r w:rsidRPr="007D4BB9">
              <w:rPr>
                <w:rFonts w:ascii="Times New Roman" w:hAnsi="Times New Roman"/>
                <w:sz w:val="24"/>
                <w:szCs w:val="24"/>
                <w:lang w:val="en-US"/>
              </w:rPr>
              <w:t>–</w:t>
            </w:r>
            <w:r w:rsidRPr="007D4BB9">
              <w:rPr>
                <w:rFonts w:ascii="Times New Roman" w:hAnsi="Times New Roman" w:cs="Times New Roman"/>
                <w:sz w:val="24"/>
                <w:szCs w:val="24"/>
                <w:lang w:val="en-US"/>
              </w:rPr>
              <w:t>41.3)</w:t>
            </w:r>
          </w:p>
        </w:tc>
        <w:tc>
          <w:tcPr>
            <w:tcW w:w="2124" w:type="dxa"/>
          </w:tcPr>
          <w:p w14:paraId="474E5B92" w14:textId="7B771B29"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37.2 (36.6</w:t>
            </w:r>
            <w:r w:rsidRPr="007D4BB9">
              <w:rPr>
                <w:rFonts w:ascii="Times New Roman" w:hAnsi="Times New Roman"/>
                <w:sz w:val="24"/>
                <w:szCs w:val="24"/>
                <w:lang w:val="en-US"/>
              </w:rPr>
              <w:t>–</w:t>
            </w:r>
            <w:r w:rsidRPr="007D4BB9">
              <w:rPr>
                <w:rFonts w:ascii="Times New Roman" w:hAnsi="Times New Roman" w:cs="Times New Roman"/>
                <w:sz w:val="24"/>
                <w:szCs w:val="24"/>
                <w:lang w:val="en-US"/>
              </w:rPr>
              <w:t>37.9)</w:t>
            </w:r>
          </w:p>
        </w:tc>
      </w:tr>
      <w:tr w:rsidR="00F610DA" w:rsidRPr="007F01AC" w14:paraId="7DC0D6B6" w14:textId="77777777" w:rsidTr="00F610DA">
        <w:tc>
          <w:tcPr>
            <w:tcW w:w="2123" w:type="dxa"/>
          </w:tcPr>
          <w:p w14:paraId="5761E253" w14:textId="1C078BC1"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30</w:t>
            </w:r>
            <w:r w:rsidRPr="007D4BB9">
              <w:rPr>
                <w:rFonts w:ascii="Times New Roman" w:hAnsi="Times New Roman"/>
                <w:sz w:val="24"/>
                <w:szCs w:val="24"/>
                <w:lang w:val="en-US"/>
              </w:rPr>
              <w:t>–39</w:t>
            </w:r>
          </w:p>
        </w:tc>
        <w:tc>
          <w:tcPr>
            <w:tcW w:w="2123" w:type="dxa"/>
          </w:tcPr>
          <w:p w14:paraId="6134785F" w14:textId="4E9C233D"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33.2 (32.8</w:t>
            </w:r>
            <w:r w:rsidRPr="007D4BB9">
              <w:rPr>
                <w:rFonts w:ascii="Times New Roman" w:hAnsi="Times New Roman"/>
                <w:sz w:val="24"/>
                <w:szCs w:val="24"/>
                <w:lang w:val="en-US"/>
              </w:rPr>
              <w:t>–</w:t>
            </w:r>
            <w:r w:rsidRPr="007D4BB9">
              <w:rPr>
                <w:rFonts w:ascii="Times New Roman" w:hAnsi="Times New Roman" w:cs="Times New Roman"/>
                <w:sz w:val="24"/>
                <w:szCs w:val="24"/>
                <w:lang w:val="en-US"/>
              </w:rPr>
              <w:t>33.6)</w:t>
            </w:r>
          </w:p>
        </w:tc>
        <w:tc>
          <w:tcPr>
            <w:tcW w:w="2124" w:type="dxa"/>
          </w:tcPr>
          <w:p w14:paraId="34FAB5C5" w14:textId="7976B579"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39.8 (39.4</w:t>
            </w:r>
            <w:r w:rsidRPr="007D4BB9">
              <w:rPr>
                <w:rFonts w:ascii="Times New Roman" w:hAnsi="Times New Roman"/>
                <w:sz w:val="24"/>
                <w:szCs w:val="24"/>
                <w:lang w:val="en-US"/>
              </w:rPr>
              <w:t>–</w:t>
            </w:r>
            <w:r w:rsidRPr="007D4BB9">
              <w:rPr>
                <w:rFonts w:ascii="Times New Roman" w:hAnsi="Times New Roman" w:cs="Times New Roman"/>
                <w:sz w:val="24"/>
                <w:szCs w:val="24"/>
                <w:lang w:val="en-US"/>
              </w:rPr>
              <w:t>40.2)</w:t>
            </w:r>
          </w:p>
        </w:tc>
        <w:tc>
          <w:tcPr>
            <w:tcW w:w="2124" w:type="dxa"/>
          </w:tcPr>
          <w:p w14:paraId="111C1791" w14:textId="4E662446"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36.4 (35.7</w:t>
            </w:r>
            <w:r w:rsidRPr="007D4BB9">
              <w:rPr>
                <w:rFonts w:ascii="Times New Roman" w:hAnsi="Times New Roman"/>
                <w:sz w:val="24"/>
                <w:szCs w:val="24"/>
                <w:lang w:val="en-US"/>
              </w:rPr>
              <w:t>–</w:t>
            </w:r>
            <w:r w:rsidRPr="007D4BB9">
              <w:rPr>
                <w:rFonts w:ascii="Times New Roman" w:hAnsi="Times New Roman" w:cs="Times New Roman"/>
                <w:sz w:val="24"/>
                <w:szCs w:val="24"/>
                <w:lang w:val="en-US"/>
              </w:rPr>
              <w:t>37.0)</w:t>
            </w:r>
          </w:p>
        </w:tc>
      </w:tr>
      <w:tr w:rsidR="00F610DA" w:rsidRPr="007F01AC" w14:paraId="2FAA7061" w14:textId="77777777" w:rsidTr="00F610DA">
        <w:tc>
          <w:tcPr>
            <w:tcW w:w="2123" w:type="dxa"/>
          </w:tcPr>
          <w:p w14:paraId="69F9F76E" w14:textId="688935F7"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40</w:t>
            </w:r>
            <w:r w:rsidRPr="007D4BB9">
              <w:rPr>
                <w:rFonts w:ascii="Times New Roman" w:hAnsi="Times New Roman"/>
                <w:sz w:val="24"/>
                <w:szCs w:val="24"/>
                <w:lang w:val="en-US"/>
              </w:rPr>
              <w:t>–49</w:t>
            </w:r>
          </w:p>
        </w:tc>
        <w:tc>
          <w:tcPr>
            <w:tcW w:w="2123" w:type="dxa"/>
          </w:tcPr>
          <w:p w14:paraId="359625C8" w14:textId="541DB0CA"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35.5 (35.1</w:t>
            </w:r>
            <w:r w:rsidRPr="007D4BB9">
              <w:rPr>
                <w:rFonts w:ascii="Times New Roman" w:hAnsi="Times New Roman"/>
                <w:sz w:val="24"/>
                <w:szCs w:val="24"/>
                <w:lang w:val="en-US"/>
              </w:rPr>
              <w:t>–</w:t>
            </w:r>
            <w:r w:rsidRPr="007D4BB9">
              <w:rPr>
                <w:rFonts w:ascii="Times New Roman" w:hAnsi="Times New Roman" w:cs="Times New Roman"/>
                <w:sz w:val="24"/>
                <w:szCs w:val="24"/>
                <w:lang w:val="en-US"/>
              </w:rPr>
              <w:t>35.9)</w:t>
            </w:r>
          </w:p>
        </w:tc>
        <w:tc>
          <w:tcPr>
            <w:tcW w:w="2124" w:type="dxa"/>
          </w:tcPr>
          <w:p w14:paraId="5C3435EF" w14:textId="2110D327"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43.8 (43.3</w:t>
            </w:r>
            <w:r w:rsidRPr="007D4BB9">
              <w:rPr>
                <w:rFonts w:ascii="Times New Roman" w:hAnsi="Times New Roman"/>
                <w:sz w:val="24"/>
                <w:szCs w:val="24"/>
                <w:lang w:val="en-US"/>
              </w:rPr>
              <w:t>–</w:t>
            </w:r>
            <w:r w:rsidRPr="007D4BB9">
              <w:rPr>
                <w:rFonts w:ascii="Times New Roman" w:hAnsi="Times New Roman" w:cs="Times New Roman"/>
                <w:sz w:val="24"/>
                <w:szCs w:val="24"/>
                <w:lang w:val="en-US"/>
              </w:rPr>
              <w:t>44.2)</w:t>
            </w:r>
          </w:p>
        </w:tc>
        <w:tc>
          <w:tcPr>
            <w:tcW w:w="2124" w:type="dxa"/>
          </w:tcPr>
          <w:p w14:paraId="5A05E837" w14:textId="3EAC0BEF"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36.2 (35.4</w:t>
            </w:r>
            <w:r w:rsidRPr="007D4BB9">
              <w:rPr>
                <w:rFonts w:ascii="Times New Roman" w:hAnsi="Times New Roman"/>
                <w:sz w:val="24"/>
                <w:szCs w:val="24"/>
                <w:lang w:val="en-US"/>
              </w:rPr>
              <w:t>–</w:t>
            </w:r>
            <w:r w:rsidRPr="007D4BB9">
              <w:rPr>
                <w:rFonts w:ascii="Times New Roman" w:hAnsi="Times New Roman" w:cs="Times New Roman"/>
                <w:sz w:val="24"/>
                <w:szCs w:val="24"/>
                <w:lang w:val="en-US"/>
              </w:rPr>
              <w:t>36.9</w:t>
            </w:r>
          </w:p>
        </w:tc>
      </w:tr>
      <w:tr w:rsidR="00F610DA" w:rsidRPr="007F01AC" w14:paraId="0F78A4BF" w14:textId="77777777" w:rsidTr="00F610DA">
        <w:tc>
          <w:tcPr>
            <w:tcW w:w="2123" w:type="dxa"/>
          </w:tcPr>
          <w:p w14:paraId="38A61061" w14:textId="72E8302D"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50</w:t>
            </w:r>
            <w:r w:rsidRPr="007D4BB9">
              <w:rPr>
                <w:rFonts w:ascii="Times New Roman" w:hAnsi="Times New Roman"/>
                <w:sz w:val="24"/>
                <w:szCs w:val="24"/>
                <w:lang w:val="en-US"/>
              </w:rPr>
              <w:t>–59</w:t>
            </w:r>
          </w:p>
        </w:tc>
        <w:tc>
          <w:tcPr>
            <w:tcW w:w="2123" w:type="dxa"/>
          </w:tcPr>
          <w:p w14:paraId="55CF3C98" w14:textId="25B2D9BA"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42.3 (41.9</w:t>
            </w:r>
            <w:r w:rsidRPr="007D4BB9">
              <w:rPr>
                <w:rFonts w:ascii="Times New Roman" w:hAnsi="Times New Roman"/>
                <w:sz w:val="24"/>
                <w:szCs w:val="24"/>
                <w:lang w:val="en-US"/>
              </w:rPr>
              <w:t>–</w:t>
            </w:r>
            <w:r w:rsidRPr="007D4BB9">
              <w:rPr>
                <w:rFonts w:ascii="Times New Roman" w:hAnsi="Times New Roman" w:cs="Times New Roman"/>
                <w:sz w:val="24"/>
                <w:szCs w:val="24"/>
                <w:lang w:val="en-US"/>
              </w:rPr>
              <w:t>42.8)</w:t>
            </w:r>
          </w:p>
        </w:tc>
        <w:tc>
          <w:tcPr>
            <w:tcW w:w="2124" w:type="dxa"/>
          </w:tcPr>
          <w:p w14:paraId="0A546784" w14:textId="1D813678"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39.6 (39.0</w:t>
            </w:r>
            <w:r w:rsidRPr="007D4BB9">
              <w:rPr>
                <w:rFonts w:ascii="Times New Roman" w:hAnsi="Times New Roman"/>
                <w:sz w:val="24"/>
                <w:szCs w:val="24"/>
                <w:lang w:val="en-US"/>
              </w:rPr>
              <w:t>–</w:t>
            </w:r>
            <w:r w:rsidRPr="007D4BB9">
              <w:rPr>
                <w:rFonts w:ascii="Times New Roman" w:hAnsi="Times New Roman" w:cs="Times New Roman"/>
                <w:sz w:val="24"/>
                <w:szCs w:val="24"/>
                <w:lang w:val="en-US"/>
              </w:rPr>
              <w:t>40.1)</w:t>
            </w:r>
          </w:p>
        </w:tc>
        <w:tc>
          <w:tcPr>
            <w:tcW w:w="2124" w:type="dxa"/>
          </w:tcPr>
          <w:p w14:paraId="6313F3B0" w14:textId="22A5978B"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28.0 (27.2</w:t>
            </w:r>
            <w:r w:rsidRPr="007D4BB9">
              <w:rPr>
                <w:rFonts w:ascii="Times New Roman" w:hAnsi="Times New Roman"/>
                <w:sz w:val="24"/>
                <w:szCs w:val="24"/>
                <w:lang w:val="en-US"/>
              </w:rPr>
              <w:t>–</w:t>
            </w:r>
            <w:r w:rsidRPr="007D4BB9">
              <w:rPr>
                <w:rFonts w:ascii="Times New Roman" w:hAnsi="Times New Roman" w:cs="Times New Roman"/>
                <w:sz w:val="24"/>
                <w:szCs w:val="24"/>
                <w:lang w:val="en-US"/>
              </w:rPr>
              <w:t>28.8)</w:t>
            </w:r>
          </w:p>
        </w:tc>
      </w:tr>
      <w:tr w:rsidR="00F610DA" w:rsidRPr="007F01AC" w14:paraId="7C7CC466" w14:textId="77777777" w:rsidTr="00F610DA">
        <w:tc>
          <w:tcPr>
            <w:tcW w:w="2123" w:type="dxa"/>
          </w:tcPr>
          <w:p w14:paraId="2254E5E4" w14:textId="508D1A52"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60</w:t>
            </w:r>
            <w:r w:rsidRPr="007D4BB9">
              <w:rPr>
                <w:rFonts w:ascii="Times New Roman" w:hAnsi="Times New Roman"/>
                <w:sz w:val="24"/>
                <w:szCs w:val="24"/>
                <w:lang w:val="en-US"/>
              </w:rPr>
              <w:t>–69</w:t>
            </w:r>
          </w:p>
        </w:tc>
        <w:tc>
          <w:tcPr>
            <w:tcW w:w="2123" w:type="dxa"/>
          </w:tcPr>
          <w:p w14:paraId="2E041FA4" w14:textId="0C97FF7F"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48.5 (48.0</w:t>
            </w:r>
            <w:r w:rsidRPr="007D4BB9">
              <w:rPr>
                <w:rFonts w:ascii="Times New Roman" w:hAnsi="Times New Roman"/>
                <w:sz w:val="24"/>
                <w:szCs w:val="24"/>
                <w:lang w:val="en-US"/>
              </w:rPr>
              <w:t>–</w:t>
            </w:r>
            <w:r w:rsidRPr="007D4BB9">
              <w:rPr>
                <w:rFonts w:ascii="Times New Roman" w:hAnsi="Times New Roman" w:cs="Times New Roman"/>
                <w:sz w:val="24"/>
                <w:szCs w:val="24"/>
                <w:lang w:val="en-US"/>
              </w:rPr>
              <w:t>49.0)</w:t>
            </w:r>
          </w:p>
        </w:tc>
        <w:tc>
          <w:tcPr>
            <w:tcW w:w="2124" w:type="dxa"/>
          </w:tcPr>
          <w:p w14:paraId="6F3E98D0" w14:textId="01134F06"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36.8 (36.1</w:t>
            </w:r>
            <w:r w:rsidRPr="007D4BB9">
              <w:rPr>
                <w:rFonts w:ascii="Times New Roman" w:hAnsi="Times New Roman"/>
                <w:sz w:val="24"/>
                <w:szCs w:val="24"/>
                <w:lang w:val="en-US"/>
              </w:rPr>
              <w:t>–</w:t>
            </w:r>
            <w:r w:rsidRPr="007D4BB9">
              <w:rPr>
                <w:rFonts w:ascii="Times New Roman" w:hAnsi="Times New Roman" w:cs="Times New Roman"/>
                <w:sz w:val="24"/>
                <w:szCs w:val="24"/>
                <w:lang w:val="en-US"/>
              </w:rPr>
              <w:t>37.4)</w:t>
            </w:r>
          </w:p>
        </w:tc>
        <w:tc>
          <w:tcPr>
            <w:tcW w:w="2124" w:type="dxa"/>
          </w:tcPr>
          <w:p w14:paraId="4F795348" w14:textId="131020C5"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25.8 (24.8</w:t>
            </w:r>
            <w:r w:rsidRPr="007D4BB9">
              <w:rPr>
                <w:rFonts w:ascii="Times New Roman" w:hAnsi="Times New Roman"/>
                <w:sz w:val="24"/>
                <w:szCs w:val="24"/>
                <w:lang w:val="en-US"/>
              </w:rPr>
              <w:t>–</w:t>
            </w:r>
            <w:r w:rsidRPr="007D4BB9">
              <w:rPr>
                <w:rFonts w:ascii="Times New Roman" w:hAnsi="Times New Roman" w:cs="Times New Roman"/>
                <w:sz w:val="24"/>
                <w:szCs w:val="24"/>
                <w:lang w:val="en-US"/>
              </w:rPr>
              <w:t>26.7)</w:t>
            </w:r>
          </w:p>
        </w:tc>
      </w:tr>
      <w:tr w:rsidR="00F610DA" w:rsidRPr="007F01AC" w14:paraId="1DBAC7B8" w14:textId="77777777" w:rsidTr="00F610DA">
        <w:tc>
          <w:tcPr>
            <w:tcW w:w="2123" w:type="dxa"/>
          </w:tcPr>
          <w:p w14:paraId="598775B0" w14:textId="6053F774" w:rsidR="00F610DA" w:rsidRPr="007D4BB9" w:rsidRDefault="00F610DA" w:rsidP="00715AEE">
            <w:pPr>
              <w:jc w:val="left"/>
              <w:rPr>
                <w:rFonts w:ascii="Times New Roman" w:hAnsi="Times New Roman" w:cs="Times New Roman"/>
                <w:sz w:val="24"/>
                <w:szCs w:val="24"/>
                <w:highlight w:val="yellow"/>
                <w:lang w:val="en-US"/>
              </w:rPr>
            </w:pPr>
            <w:r w:rsidRPr="007D4BB9">
              <w:rPr>
                <w:rFonts w:ascii="Times New Roman" w:hAnsi="Times New Roman"/>
                <w:sz w:val="24"/>
                <w:szCs w:val="24"/>
                <w:lang w:val="en-US"/>
              </w:rPr>
              <w:t>≥</w:t>
            </w:r>
            <w:r w:rsidRPr="007D4BB9">
              <w:rPr>
                <w:rFonts w:ascii="Times New Roman" w:hAnsi="Times New Roman" w:cs="Times New Roman"/>
                <w:sz w:val="24"/>
                <w:szCs w:val="24"/>
                <w:lang w:val="en-US"/>
              </w:rPr>
              <w:t>70</w:t>
            </w:r>
          </w:p>
        </w:tc>
        <w:tc>
          <w:tcPr>
            <w:tcW w:w="2123" w:type="dxa"/>
          </w:tcPr>
          <w:p w14:paraId="3CBACBDC" w14:textId="06E50043"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51.3 (50.8</w:t>
            </w:r>
            <w:r w:rsidRPr="007D4BB9">
              <w:rPr>
                <w:rFonts w:ascii="Times New Roman" w:hAnsi="Times New Roman"/>
                <w:sz w:val="24"/>
                <w:szCs w:val="24"/>
                <w:lang w:val="en-US"/>
              </w:rPr>
              <w:t>–</w:t>
            </w:r>
            <w:r w:rsidRPr="007D4BB9">
              <w:rPr>
                <w:rFonts w:ascii="Times New Roman" w:hAnsi="Times New Roman" w:cs="Times New Roman"/>
                <w:sz w:val="24"/>
                <w:szCs w:val="24"/>
                <w:lang w:val="en-US"/>
              </w:rPr>
              <w:t>51.8)</w:t>
            </w:r>
          </w:p>
        </w:tc>
        <w:tc>
          <w:tcPr>
            <w:tcW w:w="2124" w:type="dxa"/>
          </w:tcPr>
          <w:p w14:paraId="652B987A" w14:textId="65AC60F7"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38.0 (37.2</w:t>
            </w:r>
            <w:r w:rsidRPr="007D4BB9">
              <w:rPr>
                <w:rFonts w:ascii="Times New Roman" w:hAnsi="Times New Roman"/>
                <w:sz w:val="24"/>
                <w:szCs w:val="24"/>
                <w:lang w:val="en-US"/>
              </w:rPr>
              <w:t>–</w:t>
            </w:r>
            <w:r w:rsidRPr="007D4BB9">
              <w:rPr>
                <w:rFonts w:ascii="Times New Roman" w:hAnsi="Times New Roman" w:cs="Times New Roman"/>
                <w:sz w:val="24"/>
                <w:szCs w:val="24"/>
                <w:lang w:val="en-US"/>
              </w:rPr>
              <w:t>38.9)</w:t>
            </w:r>
          </w:p>
        </w:tc>
        <w:tc>
          <w:tcPr>
            <w:tcW w:w="2124" w:type="dxa"/>
          </w:tcPr>
          <w:p w14:paraId="54856D31" w14:textId="010F7F8A" w:rsidR="00F610DA" w:rsidRPr="007D4BB9" w:rsidRDefault="009562EC" w:rsidP="00715AEE">
            <w:pPr>
              <w:jc w:val="left"/>
              <w:rPr>
                <w:rFonts w:ascii="Times New Roman" w:hAnsi="Times New Roman" w:cs="Times New Roman"/>
                <w:sz w:val="24"/>
                <w:szCs w:val="24"/>
                <w:highlight w:val="yellow"/>
                <w:lang w:val="en-US"/>
              </w:rPr>
            </w:pPr>
            <w:r w:rsidRPr="007D4BB9">
              <w:rPr>
                <w:rFonts w:ascii="Times New Roman" w:hAnsi="Times New Roman" w:cs="Times New Roman"/>
                <w:sz w:val="24"/>
                <w:szCs w:val="24"/>
                <w:lang w:val="en-US"/>
              </w:rPr>
              <w:t>27.0 (25.9</w:t>
            </w:r>
            <w:r w:rsidRPr="007D4BB9">
              <w:rPr>
                <w:rFonts w:ascii="Times New Roman" w:hAnsi="Times New Roman"/>
                <w:sz w:val="24"/>
                <w:szCs w:val="24"/>
                <w:lang w:val="en-US"/>
              </w:rPr>
              <w:t>–</w:t>
            </w:r>
            <w:r w:rsidRPr="007D4BB9">
              <w:rPr>
                <w:rFonts w:ascii="Times New Roman" w:hAnsi="Times New Roman" w:cs="Times New Roman"/>
                <w:sz w:val="24"/>
                <w:szCs w:val="24"/>
                <w:lang w:val="en-US"/>
              </w:rPr>
              <w:t>28.0)</w:t>
            </w:r>
          </w:p>
        </w:tc>
      </w:tr>
    </w:tbl>
    <w:p w14:paraId="5B49CD94" w14:textId="77777777" w:rsidR="008028EB" w:rsidRPr="007D4BB9" w:rsidRDefault="008028EB" w:rsidP="00715AEE">
      <w:pPr>
        <w:jc w:val="left"/>
        <w:rPr>
          <w:rFonts w:ascii="Times New Roman" w:hAnsi="Times New Roman" w:cs="Times New Roman"/>
          <w:sz w:val="24"/>
          <w:szCs w:val="24"/>
          <w:lang w:val="en-US"/>
        </w:rPr>
      </w:pPr>
    </w:p>
    <w:p w14:paraId="3A33EF3E" w14:textId="77777777" w:rsidR="00FB05C1" w:rsidRPr="007D4BB9" w:rsidRDefault="00FB05C1" w:rsidP="00715AEE">
      <w:pPr>
        <w:widowControl/>
        <w:jc w:val="left"/>
        <w:rPr>
          <w:rFonts w:ascii="Times New Roman" w:hAnsi="Times New Roman" w:cs="Times New Roman"/>
          <w:b/>
          <w:bCs/>
          <w:sz w:val="24"/>
          <w:szCs w:val="24"/>
          <w:lang w:val="en-US"/>
        </w:rPr>
      </w:pPr>
      <w:r w:rsidRPr="007D4BB9">
        <w:rPr>
          <w:rFonts w:ascii="Times New Roman" w:hAnsi="Times New Roman" w:cs="Times New Roman"/>
          <w:b/>
          <w:bCs/>
          <w:sz w:val="24"/>
          <w:szCs w:val="24"/>
          <w:lang w:val="en-US"/>
        </w:rPr>
        <w:br w:type="page"/>
      </w:r>
    </w:p>
    <w:p w14:paraId="4AA43618" w14:textId="0CB5EC39" w:rsidR="00E45DDD" w:rsidRPr="007D4BB9" w:rsidRDefault="00E45DDD" w:rsidP="00715AEE">
      <w:pPr>
        <w:jc w:val="left"/>
        <w:rPr>
          <w:rFonts w:ascii="Times New Roman" w:hAnsi="Times New Roman" w:cs="Times New Roman"/>
          <w:b/>
          <w:bCs/>
          <w:sz w:val="24"/>
          <w:szCs w:val="24"/>
          <w:lang w:val="en-US"/>
        </w:rPr>
      </w:pPr>
      <w:r w:rsidRPr="007D4BB9">
        <w:rPr>
          <w:rFonts w:ascii="Times New Roman" w:hAnsi="Times New Roman" w:cs="Times New Roman"/>
          <w:b/>
          <w:bCs/>
          <w:sz w:val="24"/>
          <w:szCs w:val="24"/>
          <w:lang w:val="en-US"/>
        </w:rPr>
        <w:lastRenderedPageBreak/>
        <w:t>Sensitivity analysis 2.</w:t>
      </w:r>
    </w:p>
    <w:p w14:paraId="2117E419" w14:textId="7CE2FA4B" w:rsidR="00C1106E" w:rsidRPr="00300E50" w:rsidRDefault="009B5327" w:rsidP="00715AEE">
      <w:pPr>
        <w:jc w:val="left"/>
        <w:rPr>
          <w:rFonts w:ascii="Times New Roman" w:hAnsi="Times New Roman" w:cs="Times New Roman"/>
          <w:sz w:val="24"/>
          <w:szCs w:val="24"/>
          <w:lang w:val="en-US"/>
        </w:rPr>
      </w:pPr>
      <w:r>
        <w:rPr>
          <w:rFonts w:ascii="Times New Roman" w:hAnsi="Times New Roman" w:cs="Times New Roman"/>
          <w:sz w:val="24"/>
          <w:szCs w:val="24"/>
          <w:lang w:val="en-US"/>
        </w:rPr>
        <w:t>Within</w:t>
      </w:r>
      <w:r w:rsidRPr="007D4BB9">
        <w:rPr>
          <w:rFonts w:ascii="Times New Roman" w:hAnsi="Times New Roman" w:cs="Times New Roman"/>
          <w:sz w:val="24"/>
          <w:szCs w:val="24"/>
          <w:lang w:val="en-US"/>
        </w:rPr>
        <w:t xml:space="preserve"> </w:t>
      </w:r>
      <w:r w:rsidR="00DD4BD1" w:rsidRPr="007D4BB9">
        <w:rPr>
          <w:rFonts w:ascii="Times New Roman" w:hAnsi="Times New Roman" w:cs="Times New Roman"/>
          <w:sz w:val="24"/>
          <w:szCs w:val="24"/>
          <w:lang w:val="en-US"/>
        </w:rPr>
        <w:t xml:space="preserve">the study period, the dominant variant </w:t>
      </w:r>
      <w:r>
        <w:rPr>
          <w:rFonts w:ascii="Times New Roman" w:hAnsi="Times New Roman" w:cs="Times New Roman"/>
          <w:sz w:val="24"/>
          <w:szCs w:val="24"/>
          <w:lang w:val="en-US"/>
        </w:rPr>
        <w:t xml:space="preserve">of SARS-CoV-2 </w:t>
      </w:r>
      <w:r w:rsidR="00DD4BD1" w:rsidRPr="007D4BB9">
        <w:rPr>
          <w:rFonts w:ascii="Times New Roman" w:hAnsi="Times New Roman" w:cs="Times New Roman"/>
          <w:sz w:val="24"/>
          <w:szCs w:val="24"/>
          <w:lang w:val="en-US"/>
        </w:rPr>
        <w:t xml:space="preserve">in Japan </w:t>
      </w:r>
      <w:r w:rsidR="00F532AF" w:rsidRPr="007D4BB9">
        <w:rPr>
          <w:rFonts w:ascii="Times New Roman" w:hAnsi="Times New Roman" w:cs="Times New Roman"/>
          <w:sz w:val="24"/>
          <w:szCs w:val="24"/>
          <w:lang w:val="en-US"/>
        </w:rPr>
        <w:t>changed</w:t>
      </w:r>
      <w:r w:rsidR="00DD4BD1" w:rsidRPr="007D4BB9">
        <w:rPr>
          <w:rFonts w:ascii="Times New Roman" w:hAnsi="Times New Roman" w:cs="Times New Roman"/>
          <w:sz w:val="24"/>
          <w:szCs w:val="24"/>
          <w:lang w:val="en-US"/>
        </w:rPr>
        <w:t xml:space="preserve"> from Delta to Omicron</w:t>
      </w:r>
      <w:r>
        <w:rPr>
          <w:rFonts w:ascii="Times New Roman" w:hAnsi="Times New Roman" w:cs="Times New Roman"/>
          <w:sz w:val="24"/>
          <w:szCs w:val="24"/>
          <w:lang w:val="en-US"/>
        </w:rPr>
        <w:t>; this change took place</w:t>
      </w:r>
      <w:r w:rsidR="00DD4BD1" w:rsidRPr="007D4BB9">
        <w:rPr>
          <w:rFonts w:ascii="Times New Roman" w:hAnsi="Times New Roman" w:cs="Times New Roman"/>
          <w:sz w:val="24"/>
          <w:szCs w:val="24"/>
          <w:lang w:val="en-US"/>
        </w:rPr>
        <w:t xml:space="preserve"> </w:t>
      </w:r>
      <w:r w:rsidR="00335F62" w:rsidRPr="007D4BB9">
        <w:rPr>
          <w:rFonts w:ascii="Times New Roman" w:hAnsi="Times New Roman" w:cs="Times New Roman"/>
          <w:sz w:val="24"/>
          <w:szCs w:val="24"/>
          <w:lang w:val="en-US"/>
        </w:rPr>
        <w:t>from December 2021 to</w:t>
      </w:r>
      <w:r w:rsidR="00C1106E" w:rsidRPr="007D4BB9">
        <w:rPr>
          <w:rFonts w:ascii="Times New Roman" w:hAnsi="Times New Roman" w:cs="Times New Roman"/>
          <w:sz w:val="24"/>
          <w:szCs w:val="24"/>
          <w:lang w:val="en-US"/>
        </w:rPr>
        <w:t xml:space="preserve"> January 2022. </w:t>
      </w:r>
      <w:r w:rsidR="001E6D53" w:rsidRPr="007D4BB9">
        <w:rPr>
          <w:rFonts w:ascii="Times New Roman" w:hAnsi="Times New Roman" w:cs="Times New Roman"/>
          <w:sz w:val="24"/>
          <w:szCs w:val="24"/>
          <w:lang w:val="en-US"/>
        </w:rPr>
        <w:t>W</w:t>
      </w:r>
      <w:r w:rsidR="00C1106E" w:rsidRPr="007D4BB9">
        <w:rPr>
          <w:rFonts w:ascii="Times New Roman" w:hAnsi="Times New Roman" w:cs="Times New Roman"/>
          <w:sz w:val="24"/>
          <w:szCs w:val="24"/>
          <w:lang w:val="en-US"/>
        </w:rPr>
        <w:t xml:space="preserve">e assumed that </w:t>
      </w:r>
      <w:r>
        <w:rPr>
          <w:rFonts w:ascii="Times New Roman" w:hAnsi="Times New Roman" w:cs="Times New Roman"/>
          <w:sz w:val="24"/>
          <w:szCs w:val="24"/>
          <w:lang w:val="en-US"/>
        </w:rPr>
        <w:t>SARS-CoV-2 cases that</w:t>
      </w:r>
      <w:r w:rsidRPr="007D4BB9">
        <w:rPr>
          <w:rFonts w:ascii="Times New Roman" w:hAnsi="Times New Roman" w:cs="Times New Roman"/>
          <w:sz w:val="24"/>
          <w:szCs w:val="24"/>
          <w:lang w:val="en-US"/>
        </w:rPr>
        <w:t xml:space="preserve"> </w:t>
      </w:r>
      <w:r w:rsidR="007933FD" w:rsidRPr="007D4BB9">
        <w:rPr>
          <w:rFonts w:ascii="Times New Roman" w:hAnsi="Times New Roman" w:cs="Times New Roman"/>
          <w:sz w:val="24"/>
          <w:szCs w:val="24"/>
          <w:lang w:val="en-US"/>
        </w:rPr>
        <w:t xml:space="preserve">occurred </w:t>
      </w:r>
      <w:r>
        <w:rPr>
          <w:rFonts w:ascii="Times New Roman" w:hAnsi="Times New Roman" w:cs="Times New Roman"/>
          <w:sz w:val="24"/>
          <w:szCs w:val="24"/>
          <w:lang w:val="en-US"/>
        </w:rPr>
        <w:t>up through</w:t>
      </w:r>
      <w:r w:rsidRPr="007D4BB9">
        <w:rPr>
          <w:rFonts w:ascii="Times New Roman" w:hAnsi="Times New Roman" w:cs="Times New Roman"/>
          <w:sz w:val="24"/>
          <w:szCs w:val="24"/>
          <w:lang w:val="en-US"/>
        </w:rPr>
        <w:t xml:space="preserve"> </w:t>
      </w:r>
      <w:r w:rsidR="007933FD" w:rsidRPr="007D4BB9">
        <w:rPr>
          <w:rFonts w:ascii="Times New Roman" w:hAnsi="Times New Roman" w:cs="Times New Roman"/>
          <w:sz w:val="24"/>
          <w:szCs w:val="24"/>
          <w:lang w:val="en-US"/>
        </w:rPr>
        <w:t>December 31, 2021 w</w:t>
      </w:r>
      <w:r>
        <w:rPr>
          <w:rFonts w:ascii="Times New Roman" w:hAnsi="Times New Roman" w:cs="Times New Roman"/>
          <w:sz w:val="24"/>
          <w:szCs w:val="24"/>
          <w:lang w:val="en-US"/>
        </w:rPr>
        <w:t>ere</w:t>
      </w:r>
      <w:r w:rsidR="007933FD" w:rsidRPr="007D4BB9">
        <w:rPr>
          <w:rFonts w:ascii="Times New Roman" w:hAnsi="Times New Roman" w:cs="Times New Roman"/>
          <w:sz w:val="24"/>
          <w:szCs w:val="24"/>
          <w:lang w:val="en-US"/>
        </w:rPr>
        <w:t xml:space="preserve"> caused by </w:t>
      </w:r>
      <w:r>
        <w:rPr>
          <w:rFonts w:ascii="Times New Roman" w:hAnsi="Times New Roman" w:cs="Times New Roman"/>
          <w:sz w:val="24"/>
          <w:szCs w:val="24"/>
          <w:lang w:val="en-US"/>
        </w:rPr>
        <w:t xml:space="preserve">infection with </w:t>
      </w:r>
      <w:r w:rsidR="007933FD" w:rsidRPr="007D4BB9">
        <w:rPr>
          <w:rFonts w:ascii="Times New Roman" w:hAnsi="Times New Roman" w:cs="Times New Roman"/>
          <w:sz w:val="24"/>
          <w:szCs w:val="24"/>
          <w:lang w:val="en-US"/>
        </w:rPr>
        <w:t xml:space="preserve">Delta and </w:t>
      </w:r>
      <w:r>
        <w:rPr>
          <w:rFonts w:ascii="Times New Roman" w:hAnsi="Times New Roman" w:cs="Times New Roman"/>
          <w:sz w:val="24"/>
          <w:szCs w:val="24"/>
          <w:lang w:val="en-US"/>
        </w:rPr>
        <w:t>those that occurred</w:t>
      </w:r>
      <w:r w:rsidRPr="007D4BB9">
        <w:rPr>
          <w:rFonts w:ascii="Times New Roman" w:hAnsi="Times New Roman" w:cs="Times New Roman"/>
          <w:sz w:val="24"/>
          <w:szCs w:val="24"/>
          <w:lang w:val="en-US"/>
        </w:rPr>
        <w:t xml:space="preserve"> </w:t>
      </w:r>
      <w:r w:rsidR="007933FD" w:rsidRPr="007D4BB9">
        <w:rPr>
          <w:rFonts w:ascii="Times New Roman" w:hAnsi="Times New Roman" w:cs="Times New Roman"/>
          <w:sz w:val="24"/>
          <w:szCs w:val="24"/>
          <w:lang w:val="en-US"/>
        </w:rPr>
        <w:t xml:space="preserve">from January 1, 2022 </w:t>
      </w:r>
      <w:r>
        <w:rPr>
          <w:rFonts w:ascii="Times New Roman" w:hAnsi="Times New Roman" w:cs="Times New Roman"/>
          <w:sz w:val="24"/>
          <w:szCs w:val="24"/>
          <w:lang w:val="en-US"/>
        </w:rPr>
        <w:t>onward were caused by</w:t>
      </w:r>
      <w:r w:rsidRPr="007D4BB9">
        <w:rPr>
          <w:rFonts w:ascii="Times New Roman" w:hAnsi="Times New Roman" w:cs="Times New Roman"/>
          <w:sz w:val="24"/>
          <w:szCs w:val="24"/>
          <w:lang w:val="en-US"/>
        </w:rPr>
        <w:t xml:space="preserve"> </w:t>
      </w:r>
      <w:r w:rsidR="007933FD" w:rsidRPr="007D4BB9">
        <w:rPr>
          <w:rFonts w:ascii="Times New Roman" w:hAnsi="Times New Roman" w:cs="Times New Roman"/>
          <w:sz w:val="24"/>
          <w:szCs w:val="24"/>
          <w:lang w:val="en-US"/>
        </w:rPr>
        <w:t xml:space="preserve">infection with Omicron </w:t>
      </w:r>
      <w:r w:rsidR="00167E3E" w:rsidRPr="007D4BB9">
        <w:rPr>
          <w:rFonts w:ascii="Times New Roman" w:hAnsi="Times New Roman" w:cs="Times New Roman"/>
          <w:sz w:val="24"/>
          <w:szCs w:val="24"/>
          <w:lang w:val="en-US"/>
        </w:rPr>
        <w:fldChar w:fldCharType="begin" w:fldLock="1"/>
      </w:r>
      <w:r w:rsidR="00702409" w:rsidRPr="007D4BB9">
        <w:rPr>
          <w:rFonts w:ascii="Times New Roman" w:hAnsi="Times New Roman" w:cs="Times New Roman"/>
          <w:sz w:val="24"/>
          <w:szCs w:val="24"/>
          <w:lang w:val="en-US"/>
        </w:rPr>
        <w:instrText>ADDIN CSL_CITATION {"citationItems":[{"id":"ITEM-1","itemData":{"URL":"https://www.mhlw.go.jp/stf/seisakunitsuite/bunya/0000121431_00294.html","author":[{"dropping-particle":"","family":"Ministry of Health Labour and Welfare","given":"","non-dropping-particle":"","parse-names":false,"suffix":""}],"id":"ITEM-1","issued":{"date-parts":[["2021"]]},"title":"Advisory board for COVID-19 control, 65th","type":"webpage"},"uris":["http://www.mendeley.com/documents/?uuid=e269e9b8-a613-4770-8542-440087320ffb"]}],"mendeley":{"formattedCitation":"(Ministry of Health Labour and Welfare, 2021)","plainTextFormattedCitation":"(Ministry of Health Labour and Welfare, 2021)","previouslyFormattedCitation":"(Ministry of Health Labour and Welfare, n.d.)"},"properties":{"noteIndex":0},"schema":"https://github.com/citation-style-language/schema/raw/master/csl-citation.json"}</w:instrText>
      </w:r>
      <w:r w:rsidR="00167E3E" w:rsidRPr="007D4BB9">
        <w:rPr>
          <w:rFonts w:ascii="Times New Roman" w:hAnsi="Times New Roman" w:cs="Times New Roman"/>
          <w:sz w:val="24"/>
          <w:szCs w:val="24"/>
          <w:lang w:val="en-US"/>
        </w:rPr>
        <w:fldChar w:fldCharType="separate"/>
      </w:r>
      <w:r w:rsidR="00702409" w:rsidRPr="007D4BB9">
        <w:rPr>
          <w:rFonts w:ascii="Times New Roman" w:hAnsi="Times New Roman" w:cs="Times New Roman"/>
          <w:sz w:val="24"/>
          <w:szCs w:val="24"/>
          <w:lang w:val="en-US"/>
        </w:rPr>
        <w:t>(Ministry of Health Labour and Welfare, 2021)</w:t>
      </w:r>
      <w:r w:rsidR="00167E3E" w:rsidRPr="007D4BB9">
        <w:rPr>
          <w:rFonts w:ascii="Times New Roman" w:hAnsi="Times New Roman" w:cs="Times New Roman"/>
          <w:sz w:val="24"/>
          <w:szCs w:val="24"/>
          <w:lang w:val="en-US"/>
        </w:rPr>
        <w:fldChar w:fldCharType="end"/>
      </w:r>
      <w:r w:rsidR="007933FD" w:rsidRPr="007D4BB9">
        <w:rPr>
          <w:rFonts w:ascii="Times New Roman" w:hAnsi="Times New Roman" w:cs="Times New Roman"/>
          <w:sz w:val="24"/>
          <w:szCs w:val="24"/>
          <w:lang w:val="en-US"/>
        </w:rPr>
        <w:t xml:space="preserve">. We then assumed that </w:t>
      </w:r>
      <w:r w:rsidR="00C1106E" w:rsidRPr="007D4BB9">
        <w:rPr>
          <w:rFonts w:ascii="Times New Roman" w:hAnsi="Times New Roman" w:cs="Times New Roman"/>
          <w:sz w:val="24"/>
          <w:szCs w:val="24"/>
          <w:lang w:val="en-US"/>
        </w:rPr>
        <w:t xml:space="preserve">the decay </w:t>
      </w:r>
      <w:r w:rsidR="00715AEE" w:rsidRPr="007D4BB9">
        <w:rPr>
          <w:rFonts w:ascii="Times New Roman" w:hAnsi="Times New Roman" w:cs="Times New Roman"/>
          <w:sz w:val="24"/>
          <w:szCs w:val="24"/>
          <w:lang w:val="en-US"/>
        </w:rPr>
        <w:t>rate</w:t>
      </w:r>
      <w:r>
        <w:rPr>
          <w:rFonts w:ascii="Times New Roman" w:hAnsi="Times New Roman" w:cs="Times New Roman"/>
          <w:sz w:val="24"/>
          <w:szCs w:val="24"/>
          <w:lang w:val="en-US"/>
        </w:rPr>
        <w:t>s</w:t>
      </w:r>
      <w:r w:rsidR="00C1106E" w:rsidRPr="00300E50">
        <w:rPr>
          <w:rFonts w:ascii="Times New Roman" w:hAnsi="Times New Roman" w:cs="Times New Roman"/>
          <w:sz w:val="24"/>
          <w:szCs w:val="24"/>
          <w:lang w:val="en-US"/>
        </w:rPr>
        <w:t xml:space="preserve"> of immunity gained by infection with the Delta </w:t>
      </w:r>
      <w:r>
        <w:rPr>
          <w:rFonts w:ascii="Times New Roman" w:hAnsi="Times New Roman" w:cs="Times New Roman"/>
          <w:sz w:val="24"/>
          <w:szCs w:val="24"/>
          <w:lang w:val="en-US"/>
        </w:rPr>
        <w:t>or</w:t>
      </w:r>
      <w:r w:rsidRPr="00300E50">
        <w:rPr>
          <w:rFonts w:ascii="Times New Roman" w:hAnsi="Times New Roman" w:cs="Times New Roman"/>
          <w:sz w:val="24"/>
          <w:szCs w:val="24"/>
          <w:lang w:val="en-US"/>
        </w:rPr>
        <w:t xml:space="preserve"> </w:t>
      </w:r>
      <w:r w:rsidR="00C1106E" w:rsidRPr="00300E50">
        <w:rPr>
          <w:rFonts w:ascii="Times New Roman" w:hAnsi="Times New Roman" w:cs="Times New Roman"/>
          <w:sz w:val="24"/>
          <w:szCs w:val="24"/>
          <w:lang w:val="en-US"/>
        </w:rPr>
        <w:t>Omicron variant</w:t>
      </w:r>
      <w:r>
        <w:rPr>
          <w:rFonts w:ascii="Times New Roman" w:hAnsi="Times New Roman" w:cs="Times New Roman"/>
          <w:sz w:val="24"/>
          <w:szCs w:val="24"/>
          <w:lang w:val="en-US"/>
        </w:rPr>
        <w:t>s</w:t>
      </w:r>
      <w:r w:rsidR="00C1106E" w:rsidRPr="00300E50">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300E50">
        <w:rPr>
          <w:rFonts w:ascii="Times New Roman" w:hAnsi="Times New Roman" w:cs="Times New Roman"/>
          <w:sz w:val="24"/>
          <w:szCs w:val="24"/>
          <w:lang w:val="en-US"/>
        </w:rPr>
        <w:t xml:space="preserve"> </w:t>
      </w:r>
      <w:r w:rsidR="001E6D53" w:rsidRPr="00300E50">
        <w:rPr>
          <w:rFonts w:ascii="Times New Roman" w:hAnsi="Times New Roman" w:cs="Times New Roman"/>
          <w:sz w:val="24"/>
          <w:szCs w:val="24"/>
          <w:lang w:val="en-US"/>
        </w:rPr>
        <w:t xml:space="preserve">identical </w:t>
      </w:r>
      <w:r>
        <w:rPr>
          <w:rFonts w:ascii="Times New Roman" w:hAnsi="Times New Roman" w:cs="Times New Roman"/>
          <w:sz w:val="24"/>
          <w:szCs w:val="24"/>
          <w:lang w:val="en-US"/>
        </w:rPr>
        <w:t>to those of immunity induced by</w:t>
      </w:r>
      <w:r w:rsidRPr="00300E50">
        <w:rPr>
          <w:rFonts w:ascii="Times New Roman" w:hAnsi="Times New Roman" w:cs="Times New Roman"/>
          <w:sz w:val="24"/>
          <w:szCs w:val="24"/>
          <w:lang w:val="en-US"/>
        </w:rPr>
        <w:t xml:space="preserve"> </w:t>
      </w:r>
      <w:r w:rsidR="00E37532" w:rsidRPr="00300E50">
        <w:rPr>
          <w:rFonts w:ascii="Times New Roman" w:hAnsi="Times New Roman" w:cs="Times New Roman"/>
          <w:sz w:val="24"/>
          <w:szCs w:val="24"/>
          <w:lang w:val="en-US"/>
        </w:rPr>
        <w:t xml:space="preserve">the </w:t>
      </w:r>
      <w:r w:rsidR="001E6D53" w:rsidRPr="00300E50">
        <w:rPr>
          <w:rFonts w:ascii="Times New Roman" w:hAnsi="Times New Roman" w:cs="Times New Roman"/>
          <w:sz w:val="24"/>
          <w:szCs w:val="24"/>
          <w:lang w:val="en-US"/>
        </w:rPr>
        <w:t xml:space="preserve">second and third </w:t>
      </w:r>
      <w:r>
        <w:rPr>
          <w:rFonts w:ascii="Times New Roman" w:hAnsi="Times New Roman" w:cs="Times New Roman"/>
          <w:sz w:val="24"/>
          <w:szCs w:val="24"/>
          <w:lang w:val="en-US"/>
        </w:rPr>
        <w:t xml:space="preserve">vaccine </w:t>
      </w:r>
      <w:r w:rsidR="001E6D53" w:rsidRPr="00300E50">
        <w:rPr>
          <w:rFonts w:ascii="Times New Roman" w:hAnsi="Times New Roman" w:cs="Times New Roman"/>
          <w:sz w:val="24"/>
          <w:szCs w:val="24"/>
          <w:lang w:val="en-US"/>
        </w:rPr>
        <w:t>dose</w:t>
      </w:r>
      <w:r>
        <w:rPr>
          <w:rFonts w:ascii="Times New Roman" w:hAnsi="Times New Roman" w:cs="Times New Roman"/>
          <w:sz w:val="24"/>
          <w:szCs w:val="24"/>
          <w:lang w:val="en-US"/>
        </w:rPr>
        <w:t>s</w:t>
      </w:r>
      <w:r w:rsidR="00E37532" w:rsidRPr="00300E50">
        <w:rPr>
          <w:rFonts w:ascii="Times New Roman" w:hAnsi="Times New Roman" w:cs="Times New Roman"/>
          <w:sz w:val="24"/>
          <w:szCs w:val="24"/>
          <w:lang w:val="en-US"/>
        </w:rPr>
        <w:t>, respectively</w:t>
      </w:r>
      <w:r w:rsidR="001E6D53" w:rsidRPr="00300E50">
        <w:rPr>
          <w:rFonts w:ascii="Times New Roman" w:hAnsi="Times New Roman" w:cs="Times New Roman"/>
          <w:sz w:val="24"/>
          <w:szCs w:val="24"/>
          <w:lang w:val="en-US"/>
        </w:rPr>
        <w:t>. It should be noted that the immun</w:t>
      </w:r>
      <w:r w:rsidR="00715AEE" w:rsidRPr="00300E50">
        <w:rPr>
          <w:rFonts w:ascii="Times New Roman" w:hAnsi="Times New Roman" w:cs="Times New Roman"/>
          <w:sz w:val="24"/>
          <w:szCs w:val="24"/>
          <w:lang w:val="en-US"/>
        </w:rPr>
        <w:t xml:space="preserve">ity shown here represents protection </w:t>
      </w:r>
      <w:r w:rsidR="001E6D53" w:rsidRPr="00300E50">
        <w:rPr>
          <w:rFonts w:ascii="Times New Roman" w:hAnsi="Times New Roman" w:cs="Times New Roman"/>
          <w:sz w:val="24"/>
          <w:szCs w:val="24"/>
          <w:lang w:val="en-US"/>
        </w:rPr>
        <w:t>against symptomatic</w:t>
      </w:r>
      <w:r w:rsidR="00E37532" w:rsidRPr="00300E50">
        <w:rPr>
          <w:lang w:val="en-US"/>
        </w:rPr>
        <w:t xml:space="preserve"> </w:t>
      </w:r>
      <w:r w:rsidR="001E6D53" w:rsidRPr="00300E50">
        <w:rPr>
          <w:rFonts w:ascii="Times New Roman" w:hAnsi="Times New Roman" w:cs="Times New Roman"/>
          <w:sz w:val="24"/>
          <w:szCs w:val="24"/>
          <w:lang w:val="en-US"/>
        </w:rPr>
        <w:t xml:space="preserve">infection </w:t>
      </w:r>
      <w:r w:rsidR="00DC7703" w:rsidRPr="00300E50">
        <w:rPr>
          <w:rFonts w:ascii="Times New Roman" w:hAnsi="Times New Roman" w:cs="Times New Roman"/>
          <w:sz w:val="24"/>
          <w:szCs w:val="24"/>
          <w:lang w:val="en-US"/>
        </w:rPr>
        <w:t>with Omicron</w:t>
      </w:r>
      <w:r>
        <w:rPr>
          <w:rFonts w:ascii="Times New Roman" w:hAnsi="Times New Roman" w:cs="Times New Roman"/>
          <w:sz w:val="24"/>
          <w:szCs w:val="24"/>
          <w:lang w:val="en-US"/>
        </w:rPr>
        <w:t>,</w:t>
      </w:r>
      <w:r w:rsidR="00DC7703" w:rsidRPr="00300E50">
        <w:rPr>
          <w:rFonts w:ascii="Times New Roman" w:hAnsi="Times New Roman" w:cs="Times New Roman"/>
          <w:sz w:val="24"/>
          <w:szCs w:val="24"/>
          <w:lang w:val="en-US"/>
        </w:rPr>
        <w:t xml:space="preserve"> </w:t>
      </w:r>
      <w:r w:rsidR="001E6D53" w:rsidRPr="00300E50">
        <w:rPr>
          <w:rFonts w:ascii="Times New Roman" w:hAnsi="Times New Roman" w:cs="Times New Roman"/>
          <w:sz w:val="24"/>
          <w:szCs w:val="24"/>
          <w:lang w:val="en-US"/>
        </w:rPr>
        <w:t xml:space="preserve">which was </w:t>
      </w:r>
      <w:r>
        <w:rPr>
          <w:rFonts w:ascii="Times New Roman" w:hAnsi="Times New Roman" w:cs="Times New Roman"/>
          <w:sz w:val="24"/>
          <w:szCs w:val="24"/>
          <w:lang w:val="en-US"/>
        </w:rPr>
        <w:t xml:space="preserve">the </w:t>
      </w:r>
      <w:r w:rsidR="001E6D53" w:rsidRPr="00300E50">
        <w:rPr>
          <w:rFonts w:ascii="Times New Roman" w:hAnsi="Times New Roman" w:cs="Times New Roman"/>
          <w:sz w:val="24"/>
          <w:szCs w:val="24"/>
          <w:lang w:val="en-US"/>
        </w:rPr>
        <w:t xml:space="preserve">dominant </w:t>
      </w:r>
      <w:r>
        <w:rPr>
          <w:rFonts w:ascii="Times New Roman" w:hAnsi="Times New Roman" w:cs="Times New Roman"/>
          <w:sz w:val="24"/>
          <w:szCs w:val="24"/>
          <w:lang w:val="en-US"/>
        </w:rPr>
        <w:t xml:space="preserve">variant </w:t>
      </w:r>
      <w:r w:rsidR="001E6D53" w:rsidRPr="00300E50">
        <w:rPr>
          <w:rFonts w:ascii="Times New Roman" w:hAnsi="Times New Roman" w:cs="Times New Roman"/>
          <w:sz w:val="24"/>
          <w:szCs w:val="24"/>
          <w:lang w:val="en-US"/>
        </w:rPr>
        <w:t>when th</w:t>
      </w:r>
      <w:r>
        <w:rPr>
          <w:rFonts w:ascii="Times New Roman" w:hAnsi="Times New Roman" w:cs="Times New Roman"/>
          <w:sz w:val="24"/>
          <w:szCs w:val="24"/>
          <w:lang w:val="en-US"/>
        </w:rPr>
        <w:t>is</w:t>
      </w:r>
      <w:r w:rsidR="001E6D53" w:rsidRPr="00300E50">
        <w:rPr>
          <w:rFonts w:ascii="Times New Roman" w:hAnsi="Times New Roman" w:cs="Times New Roman"/>
          <w:sz w:val="24"/>
          <w:szCs w:val="24"/>
          <w:lang w:val="en-US"/>
        </w:rPr>
        <w:t xml:space="preserve"> analysis was conducted. The </w:t>
      </w:r>
      <w:r w:rsidR="00FB05C1" w:rsidRPr="00300E50">
        <w:rPr>
          <w:rFonts w:ascii="Times New Roman" w:hAnsi="Times New Roman" w:cs="Times New Roman"/>
          <w:sz w:val="24"/>
          <w:szCs w:val="24"/>
          <w:lang w:val="en-US"/>
        </w:rPr>
        <w:t xml:space="preserve">results </w:t>
      </w:r>
      <w:r>
        <w:rPr>
          <w:rFonts w:ascii="Times New Roman" w:hAnsi="Times New Roman" w:cs="Times New Roman"/>
          <w:sz w:val="24"/>
          <w:szCs w:val="24"/>
          <w:lang w:val="en-US"/>
        </w:rPr>
        <w:t xml:space="preserve">of this analysis </w:t>
      </w:r>
      <w:r w:rsidR="00FB05C1" w:rsidRPr="00300E50">
        <w:rPr>
          <w:rFonts w:ascii="Times New Roman" w:hAnsi="Times New Roman" w:cs="Times New Roman"/>
          <w:sz w:val="24"/>
          <w:szCs w:val="24"/>
          <w:lang w:val="en-US"/>
        </w:rPr>
        <w:t xml:space="preserve">are </w:t>
      </w:r>
      <w:r w:rsidR="001E6D53" w:rsidRPr="00300E50">
        <w:rPr>
          <w:rFonts w:ascii="Times New Roman" w:hAnsi="Times New Roman" w:cs="Times New Roman"/>
          <w:sz w:val="24"/>
          <w:szCs w:val="24"/>
          <w:lang w:val="en-US"/>
        </w:rPr>
        <w:t>presented in Figure</w:t>
      </w:r>
      <w:r w:rsidR="00F67251" w:rsidRPr="00300E50">
        <w:rPr>
          <w:rFonts w:ascii="Times New Roman" w:hAnsi="Times New Roman" w:cs="Times New Roman"/>
          <w:sz w:val="24"/>
          <w:szCs w:val="24"/>
          <w:lang w:val="en-US"/>
        </w:rPr>
        <w:t xml:space="preserve"> </w:t>
      </w:r>
      <w:r w:rsidR="001E6D53" w:rsidRPr="00300E50">
        <w:rPr>
          <w:rFonts w:ascii="Times New Roman" w:hAnsi="Times New Roman" w:cs="Times New Roman"/>
          <w:sz w:val="24"/>
          <w:szCs w:val="24"/>
          <w:lang w:val="en-US"/>
        </w:rPr>
        <w:t>S</w:t>
      </w:r>
      <w:r w:rsidR="00FB05C1" w:rsidRPr="00300E50">
        <w:rPr>
          <w:rFonts w:ascii="Times New Roman" w:hAnsi="Times New Roman" w:cs="Times New Roman"/>
          <w:sz w:val="24"/>
          <w:szCs w:val="24"/>
          <w:lang w:val="en-US"/>
        </w:rPr>
        <w:t>2 and Table S2</w:t>
      </w:r>
      <w:r w:rsidR="001E6D53" w:rsidRPr="00300E50">
        <w:rPr>
          <w:rFonts w:ascii="Times New Roman" w:hAnsi="Times New Roman" w:cs="Times New Roman"/>
          <w:sz w:val="24"/>
          <w:szCs w:val="24"/>
          <w:lang w:val="en-US"/>
        </w:rPr>
        <w:t>.</w:t>
      </w:r>
    </w:p>
    <w:p w14:paraId="1D2DF7DC" w14:textId="078A6D38" w:rsidR="001E6D53" w:rsidRPr="00300E50" w:rsidRDefault="001E6D53" w:rsidP="00715AEE">
      <w:pPr>
        <w:jc w:val="left"/>
        <w:rPr>
          <w:rFonts w:ascii="Times New Roman" w:hAnsi="Times New Roman" w:cs="Times New Roman"/>
          <w:sz w:val="24"/>
          <w:szCs w:val="24"/>
          <w:lang w:val="en-US"/>
        </w:rPr>
      </w:pPr>
    </w:p>
    <w:p w14:paraId="1BFB69D1" w14:textId="77777777" w:rsidR="008026E8" w:rsidRDefault="008026E8">
      <w:pPr>
        <w:widowControl/>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C1D14EE" w14:textId="0777DA39" w:rsidR="00DC7703" w:rsidRDefault="004977DD" w:rsidP="00715AEE">
      <w:pPr>
        <w:jc w:val="left"/>
        <w:rPr>
          <w:rFonts w:ascii="Times New Roman" w:hAnsi="Times New Roman" w:cs="Times New Roman"/>
          <w:sz w:val="24"/>
          <w:szCs w:val="24"/>
          <w:lang w:val="en-US"/>
        </w:rPr>
      </w:pPr>
      <w:r w:rsidRPr="00C267A6">
        <w:rPr>
          <w:noProof/>
          <w:lang w:val="en-US" w:eastAsia="en-US"/>
        </w:rPr>
        <w:lastRenderedPageBreak/>
        <w:drawing>
          <wp:inline distT="0" distB="0" distL="0" distR="0" wp14:anchorId="7DAC1C3D" wp14:editId="2D9A57C7">
            <wp:extent cx="5400040" cy="3599815"/>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474A21E" w14:textId="2BDC162C" w:rsidR="00300E50" w:rsidRPr="00300E50" w:rsidRDefault="00300E50" w:rsidP="00715AEE">
      <w:pPr>
        <w:jc w:val="left"/>
        <w:rPr>
          <w:rFonts w:ascii="Times New Roman" w:hAnsi="Times New Roman" w:cs="Times New Roman"/>
          <w:sz w:val="24"/>
          <w:szCs w:val="24"/>
          <w:lang w:val="en-US"/>
        </w:rPr>
      </w:pPr>
      <w:r w:rsidRPr="00300E50">
        <w:rPr>
          <w:rFonts w:ascii="Times New Roman" w:hAnsi="Times New Roman" w:cs="Times New Roman"/>
          <w:b/>
          <w:bCs/>
          <w:sz w:val="24"/>
          <w:szCs w:val="24"/>
          <w:lang w:val="en-US"/>
        </w:rPr>
        <w:t>Figure S2.</w:t>
      </w:r>
      <w:r w:rsidRPr="00300E50">
        <w:rPr>
          <w:rFonts w:ascii="Times New Roman" w:hAnsi="Times New Roman" w:cs="Times New Roman"/>
          <w:sz w:val="24"/>
          <w:szCs w:val="24"/>
          <w:lang w:val="en-US"/>
        </w:rPr>
        <w:t xml:space="preserve"> </w:t>
      </w:r>
      <w:r w:rsidRPr="00300E50">
        <w:rPr>
          <w:rFonts w:ascii="Times New Roman" w:hAnsi="Times New Roman" w:cs="Times New Roman"/>
          <w:b/>
          <w:bCs/>
          <w:sz w:val="24"/>
          <w:szCs w:val="28"/>
          <w:lang w:val="en-US"/>
        </w:rPr>
        <w:t xml:space="preserve">Age-specific proportion </w:t>
      </w:r>
      <w:r>
        <w:rPr>
          <w:rFonts w:ascii="Times New Roman" w:hAnsi="Times New Roman" w:cs="Times New Roman"/>
          <w:b/>
          <w:bCs/>
          <w:sz w:val="24"/>
          <w:szCs w:val="28"/>
          <w:lang w:val="en-US"/>
        </w:rPr>
        <w:t xml:space="preserve">of the population that is </w:t>
      </w:r>
      <w:r w:rsidRPr="00300E50">
        <w:rPr>
          <w:rFonts w:ascii="Times New Roman" w:hAnsi="Times New Roman" w:cs="Times New Roman"/>
          <w:b/>
          <w:bCs/>
          <w:sz w:val="24"/>
          <w:szCs w:val="28"/>
          <w:lang w:val="en-US"/>
        </w:rPr>
        <w:t>immune to symptomatic SARS-CoV-2 infection, February 17, 2021–August 1, 2022.</w:t>
      </w:r>
    </w:p>
    <w:p w14:paraId="3746C8CF" w14:textId="333764FC" w:rsidR="00FB05C1" w:rsidRPr="00300E50" w:rsidRDefault="009842E9" w:rsidP="00715AEE">
      <w:pPr>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(A–F) </w:t>
      </w:r>
      <w:r w:rsidR="00FB05C1" w:rsidRPr="00300E50">
        <w:rPr>
          <w:rFonts w:ascii="Times New Roman" w:hAnsi="Times New Roman" w:cs="Times New Roman"/>
          <w:sz w:val="24"/>
          <w:szCs w:val="24"/>
          <w:lang w:val="en-US"/>
        </w:rPr>
        <w:t xml:space="preserve">The lines show the time-dependent proportion </w:t>
      </w:r>
      <w:r>
        <w:rPr>
          <w:rFonts w:ascii="Times New Roman" w:hAnsi="Times New Roman" w:cs="Times New Roman"/>
          <w:sz w:val="24"/>
          <w:szCs w:val="24"/>
          <w:lang w:val="en-US"/>
        </w:rPr>
        <w:t xml:space="preserve">of the population that is </w:t>
      </w:r>
      <w:r w:rsidR="00FB05C1" w:rsidRPr="00300E50">
        <w:rPr>
          <w:rFonts w:ascii="Times New Roman" w:hAnsi="Times New Roman" w:cs="Times New Roman"/>
          <w:sz w:val="24"/>
          <w:szCs w:val="24"/>
          <w:lang w:val="en-US"/>
        </w:rPr>
        <w:t xml:space="preserve">immune to symptomatic infection among </w:t>
      </w:r>
      <w:r>
        <w:rPr>
          <w:rFonts w:ascii="Times New Roman" w:hAnsi="Times New Roman" w:cs="Times New Roman"/>
          <w:sz w:val="24"/>
          <w:szCs w:val="24"/>
          <w:lang w:val="en-US"/>
        </w:rPr>
        <w:t xml:space="preserve">people </w:t>
      </w:r>
      <w:r w:rsidR="00715AEE" w:rsidRPr="00300E50">
        <w:rPr>
          <w:rFonts w:ascii="Times New Roman" w:hAnsi="Times New Roman" w:cs="Times New Roman"/>
          <w:sz w:val="24"/>
          <w:szCs w:val="24"/>
          <w:lang w:val="en-US"/>
        </w:rPr>
        <w:t xml:space="preserve">aged from </w:t>
      </w:r>
      <w:r w:rsidR="00FB05C1" w:rsidRPr="00300E50">
        <w:rPr>
          <w:rFonts w:ascii="Times New Roman" w:hAnsi="Times New Roman" w:cs="Times New Roman"/>
          <w:sz w:val="24"/>
          <w:szCs w:val="24"/>
          <w:lang w:val="en-US"/>
        </w:rPr>
        <w:t>20–29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(A)</w:t>
      </w:r>
      <w:r w:rsidR="00FB05C1" w:rsidRPr="00300E50">
        <w:rPr>
          <w:rFonts w:ascii="Times New Roman" w:hAnsi="Times New Roman" w:cs="Times New Roman"/>
          <w:sz w:val="24"/>
          <w:szCs w:val="24"/>
          <w:lang w:val="en-US"/>
        </w:rPr>
        <w:t>, 30–39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(B)</w:t>
      </w:r>
      <w:r w:rsidR="00FB05C1" w:rsidRPr="00300E50">
        <w:rPr>
          <w:rFonts w:ascii="Times New Roman" w:hAnsi="Times New Roman" w:cs="Times New Roman"/>
          <w:sz w:val="24"/>
          <w:szCs w:val="24"/>
          <w:lang w:val="en-US"/>
        </w:rPr>
        <w:t>, 40–49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(C)</w:t>
      </w:r>
      <w:r w:rsidR="00FB05C1" w:rsidRPr="00300E50">
        <w:rPr>
          <w:rFonts w:ascii="Times New Roman" w:hAnsi="Times New Roman" w:cs="Times New Roman"/>
          <w:sz w:val="24"/>
          <w:szCs w:val="24"/>
          <w:lang w:val="en-US"/>
        </w:rPr>
        <w:t>, 50–59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(D)</w:t>
      </w:r>
      <w:r w:rsidR="00FB05C1" w:rsidRPr="00300E50">
        <w:rPr>
          <w:rFonts w:ascii="Times New Roman" w:hAnsi="Times New Roman" w:cs="Times New Roman"/>
          <w:sz w:val="24"/>
          <w:szCs w:val="24"/>
          <w:lang w:val="en-US"/>
        </w:rPr>
        <w:t>, 60–69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(E)</w:t>
      </w:r>
      <w:r w:rsidR="00FB05C1" w:rsidRPr="00300E50">
        <w:rPr>
          <w:rFonts w:ascii="Times New Roman" w:hAnsi="Times New Roman" w:cs="Times New Roman"/>
          <w:sz w:val="24"/>
          <w:szCs w:val="24"/>
          <w:lang w:val="en-US"/>
        </w:rPr>
        <w:t>, and ≥70</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(F)</w:t>
      </w:r>
      <w:r w:rsidR="00FB05C1" w:rsidRPr="00300E50">
        <w:rPr>
          <w:rFonts w:ascii="Times New Roman" w:hAnsi="Times New Roman" w:cs="Times New Roman"/>
          <w:sz w:val="24"/>
          <w:szCs w:val="24"/>
          <w:lang w:val="en-US"/>
        </w:rPr>
        <w:t xml:space="preserve"> years, and </w:t>
      </w:r>
      <w:r>
        <w:rPr>
          <w:rFonts w:ascii="Times New Roman" w:hAnsi="Times New Roman" w:cs="Times New Roman"/>
          <w:sz w:val="24"/>
          <w:szCs w:val="24"/>
          <w:lang w:val="en-US"/>
        </w:rPr>
        <w:t xml:space="preserve">the </w:t>
      </w:r>
      <w:r w:rsidR="00FB05C1" w:rsidRPr="00300E50">
        <w:rPr>
          <w:rFonts w:ascii="Times New Roman" w:hAnsi="Times New Roman" w:cs="Times New Roman"/>
          <w:sz w:val="24"/>
          <w:szCs w:val="24"/>
          <w:lang w:val="en-US"/>
        </w:rPr>
        <w:t>shaded areas are their 95%</w:t>
      </w:r>
      <w:r w:rsidR="00715AEE" w:rsidRPr="00300E50">
        <w:rPr>
          <w:rFonts w:ascii="Times New Roman" w:hAnsi="Times New Roman" w:cs="Times New Roman"/>
          <w:sz w:val="24"/>
          <w:szCs w:val="24"/>
          <w:lang w:val="en-US"/>
        </w:rPr>
        <w:t xml:space="preserve"> confidence intervals (</w:t>
      </w:r>
      <w:r w:rsidR="00135182" w:rsidRPr="00300E50">
        <w:rPr>
          <w:rFonts w:ascii="Times New Roman" w:hAnsi="Times New Roman" w:cs="Times New Roman"/>
          <w:sz w:val="24"/>
          <w:szCs w:val="24"/>
          <w:lang w:val="en-US"/>
        </w:rPr>
        <w:t>C</w:t>
      </w:r>
      <w:r w:rsidR="00715AEE" w:rsidRPr="00300E50">
        <w:rPr>
          <w:rFonts w:ascii="Times New Roman" w:hAnsi="Times New Roman" w:cs="Times New Roman"/>
          <w:sz w:val="24"/>
          <w:szCs w:val="24"/>
          <w:lang w:val="en-US"/>
        </w:rPr>
        <w:t>I</w:t>
      </w:r>
      <w:r w:rsidR="00135182" w:rsidRPr="00300E50">
        <w:rPr>
          <w:rFonts w:ascii="Times New Roman" w:hAnsi="Times New Roman" w:cs="Times New Roman"/>
          <w:sz w:val="24"/>
          <w:szCs w:val="24"/>
          <w:lang w:val="en-US"/>
        </w:rPr>
        <w:t>s</w:t>
      </w:r>
      <w:r w:rsidR="00715AEE" w:rsidRPr="00300E50">
        <w:rPr>
          <w:rFonts w:ascii="Times New Roman" w:hAnsi="Times New Roman" w:cs="Times New Roman"/>
          <w:sz w:val="24"/>
          <w:szCs w:val="24"/>
          <w:lang w:val="en-US"/>
        </w:rPr>
        <w:t>)</w:t>
      </w:r>
      <w:r>
        <w:rPr>
          <w:rFonts w:ascii="Times New Roman" w:hAnsi="Times New Roman" w:cs="Times New Roman"/>
          <w:sz w:val="24"/>
          <w:szCs w:val="24"/>
          <w:lang w:val="en-US"/>
        </w:rPr>
        <w:t>,</w:t>
      </w:r>
      <w:r w:rsidR="00FB05C1" w:rsidRPr="00300E50">
        <w:rPr>
          <w:rFonts w:ascii="Times New Roman" w:hAnsi="Times New Roman" w:cs="Times New Roman"/>
          <w:sz w:val="24"/>
          <w:szCs w:val="24"/>
          <w:lang w:val="en-US"/>
        </w:rPr>
        <w:t xml:space="preserve"> computed via </w:t>
      </w:r>
      <w:r>
        <w:rPr>
          <w:rFonts w:ascii="Times New Roman" w:hAnsi="Times New Roman" w:cs="Times New Roman"/>
          <w:sz w:val="24"/>
          <w:szCs w:val="24"/>
          <w:lang w:val="en-US"/>
        </w:rPr>
        <w:t xml:space="preserve">the </w:t>
      </w:r>
      <w:r w:rsidR="00FB05C1" w:rsidRPr="00300E50">
        <w:rPr>
          <w:rFonts w:ascii="Times New Roman" w:hAnsi="Times New Roman" w:cs="Times New Roman"/>
          <w:sz w:val="24"/>
          <w:szCs w:val="24"/>
          <w:lang w:val="en-US"/>
        </w:rPr>
        <w:t xml:space="preserve">bootstrapping method. The red lines </w:t>
      </w:r>
      <w:r>
        <w:rPr>
          <w:rFonts w:ascii="Times New Roman" w:hAnsi="Times New Roman" w:cs="Times New Roman"/>
          <w:sz w:val="24"/>
          <w:szCs w:val="24"/>
          <w:lang w:val="en-US"/>
        </w:rPr>
        <w:t xml:space="preserve">reflect the scenarios in which </w:t>
      </w:r>
      <w:r w:rsidR="00FB05C1" w:rsidRPr="00300E50">
        <w:rPr>
          <w:rFonts w:ascii="Times New Roman" w:hAnsi="Times New Roman" w:cs="Times New Roman"/>
          <w:sz w:val="24"/>
          <w:szCs w:val="24"/>
          <w:lang w:val="en-US"/>
        </w:rPr>
        <w:t xml:space="preserve">the immunity from natural infection as well as </w:t>
      </w:r>
      <w:r>
        <w:rPr>
          <w:rFonts w:ascii="Times New Roman" w:hAnsi="Times New Roman" w:cs="Times New Roman"/>
          <w:sz w:val="24"/>
          <w:szCs w:val="24"/>
          <w:lang w:val="en-US"/>
        </w:rPr>
        <w:t xml:space="preserve">the immunity from the </w:t>
      </w:r>
      <w:r w:rsidR="00FB05C1" w:rsidRPr="00300E50">
        <w:rPr>
          <w:rFonts w:ascii="Times New Roman" w:hAnsi="Times New Roman" w:cs="Times New Roman"/>
          <w:sz w:val="24"/>
          <w:szCs w:val="24"/>
          <w:lang w:val="en-US"/>
        </w:rPr>
        <w:t xml:space="preserve">second and third </w:t>
      </w:r>
      <w:r>
        <w:rPr>
          <w:rFonts w:ascii="Times New Roman" w:hAnsi="Times New Roman" w:cs="Times New Roman"/>
          <w:sz w:val="24"/>
          <w:szCs w:val="24"/>
          <w:lang w:val="en-US"/>
        </w:rPr>
        <w:t xml:space="preserve">vaccine </w:t>
      </w:r>
      <w:r w:rsidR="00FB05C1" w:rsidRPr="00300E50">
        <w:rPr>
          <w:rFonts w:ascii="Times New Roman" w:hAnsi="Times New Roman" w:cs="Times New Roman"/>
          <w:sz w:val="24"/>
          <w:szCs w:val="24"/>
          <w:lang w:val="en-US"/>
        </w:rPr>
        <w:t>dose</w:t>
      </w:r>
      <w:r>
        <w:rPr>
          <w:rFonts w:ascii="Times New Roman" w:hAnsi="Times New Roman" w:cs="Times New Roman"/>
          <w:sz w:val="24"/>
          <w:szCs w:val="24"/>
          <w:lang w:val="en-US"/>
        </w:rPr>
        <w:t>s</w:t>
      </w:r>
      <w:r w:rsidR="00FB05C1" w:rsidRPr="00300E50">
        <w:rPr>
          <w:rFonts w:ascii="Times New Roman" w:hAnsi="Times New Roman" w:cs="Times New Roman"/>
          <w:sz w:val="24"/>
          <w:szCs w:val="24"/>
          <w:lang w:val="en-US"/>
        </w:rPr>
        <w:t xml:space="preserve"> </w:t>
      </w:r>
      <w:r>
        <w:rPr>
          <w:rFonts w:ascii="Times New Roman" w:hAnsi="Times New Roman" w:cs="Times New Roman"/>
          <w:sz w:val="24"/>
          <w:szCs w:val="24"/>
          <w:lang w:val="en-US"/>
        </w:rPr>
        <w:t>are considered</w:t>
      </w:r>
      <w:r w:rsidR="00FB05C1" w:rsidRPr="00300E50">
        <w:rPr>
          <w:rFonts w:ascii="Times New Roman" w:hAnsi="Times New Roman" w:cs="Times New Roman"/>
          <w:sz w:val="24"/>
          <w:szCs w:val="24"/>
          <w:lang w:val="en-US"/>
        </w:rPr>
        <w:t xml:space="preserve">, whereas the light blue lines reflect the </w:t>
      </w:r>
      <w:r>
        <w:rPr>
          <w:rFonts w:ascii="Times New Roman" w:hAnsi="Times New Roman" w:cs="Times New Roman"/>
          <w:sz w:val="24"/>
          <w:szCs w:val="24"/>
          <w:lang w:val="en-US"/>
        </w:rPr>
        <w:t xml:space="preserve">scenarios in which only the </w:t>
      </w:r>
      <w:r w:rsidR="00FB05C1" w:rsidRPr="00300E50">
        <w:rPr>
          <w:rFonts w:ascii="Times New Roman" w:hAnsi="Times New Roman" w:cs="Times New Roman"/>
          <w:sz w:val="24"/>
          <w:szCs w:val="24"/>
          <w:lang w:val="en-US"/>
        </w:rPr>
        <w:t xml:space="preserve">immunity from </w:t>
      </w:r>
      <w:r>
        <w:rPr>
          <w:rFonts w:ascii="Times New Roman" w:hAnsi="Times New Roman" w:cs="Times New Roman"/>
          <w:sz w:val="24"/>
          <w:szCs w:val="24"/>
          <w:lang w:val="en-US"/>
        </w:rPr>
        <w:t xml:space="preserve">the </w:t>
      </w:r>
      <w:r w:rsidR="00FB05C1" w:rsidRPr="00300E50">
        <w:rPr>
          <w:rFonts w:ascii="Times New Roman" w:hAnsi="Times New Roman" w:cs="Times New Roman"/>
          <w:sz w:val="24"/>
          <w:szCs w:val="24"/>
          <w:lang w:val="en-US"/>
        </w:rPr>
        <w:t xml:space="preserve">second and third </w:t>
      </w:r>
      <w:r>
        <w:rPr>
          <w:rFonts w:ascii="Times New Roman" w:hAnsi="Times New Roman" w:cs="Times New Roman"/>
          <w:sz w:val="24"/>
          <w:szCs w:val="24"/>
          <w:lang w:val="en-US"/>
        </w:rPr>
        <w:t xml:space="preserve">vaccine </w:t>
      </w:r>
      <w:r w:rsidR="00FB05C1" w:rsidRPr="00300E50">
        <w:rPr>
          <w:rFonts w:ascii="Times New Roman" w:hAnsi="Times New Roman" w:cs="Times New Roman"/>
          <w:sz w:val="24"/>
          <w:szCs w:val="24"/>
          <w:lang w:val="en-US"/>
        </w:rPr>
        <w:t>dose</w:t>
      </w:r>
      <w:r>
        <w:rPr>
          <w:rFonts w:ascii="Times New Roman" w:hAnsi="Times New Roman" w:cs="Times New Roman"/>
          <w:sz w:val="24"/>
          <w:szCs w:val="24"/>
          <w:lang w:val="en-US"/>
        </w:rPr>
        <w:t xml:space="preserve">s is </w:t>
      </w:r>
      <w:proofErr w:type="gramStart"/>
      <w:r>
        <w:rPr>
          <w:rFonts w:ascii="Times New Roman" w:hAnsi="Times New Roman" w:cs="Times New Roman"/>
          <w:sz w:val="24"/>
          <w:szCs w:val="24"/>
          <w:lang w:val="en-US"/>
        </w:rPr>
        <w:t>taken into account</w:t>
      </w:r>
      <w:proofErr w:type="gramEnd"/>
      <w:r w:rsidR="00FB05C1" w:rsidRPr="00300E50">
        <w:rPr>
          <w:rFonts w:ascii="Times New Roman" w:hAnsi="Times New Roman" w:cs="Times New Roman"/>
          <w:sz w:val="24"/>
          <w:szCs w:val="24"/>
          <w:lang w:val="en-US"/>
        </w:rPr>
        <w:t>.</w:t>
      </w:r>
    </w:p>
    <w:p w14:paraId="78345F20" w14:textId="77777777" w:rsidR="00E07202" w:rsidRPr="00300E50" w:rsidRDefault="00E07202" w:rsidP="00715AEE">
      <w:pPr>
        <w:widowControl/>
        <w:jc w:val="left"/>
        <w:rPr>
          <w:rFonts w:ascii="Times New Roman" w:hAnsi="Times New Roman" w:cs="Times New Roman"/>
          <w:b/>
          <w:bCs/>
          <w:sz w:val="24"/>
          <w:szCs w:val="24"/>
          <w:lang w:val="en-US"/>
        </w:rPr>
      </w:pPr>
    </w:p>
    <w:p w14:paraId="3E4F63CC" w14:textId="77777777" w:rsidR="008026E8" w:rsidRDefault="008026E8">
      <w:pPr>
        <w:widowControl/>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460BC89" w14:textId="01FF6842" w:rsidR="00FB05C1" w:rsidRPr="00300E50" w:rsidRDefault="00FB05C1" w:rsidP="00715AEE">
      <w:pPr>
        <w:jc w:val="left"/>
        <w:rPr>
          <w:rFonts w:ascii="Times New Roman" w:hAnsi="Times New Roman" w:cs="Times New Roman"/>
          <w:b/>
          <w:bCs/>
          <w:sz w:val="24"/>
          <w:szCs w:val="28"/>
          <w:lang w:val="en-US"/>
        </w:rPr>
      </w:pPr>
      <w:r w:rsidRPr="00300E50">
        <w:rPr>
          <w:rFonts w:ascii="Times New Roman" w:hAnsi="Times New Roman" w:cs="Times New Roman"/>
          <w:b/>
          <w:bCs/>
          <w:sz w:val="24"/>
          <w:szCs w:val="24"/>
          <w:lang w:val="en-US"/>
        </w:rPr>
        <w:lastRenderedPageBreak/>
        <w:t xml:space="preserve">Table S2. </w:t>
      </w:r>
      <w:r w:rsidRPr="00300E50">
        <w:rPr>
          <w:rFonts w:ascii="Times New Roman" w:hAnsi="Times New Roman" w:cs="Times New Roman"/>
          <w:b/>
          <w:bCs/>
          <w:sz w:val="24"/>
          <w:szCs w:val="28"/>
          <w:lang w:val="en-US"/>
        </w:rPr>
        <w:t xml:space="preserve">Age-specific proportion </w:t>
      </w:r>
      <w:r w:rsidR="00015220">
        <w:rPr>
          <w:rFonts w:ascii="Times New Roman" w:hAnsi="Times New Roman" w:cs="Times New Roman"/>
          <w:b/>
          <w:bCs/>
          <w:sz w:val="24"/>
          <w:szCs w:val="28"/>
          <w:lang w:val="en-US"/>
        </w:rPr>
        <w:t xml:space="preserve">of the population </w:t>
      </w:r>
      <w:r w:rsidRPr="00300E50">
        <w:rPr>
          <w:rFonts w:ascii="Times New Roman" w:hAnsi="Times New Roman" w:cs="Times New Roman"/>
          <w:b/>
          <w:bCs/>
          <w:sz w:val="24"/>
          <w:szCs w:val="28"/>
          <w:lang w:val="en-US"/>
        </w:rPr>
        <w:t xml:space="preserve">immune to symptomatic </w:t>
      </w:r>
      <w:r w:rsidR="00DC7703" w:rsidRPr="00300E50">
        <w:rPr>
          <w:rFonts w:ascii="Times New Roman" w:hAnsi="Times New Roman" w:cs="Times New Roman"/>
          <w:b/>
          <w:bCs/>
          <w:sz w:val="24"/>
          <w:szCs w:val="28"/>
          <w:lang w:val="en-US"/>
        </w:rPr>
        <w:t>SARS-CoV-2</w:t>
      </w:r>
      <w:r w:rsidRPr="00300E50">
        <w:rPr>
          <w:rFonts w:ascii="Times New Roman" w:hAnsi="Times New Roman" w:cs="Times New Roman"/>
          <w:b/>
          <w:bCs/>
          <w:sz w:val="24"/>
          <w:szCs w:val="28"/>
          <w:lang w:val="en-US"/>
        </w:rPr>
        <w:t xml:space="preserve"> infection on April</w:t>
      </w:r>
      <w:r w:rsidR="00015220">
        <w:rPr>
          <w:rFonts w:ascii="Times New Roman" w:hAnsi="Times New Roman" w:cs="Times New Roman"/>
          <w:b/>
          <w:bCs/>
          <w:sz w:val="24"/>
          <w:szCs w:val="28"/>
          <w:lang w:val="en-US"/>
        </w:rPr>
        <w:t xml:space="preserve"> </w:t>
      </w:r>
      <w:r w:rsidR="00015220" w:rsidRPr="00572FBC">
        <w:rPr>
          <w:rFonts w:ascii="Times New Roman" w:hAnsi="Times New Roman" w:cs="Times New Roman"/>
          <w:b/>
          <w:bCs/>
          <w:sz w:val="24"/>
          <w:szCs w:val="28"/>
          <w:lang w:val="en-US"/>
        </w:rPr>
        <w:t>10</w:t>
      </w:r>
      <w:r w:rsidRPr="00300E50">
        <w:rPr>
          <w:rFonts w:ascii="Times New Roman" w:hAnsi="Times New Roman" w:cs="Times New Roman"/>
          <w:b/>
          <w:bCs/>
          <w:sz w:val="24"/>
          <w:szCs w:val="28"/>
          <w:lang w:val="en-US"/>
        </w:rPr>
        <w:t>, June 1, and August 1, 2022</w:t>
      </w:r>
      <w:r w:rsidR="007C2988">
        <w:rPr>
          <w:rFonts w:ascii="Times New Roman" w:hAnsi="Times New Roman" w:cs="Times New Roman"/>
          <w:b/>
          <w:bCs/>
          <w:sz w:val="24"/>
          <w:szCs w:val="28"/>
          <w:lang w:val="en-US"/>
        </w:rPr>
        <w:t>.</w:t>
      </w:r>
    </w:p>
    <w:p w14:paraId="0E2D8659" w14:textId="6E398FB4" w:rsidR="00FB05C1" w:rsidRPr="00714775" w:rsidRDefault="00FB05C1" w:rsidP="00715AEE">
      <w:pPr>
        <w:jc w:val="left"/>
        <w:rPr>
          <w:rFonts w:ascii="Times New Roman" w:hAnsi="Times New Roman" w:cs="Times New Roman"/>
          <w:sz w:val="24"/>
          <w:szCs w:val="28"/>
          <w:lang w:val="en-US"/>
        </w:rPr>
      </w:pPr>
      <w:r w:rsidRPr="00300E50">
        <w:rPr>
          <w:rFonts w:ascii="Times New Roman" w:hAnsi="Times New Roman" w:cs="Times New Roman"/>
          <w:sz w:val="24"/>
          <w:szCs w:val="28"/>
          <w:lang w:val="en-US"/>
        </w:rPr>
        <w:t>The values represent the proportion</w:t>
      </w:r>
      <w:r w:rsidR="00015220">
        <w:rPr>
          <w:rFonts w:ascii="Times New Roman" w:hAnsi="Times New Roman" w:cs="Times New Roman"/>
          <w:sz w:val="24"/>
          <w:szCs w:val="28"/>
          <w:lang w:val="en-US"/>
        </w:rPr>
        <w:t xml:space="preserve"> of the population that is</w:t>
      </w:r>
      <w:r w:rsidRPr="00300E50">
        <w:rPr>
          <w:rFonts w:ascii="Times New Roman" w:hAnsi="Times New Roman" w:cs="Times New Roman"/>
          <w:sz w:val="24"/>
          <w:szCs w:val="28"/>
          <w:lang w:val="en-US"/>
        </w:rPr>
        <w:t xml:space="preserve"> immune to symptomatic infection with the Omicron variant</w:t>
      </w:r>
      <w:r w:rsidR="00015220">
        <w:rPr>
          <w:rFonts w:ascii="Times New Roman" w:hAnsi="Times New Roman" w:cs="Times New Roman"/>
          <w:sz w:val="24"/>
          <w:szCs w:val="28"/>
          <w:lang w:val="en-US"/>
        </w:rPr>
        <w:t>, when</w:t>
      </w:r>
      <w:r w:rsidRPr="00300E50">
        <w:rPr>
          <w:rFonts w:ascii="Times New Roman" w:hAnsi="Times New Roman" w:cs="Times New Roman"/>
          <w:sz w:val="24"/>
          <w:szCs w:val="28"/>
          <w:lang w:val="en-US"/>
        </w:rPr>
        <w:t xml:space="preserve"> considering </w:t>
      </w:r>
      <w:r w:rsidR="00015220">
        <w:rPr>
          <w:rFonts w:ascii="Times New Roman" w:hAnsi="Times New Roman" w:cs="Times New Roman"/>
          <w:sz w:val="24"/>
          <w:szCs w:val="28"/>
          <w:lang w:val="en-US"/>
        </w:rPr>
        <w:t xml:space="preserve">both </w:t>
      </w:r>
      <w:proofErr w:type="gramStart"/>
      <w:r w:rsidRPr="00300E50">
        <w:rPr>
          <w:rFonts w:ascii="Times New Roman" w:hAnsi="Times New Roman" w:cs="Times New Roman"/>
          <w:sz w:val="24"/>
          <w:szCs w:val="28"/>
          <w:lang w:val="en-US"/>
        </w:rPr>
        <w:t>immunity</w:t>
      </w:r>
      <w:proofErr w:type="gramEnd"/>
      <w:r w:rsidRPr="00300E50">
        <w:rPr>
          <w:rFonts w:ascii="Times New Roman" w:hAnsi="Times New Roman" w:cs="Times New Roman"/>
          <w:sz w:val="24"/>
          <w:szCs w:val="28"/>
          <w:lang w:val="en-US"/>
        </w:rPr>
        <w:t xml:space="preserve"> </w:t>
      </w:r>
      <w:r w:rsidR="00015220">
        <w:rPr>
          <w:rFonts w:ascii="Times New Roman" w:hAnsi="Times New Roman" w:cs="Times New Roman"/>
          <w:sz w:val="24"/>
          <w:szCs w:val="28"/>
          <w:lang w:val="en-US"/>
        </w:rPr>
        <w:t xml:space="preserve">derived </w:t>
      </w:r>
      <w:r w:rsidRPr="00300E50">
        <w:rPr>
          <w:rFonts w:ascii="Times New Roman" w:hAnsi="Times New Roman" w:cs="Times New Roman"/>
          <w:sz w:val="24"/>
          <w:szCs w:val="28"/>
          <w:lang w:val="en-US"/>
        </w:rPr>
        <w:t xml:space="preserve">from vaccination and </w:t>
      </w:r>
      <w:r w:rsidR="00015220">
        <w:rPr>
          <w:rFonts w:ascii="Times New Roman" w:hAnsi="Times New Roman" w:cs="Times New Roman"/>
          <w:sz w:val="24"/>
          <w:szCs w:val="28"/>
          <w:lang w:val="en-US"/>
        </w:rPr>
        <w:t xml:space="preserve">that induced by </w:t>
      </w:r>
      <w:r w:rsidRPr="00300E50">
        <w:rPr>
          <w:rFonts w:ascii="Times New Roman" w:hAnsi="Times New Roman" w:cs="Times New Roman"/>
          <w:sz w:val="24"/>
          <w:szCs w:val="28"/>
          <w:lang w:val="en-US"/>
        </w:rPr>
        <w:t>natural infection.</w:t>
      </w:r>
      <w:r w:rsidR="00715AEE" w:rsidRPr="00300E50">
        <w:rPr>
          <w:rFonts w:ascii="Times New Roman" w:hAnsi="Times New Roman" w:cs="Times New Roman"/>
          <w:sz w:val="24"/>
          <w:szCs w:val="28"/>
          <w:lang w:val="en-US"/>
        </w:rPr>
        <w:t xml:space="preserve"> </w:t>
      </w:r>
      <w:r w:rsidR="00015220">
        <w:rPr>
          <w:rFonts w:ascii="Times New Roman" w:hAnsi="Times New Roman" w:cs="Times New Roman"/>
          <w:sz w:val="24"/>
          <w:szCs w:val="28"/>
          <w:lang w:val="en-US"/>
        </w:rPr>
        <w:t>The n</w:t>
      </w:r>
      <w:r w:rsidR="00715AEE" w:rsidRPr="00300E50">
        <w:rPr>
          <w:rFonts w:ascii="Times New Roman" w:hAnsi="Times New Roman" w:cs="Times New Roman"/>
          <w:sz w:val="24"/>
          <w:szCs w:val="28"/>
          <w:lang w:val="en-US"/>
        </w:rPr>
        <w:t>umbers in parenthes</w:t>
      </w:r>
      <w:r w:rsidR="00015220">
        <w:rPr>
          <w:rFonts w:ascii="Times New Roman" w:hAnsi="Times New Roman" w:cs="Times New Roman"/>
          <w:sz w:val="24"/>
          <w:szCs w:val="28"/>
          <w:lang w:val="en-US"/>
        </w:rPr>
        <w:t>e</w:t>
      </w:r>
      <w:r w:rsidR="00715AEE" w:rsidRPr="00714775">
        <w:rPr>
          <w:rFonts w:ascii="Times New Roman" w:hAnsi="Times New Roman" w:cs="Times New Roman"/>
          <w:sz w:val="24"/>
          <w:szCs w:val="28"/>
          <w:lang w:val="en-US"/>
        </w:rPr>
        <w:t>s show the 95% confidence intervals</w:t>
      </w:r>
      <w:r w:rsidR="00714775">
        <w:rPr>
          <w:rFonts w:ascii="Times New Roman" w:hAnsi="Times New Roman" w:cs="Times New Roman"/>
          <w:sz w:val="24"/>
          <w:szCs w:val="28"/>
          <w:lang w:val="en-US"/>
        </w:rPr>
        <w:t xml:space="preserve"> </w:t>
      </w:r>
      <w:r w:rsidR="00714775" w:rsidRPr="00300E50">
        <w:rPr>
          <w:rFonts w:ascii="Times New Roman" w:hAnsi="Times New Roman" w:cs="Times New Roman"/>
          <w:sz w:val="24"/>
          <w:szCs w:val="24"/>
          <w:lang w:val="en-US"/>
        </w:rPr>
        <w:t>(CIs)</w:t>
      </w:r>
      <w:r w:rsidR="00715AEE" w:rsidRPr="00714775">
        <w:rPr>
          <w:rFonts w:ascii="Times New Roman" w:hAnsi="Times New Roman" w:cs="Times New Roman"/>
          <w:sz w:val="24"/>
          <w:szCs w:val="28"/>
          <w:lang w:val="en-US"/>
        </w:rPr>
        <w:t xml:space="preserve"> as computed by </w:t>
      </w:r>
      <w:r w:rsidR="00015220">
        <w:rPr>
          <w:rFonts w:ascii="Times New Roman" w:hAnsi="Times New Roman" w:cs="Times New Roman"/>
          <w:sz w:val="24"/>
          <w:szCs w:val="28"/>
          <w:lang w:val="en-US"/>
        </w:rPr>
        <w:t xml:space="preserve">the </w:t>
      </w:r>
      <w:r w:rsidR="00715AEE" w:rsidRPr="00714775">
        <w:rPr>
          <w:rFonts w:ascii="Times New Roman" w:hAnsi="Times New Roman" w:cs="Times New Roman"/>
          <w:sz w:val="24"/>
          <w:szCs w:val="28"/>
          <w:lang w:val="en-US"/>
        </w:rPr>
        <w:t>parametric bootstrap method.</w:t>
      </w:r>
    </w:p>
    <w:p w14:paraId="0387CF1D" w14:textId="73DA1C44" w:rsidR="00FB05C1" w:rsidRPr="00714775" w:rsidRDefault="00FB05C1" w:rsidP="00715AEE">
      <w:pPr>
        <w:jc w:val="left"/>
        <w:rPr>
          <w:rFonts w:ascii="Times New Roman" w:hAnsi="Times New Roman" w:cs="Times New Roman"/>
          <w:sz w:val="24"/>
          <w:szCs w:val="24"/>
          <w:lang w:val="en-US"/>
        </w:rPr>
      </w:pPr>
    </w:p>
    <w:tbl>
      <w:tblPr>
        <w:tblStyle w:val="a4"/>
        <w:tblW w:w="0" w:type="auto"/>
        <w:tblLook w:val="04A0" w:firstRow="1" w:lastRow="0" w:firstColumn="1" w:lastColumn="0" w:noHBand="0" w:noVBand="1"/>
      </w:tblPr>
      <w:tblGrid>
        <w:gridCol w:w="2123"/>
        <w:gridCol w:w="2123"/>
        <w:gridCol w:w="2124"/>
        <w:gridCol w:w="2124"/>
      </w:tblGrid>
      <w:tr w:rsidR="00DF5265" w:rsidRPr="007F01AC" w14:paraId="4E0D18F6" w14:textId="77777777" w:rsidTr="00C15388">
        <w:tc>
          <w:tcPr>
            <w:tcW w:w="2123" w:type="dxa"/>
          </w:tcPr>
          <w:p w14:paraId="475C99A2" w14:textId="1594C76D" w:rsidR="00DF5265" w:rsidRPr="00714775" w:rsidRDefault="00E37532"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Age group</w:t>
            </w:r>
          </w:p>
        </w:tc>
        <w:tc>
          <w:tcPr>
            <w:tcW w:w="2123" w:type="dxa"/>
          </w:tcPr>
          <w:p w14:paraId="467EB311"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2022/4/10</w:t>
            </w:r>
          </w:p>
        </w:tc>
        <w:tc>
          <w:tcPr>
            <w:tcW w:w="2124" w:type="dxa"/>
          </w:tcPr>
          <w:p w14:paraId="05A87D81"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2022/6/1</w:t>
            </w:r>
          </w:p>
        </w:tc>
        <w:tc>
          <w:tcPr>
            <w:tcW w:w="2124" w:type="dxa"/>
          </w:tcPr>
          <w:p w14:paraId="2BE367AD"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2022/8/1</w:t>
            </w:r>
          </w:p>
        </w:tc>
      </w:tr>
      <w:tr w:rsidR="00DF5265" w:rsidRPr="007F01AC" w14:paraId="71DDF5D0" w14:textId="77777777" w:rsidTr="00C15388">
        <w:tc>
          <w:tcPr>
            <w:tcW w:w="2123" w:type="dxa"/>
          </w:tcPr>
          <w:p w14:paraId="67836949"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20</w:t>
            </w:r>
            <w:r w:rsidRPr="00714775">
              <w:rPr>
                <w:rFonts w:ascii="Times New Roman" w:hAnsi="Times New Roman"/>
                <w:sz w:val="24"/>
                <w:szCs w:val="24"/>
                <w:lang w:val="en-US"/>
              </w:rPr>
              <w:t>–29</w:t>
            </w:r>
          </w:p>
        </w:tc>
        <w:tc>
          <w:tcPr>
            <w:tcW w:w="2123" w:type="dxa"/>
          </w:tcPr>
          <w:p w14:paraId="376B0025" w14:textId="4510DB48"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41.8 (41.4</w:t>
            </w:r>
            <w:r w:rsidRPr="00714775">
              <w:rPr>
                <w:rFonts w:ascii="Times New Roman" w:hAnsi="Times New Roman"/>
                <w:sz w:val="24"/>
                <w:szCs w:val="24"/>
                <w:lang w:val="en-US"/>
              </w:rPr>
              <w:t>–</w:t>
            </w:r>
            <w:r w:rsidRPr="00714775">
              <w:rPr>
                <w:rFonts w:ascii="Times New Roman" w:hAnsi="Times New Roman" w:cs="Times New Roman"/>
                <w:sz w:val="24"/>
                <w:szCs w:val="24"/>
                <w:lang w:val="en-US"/>
              </w:rPr>
              <w:t>42.2)</w:t>
            </w:r>
          </w:p>
        </w:tc>
        <w:tc>
          <w:tcPr>
            <w:tcW w:w="2124" w:type="dxa"/>
          </w:tcPr>
          <w:p w14:paraId="1EF15121" w14:textId="11E0AA0D"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50.2 (49.8</w:t>
            </w:r>
            <w:r w:rsidRPr="00714775">
              <w:rPr>
                <w:rFonts w:ascii="Times New Roman" w:hAnsi="Times New Roman"/>
                <w:sz w:val="24"/>
                <w:szCs w:val="24"/>
                <w:lang w:val="en-US"/>
              </w:rPr>
              <w:t>–</w:t>
            </w:r>
            <w:r w:rsidRPr="00714775">
              <w:rPr>
                <w:rFonts w:ascii="Times New Roman" w:hAnsi="Times New Roman" w:cs="Times New Roman"/>
                <w:sz w:val="24"/>
                <w:szCs w:val="24"/>
                <w:lang w:val="en-US"/>
              </w:rPr>
              <w:t>50.6)</w:t>
            </w:r>
          </w:p>
        </w:tc>
        <w:tc>
          <w:tcPr>
            <w:tcW w:w="2124" w:type="dxa"/>
          </w:tcPr>
          <w:p w14:paraId="2AC20F9E" w14:textId="61069D3D"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46.1 (45.5</w:t>
            </w:r>
            <w:r w:rsidRPr="00714775">
              <w:rPr>
                <w:rFonts w:ascii="Times New Roman" w:hAnsi="Times New Roman"/>
                <w:sz w:val="24"/>
                <w:szCs w:val="24"/>
                <w:lang w:val="en-US"/>
              </w:rPr>
              <w:t>–</w:t>
            </w:r>
            <w:r w:rsidRPr="00714775">
              <w:rPr>
                <w:rFonts w:ascii="Times New Roman" w:hAnsi="Times New Roman" w:cs="Times New Roman"/>
                <w:sz w:val="24"/>
                <w:szCs w:val="24"/>
                <w:lang w:val="en-US"/>
              </w:rPr>
              <w:t>46.8)</w:t>
            </w:r>
          </w:p>
        </w:tc>
      </w:tr>
      <w:tr w:rsidR="00DF5265" w:rsidRPr="007F01AC" w14:paraId="2018BA18" w14:textId="77777777" w:rsidTr="00C15388">
        <w:tc>
          <w:tcPr>
            <w:tcW w:w="2123" w:type="dxa"/>
          </w:tcPr>
          <w:p w14:paraId="6B2C2F76"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30</w:t>
            </w:r>
            <w:r w:rsidRPr="00714775">
              <w:rPr>
                <w:rFonts w:ascii="Times New Roman" w:hAnsi="Times New Roman"/>
                <w:sz w:val="24"/>
                <w:szCs w:val="24"/>
                <w:lang w:val="en-US"/>
              </w:rPr>
              <w:t>–39</w:t>
            </w:r>
          </w:p>
        </w:tc>
        <w:tc>
          <w:tcPr>
            <w:tcW w:w="2123" w:type="dxa"/>
          </w:tcPr>
          <w:p w14:paraId="1925A84C" w14:textId="47607F63"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38.7 (38.4</w:t>
            </w:r>
            <w:r w:rsidRPr="00714775">
              <w:rPr>
                <w:rFonts w:ascii="Times New Roman" w:hAnsi="Times New Roman"/>
                <w:sz w:val="24"/>
                <w:szCs w:val="24"/>
                <w:lang w:val="en-US"/>
              </w:rPr>
              <w:t>–</w:t>
            </w:r>
            <w:r w:rsidRPr="00714775">
              <w:rPr>
                <w:rFonts w:ascii="Times New Roman" w:hAnsi="Times New Roman" w:cs="Times New Roman"/>
                <w:sz w:val="24"/>
                <w:szCs w:val="24"/>
                <w:lang w:val="en-US"/>
              </w:rPr>
              <w:t>39.2)</w:t>
            </w:r>
          </w:p>
        </w:tc>
        <w:tc>
          <w:tcPr>
            <w:tcW w:w="2124" w:type="dxa"/>
          </w:tcPr>
          <w:p w14:paraId="54B62AC6" w14:textId="5A149123"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47.6 (47.2</w:t>
            </w:r>
            <w:r w:rsidRPr="00714775">
              <w:rPr>
                <w:rFonts w:ascii="Times New Roman" w:hAnsi="Times New Roman"/>
                <w:sz w:val="24"/>
                <w:szCs w:val="24"/>
                <w:lang w:val="en-US"/>
              </w:rPr>
              <w:t>–</w:t>
            </w:r>
            <w:r w:rsidRPr="00714775">
              <w:rPr>
                <w:rFonts w:ascii="Times New Roman" w:hAnsi="Times New Roman" w:cs="Times New Roman"/>
                <w:sz w:val="24"/>
                <w:szCs w:val="24"/>
                <w:lang w:val="en-US"/>
              </w:rPr>
              <w:t>48.0)</w:t>
            </w:r>
          </w:p>
        </w:tc>
        <w:tc>
          <w:tcPr>
            <w:tcW w:w="2124" w:type="dxa"/>
          </w:tcPr>
          <w:p w14:paraId="6B93CC7D" w14:textId="6D4AA975"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43.9 (43.2</w:t>
            </w:r>
            <w:r w:rsidRPr="00714775">
              <w:rPr>
                <w:rFonts w:ascii="Times New Roman" w:hAnsi="Times New Roman"/>
                <w:sz w:val="24"/>
                <w:szCs w:val="24"/>
                <w:lang w:val="en-US"/>
              </w:rPr>
              <w:t>–</w:t>
            </w:r>
            <w:r w:rsidRPr="00714775">
              <w:rPr>
                <w:rFonts w:ascii="Times New Roman" w:hAnsi="Times New Roman" w:cs="Times New Roman"/>
                <w:sz w:val="24"/>
                <w:szCs w:val="24"/>
                <w:lang w:val="en-US"/>
              </w:rPr>
              <w:t>44.5)</w:t>
            </w:r>
          </w:p>
        </w:tc>
      </w:tr>
      <w:tr w:rsidR="00DF5265" w:rsidRPr="007F01AC" w14:paraId="55A6BB95" w14:textId="77777777" w:rsidTr="00C15388">
        <w:tc>
          <w:tcPr>
            <w:tcW w:w="2123" w:type="dxa"/>
          </w:tcPr>
          <w:p w14:paraId="6FA7E6BC"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40</w:t>
            </w:r>
            <w:r w:rsidRPr="00714775">
              <w:rPr>
                <w:rFonts w:ascii="Times New Roman" w:hAnsi="Times New Roman"/>
                <w:sz w:val="24"/>
                <w:szCs w:val="24"/>
                <w:lang w:val="en-US"/>
              </w:rPr>
              <w:t>–49</w:t>
            </w:r>
          </w:p>
        </w:tc>
        <w:tc>
          <w:tcPr>
            <w:tcW w:w="2123" w:type="dxa"/>
          </w:tcPr>
          <w:p w14:paraId="174BA718" w14:textId="3195A124"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39.7 (39.3</w:t>
            </w:r>
            <w:r w:rsidRPr="00714775">
              <w:rPr>
                <w:rFonts w:ascii="Times New Roman" w:hAnsi="Times New Roman"/>
                <w:sz w:val="24"/>
                <w:szCs w:val="24"/>
                <w:lang w:val="en-US"/>
              </w:rPr>
              <w:t>–</w:t>
            </w:r>
            <w:r w:rsidRPr="00714775">
              <w:rPr>
                <w:rFonts w:ascii="Times New Roman" w:hAnsi="Times New Roman" w:cs="Times New Roman"/>
                <w:sz w:val="24"/>
                <w:szCs w:val="24"/>
                <w:lang w:val="en-US"/>
              </w:rPr>
              <w:t>40.1)</w:t>
            </w:r>
          </w:p>
        </w:tc>
        <w:tc>
          <w:tcPr>
            <w:tcW w:w="2124" w:type="dxa"/>
          </w:tcPr>
          <w:p w14:paraId="4C5613AB" w14:textId="3946A0F2"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49.8 (49.3</w:t>
            </w:r>
            <w:r w:rsidRPr="00714775">
              <w:rPr>
                <w:rFonts w:ascii="Times New Roman" w:hAnsi="Times New Roman"/>
                <w:sz w:val="24"/>
                <w:szCs w:val="24"/>
                <w:lang w:val="en-US"/>
              </w:rPr>
              <w:t>–</w:t>
            </w:r>
            <w:r w:rsidRPr="00714775">
              <w:rPr>
                <w:rFonts w:ascii="Times New Roman" w:hAnsi="Times New Roman" w:cs="Times New Roman"/>
                <w:sz w:val="24"/>
                <w:szCs w:val="24"/>
                <w:lang w:val="en-US"/>
              </w:rPr>
              <w:t>50.2)</w:t>
            </w:r>
          </w:p>
        </w:tc>
        <w:tc>
          <w:tcPr>
            <w:tcW w:w="2124" w:type="dxa"/>
          </w:tcPr>
          <w:p w14:paraId="1D3D59B2" w14:textId="7FA86EF8"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36.2 (35.4</w:t>
            </w:r>
            <w:r w:rsidRPr="00714775">
              <w:rPr>
                <w:rFonts w:ascii="Times New Roman" w:hAnsi="Times New Roman"/>
                <w:sz w:val="24"/>
                <w:szCs w:val="24"/>
                <w:lang w:val="en-US"/>
              </w:rPr>
              <w:t>–</w:t>
            </w:r>
            <w:r w:rsidRPr="00714775">
              <w:rPr>
                <w:rFonts w:ascii="Times New Roman" w:hAnsi="Times New Roman" w:cs="Times New Roman"/>
                <w:sz w:val="24"/>
                <w:szCs w:val="24"/>
                <w:lang w:val="en-US"/>
              </w:rPr>
              <w:t>36.9)</w:t>
            </w:r>
          </w:p>
        </w:tc>
      </w:tr>
      <w:tr w:rsidR="00DF5265" w:rsidRPr="007F01AC" w14:paraId="18D0FB2E" w14:textId="77777777" w:rsidTr="00C15388">
        <w:tc>
          <w:tcPr>
            <w:tcW w:w="2123" w:type="dxa"/>
          </w:tcPr>
          <w:p w14:paraId="78772CA0"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50</w:t>
            </w:r>
            <w:r w:rsidRPr="00714775">
              <w:rPr>
                <w:rFonts w:ascii="Times New Roman" w:hAnsi="Times New Roman"/>
                <w:sz w:val="24"/>
                <w:szCs w:val="24"/>
                <w:lang w:val="en-US"/>
              </w:rPr>
              <w:t>–59</w:t>
            </w:r>
          </w:p>
        </w:tc>
        <w:tc>
          <w:tcPr>
            <w:tcW w:w="2123" w:type="dxa"/>
          </w:tcPr>
          <w:p w14:paraId="0EF7ECBD" w14:textId="2B34B9DB"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45.2 (44.8</w:t>
            </w:r>
            <w:r w:rsidRPr="00714775">
              <w:rPr>
                <w:rFonts w:ascii="Times New Roman" w:hAnsi="Times New Roman"/>
                <w:sz w:val="24"/>
                <w:szCs w:val="24"/>
                <w:lang w:val="en-US"/>
              </w:rPr>
              <w:t>–</w:t>
            </w:r>
            <w:r w:rsidRPr="00714775">
              <w:rPr>
                <w:rFonts w:ascii="Times New Roman" w:hAnsi="Times New Roman" w:cs="Times New Roman"/>
                <w:sz w:val="24"/>
                <w:szCs w:val="24"/>
                <w:lang w:val="en-US"/>
              </w:rPr>
              <w:t>45.6)</w:t>
            </w:r>
          </w:p>
        </w:tc>
        <w:tc>
          <w:tcPr>
            <w:tcW w:w="2124" w:type="dxa"/>
          </w:tcPr>
          <w:p w14:paraId="5841D6D1" w14:textId="445895F9"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43.5 (43.0</w:t>
            </w:r>
            <w:r w:rsidRPr="00714775">
              <w:rPr>
                <w:rFonts w:ascii="Times New Roman" w:hAnsi="Times New Roman"/>
                <w:sz w:val="24"/>
                <w:szCs w:val="24"/>
                <w:lang w:val="en-US"/>
              </w:rPr>
              <w:t>–</w:t>
            </w:r>
            <w:r w:rsidRPr="00714775">
              <w:rPr>
                <w:rFonts w:ascii="Times New Roman" w:hAnsi="Times New Roman" w:cs="Times New Roman"/>
                <w:sz w:val="24"/>
                <w:szCs w:val="24"/>
                <w:lang w:val="en-US"/>
              </w:rPr>
              <w:t>44.1)</w:t>
            </w:r>
          </w:p>
        </w:tc>
        <w:tc>
          <w:tcPr>
            <w:tcW w:w="2124" w:type="dxa"/>
          </w:tcPr>
          <w:p w14:paraId="70DAE6B1" w14:textId="11EB58D9"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41.9 (41.1</w:t>
            </w:r>
            <w:r w:rsidRPr="00714775">
              <w:rPr>
                <w:rFonts w:ascii="Times New Roman" w:hAnsi="Times New Roman"/>
                <w:sz w:val="24"/>
                <w:szCs w:val="24"/>
                <w:lang w:val="en-US"/>
              </w:rPr>
              <w:t>–</w:t>
            </w:r>
            <w:r w:rsidRPr="00714775">
              <w:rPr>
                <w:rFonts w:ascii="Times New Roman" w:hAnsi="Times New Roman" w:cs="Times New Roman"/>
                <w:sz w:val="24"/>
                <w:szCs w:val="24"/>
                <w:lang w:val="en-US"/>
              </w:rPr>
              <w:t>42.7)</w:t>
            </w:r>
          </w:p>
        </w:tc>
      </w:tr>
      <w:tr w:rsidR="00DF5265" w:rsidRPr="007F01AC" w14:paraId="02452D6D" w14:textId="77777777" w:rsidTr="00C15388">
        <w:tc>
          <w:tcPr>
            <w:tcW w:w="2123" w:type="dxa"/>
          </w:tcPr>
          <w:p w14:paraId="2440D653"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60</w:t>
            </w:r>
            <w:r w:rsidRPr="00714775">
              <w:rPr>
                <w:rFonts w:ascii="Times New Roman" w:hAnsi="Times New Roman"/>
                <w:sz w:val="24"/>
                <w:szCs w:val="24"/>
                <w:lang w:val="en-US"/>
              </w:rPr>
              <w:t>–69</w:t>
            </w:r>
          </w:p>
        </w:tc>
        <w:tc>
          <w:tcPr>
            <w:tcW w:w="2123" w:type="dxa"/>
          </w:tcPr>
          <w:p w14:paraId="666AF3FC" w14:textId="1F241C5B"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50.2 (49.7</w:t>
            </w:r>
            <w:r w:rsidRPr="00714775">
              <w:rPr>
                <w:rFonts w:ascii="Times New Roman" w:hAnsi="Times New Roman"/>
                <w:sz w:val="24"/>
                <w:szCs w:val="24"/>
                <w:lang w:val="en-US"/>
              </w:rPr>
              <w:t>–</w:t>
            </w:r>
            <w:r w:rsidRPr="00714775">
              <w:rPr>
                <w:rFonts w:ascii="Times New Roman" w:hAnsi="Times New Roman" w:cs="Times New Roman"/>
                <w:sz w:val="24"/>
                <w:szCs w:val="24"/>
                <w:lang w:val="en-US"/>
              </w:rPr>
              <w:t>50.7)</w:t>
            </w:r>
          </w:p>
        </w:tc>
        <w:tc>
          <w:tcPr>
            <w:tcW w:w="2124" w:type="dxa"/>
          </w:tcPr>
          <w:p w14:paraId="301EEF7A" w14:textId="293DF2BB"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39.1 (38.4</w:t>
            </w:r>
            <w:r w:rsidRPr="00714775">
              <w:rPr>
                <w:rFonts w:ascii="Times New Roman" w:hAnsi="Times New Roman"/>
                <w:sz w:val="24"/>
                <w:szCs w:val="24"/>
                <w:lang w:val="en-US"/>
              </w:rPr>
              <w:t>–</w:t>
            </w:r>
            <w:r w:rsidRPr="00714775">
              <w:rPr>
                <w:rFonts w:ascii="Times New Roman" w:hAnsi="Times New Roman" w:cs="Times New Roman"/>
                <w:sz w:val="24"/>
                <w:szCs w:val="24"/>
                <w:lang w:val="en-US"/>
              </w:rPr>
              <w:t>39.8)</w:t>
            </w:r>
          </w:p>
        </w:tc>
        <w:tc>
          <w:tcPr>
            <w:tcW w:w="2124" w:type="dxa"/>
          </w:tcPr>
          <w:p w14:paraId="2DD5E87F" w14:textId="2DA3F532"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31.8 (31.0</w:t>
            </w:r>
            <w:r w:rsidRPr="00714775">
              <w:rPr>
                <w:rFonts w:ascii="Times New Roman" w:hAnsi="Times New Roman"/>
                <w:sz w:val="24"/>
                <w:szCs w:val="24"/>
                <w:lang w:val="en-US"/>
              </w:rPr>
              <w:t>–</w:t>
            </w:r>
            <w:r w:rsidRPr="00714775">
              <w:rPr>
                <w:rFonts w:ascii="Times New Roman" w:hAnsi="Times New Roman" w:cs="Times New Roman"/>
                <w:sz w:val="24"/>
                <w:szCs w:val="24"/>
                <w:lang w:val="en-US"/>
              </w:rPr>
              <w:t>32.6)</w:t>
            </w:r>
          </w:p>
        </w:tc>
      </w:tr>
      <w:tr w:rsidR="00DF5265" w:rsidRPr="007F01AC" w14:paraId="04F46B95" w14:textId="77777777" w:rsidTr="00C15388">
        <w:tc>
          <w:tcPr>
            <w:tcW w:w="2123" w:type="dxa"/>
          </w:tcPr>
          <w:p w14:paraId="32EC678B" w14:textId="77777777"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sz w:val="24"/>
                <w:szCs w:val="24"/>
                <w:lang w:val="en-US"/>
              </w:rPr>
              <w:t>≥</w:t>
            </w:r>
            <w:r w:rsidRPr="00714775">
              <w:rPr>
                <w:rFonts w:ascii="Times New Roman" w:hAnsi="Times New Roman" w:cs="Times New Roman"/>
                <w:sz w:val="24"/>
                <w:szCs w:val="24"/>
                <w:lang w:val="en-US"/>
              </w:rPr>
              <w:t>70</w:t>
            </w:r>
          </w:p>
        </w:tc>
        <w:tc>
          <w:tcPr>
            <w:tcW w:w="2123" w:type="dxa"/>
          </w:tcPr>
          <w:p w14:paraId="324D1B23" w14:textId="1AA3D009"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52.8 (52.2</w:t>
            </w:r>
            <w:r w:rsidRPr="00714775">
              <w:rPr>
                <w:rFonts w:ascii="Times New Roman" w:hAnsi="Times New Roman"/>
                <w:sz w:val="24"/>
                <w:szCs w:val="24"/>
                <w:lang w:val="en-US"/>
              </w:rPr>
              <w:t>–</w:t>
            </w:r>
            <w:r w:rsidRPr="00714775">
              <w:rPr>
                <w:rFonts w:ascii="Times New Roman" w:hAnsi="Times New Roman" w:cs="Times New Roman"/>
                <w:sz w:val="24"/>
                <w:szCs w:val="24"/>
                <w:lang w:val="en-US"/>
              </w:rPr>
              <w:t>53.2)</w:t>
            </w:r>
          </w:p>
        </w:tc>
        <w:tc>
          <w:tcPr>
            <w:tcW w:w="2124" w:type="dxa"/>
          </w:tcPr>
          <w:p w14:paraId="5316DDD0" w14:textId="33AFD685"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39.9 (39.1</w:t>
            </w:r>
            <w:r w:rsidRPr="00714775">
              <w:rPr>
                <w:rFonts w:ascii="Times New Roman" w:hAnsi="Times New Roman"/>
                <w:sz w:val="24"/>
                <w:szCs w:val="24"/>
                <w:lang w:val="en-US"/>
              </w:rPr>
              <w:t>–</w:t>
            </w:r>
            <w:r w:rsidRPr="00714775">
              <w:rPr>
                <w:rFonts w:ascii="Times New Roman" w:hAnsi="Times New Roman" w:cs="Times New Roman"/>
                <w:sz w:val="24"/>
                <w:szCs w:val="24"/>
                <w:lang w:val="en-US"/>
              </w:rPr>
              <w:t>40.8)</w:t>
            </w:r>
          </w:p>
        </w:tc>
        <w:tc>
          <w:tcPr>
            <w:tcW w:w="2124" w:type="dxa"/>
          </w:tcPr>
          <w:p w14:paraId="2F485512" w14:textId="21CA1C4C" w:rsidR="00DF5265" w:rsidRPr="00714775" w:rsidRDefault="00DF5265" w:rsidP="00715AEE">
            <w:pPr>
              <w:jc w:val="left"/>
              <w:rPr>
                <w:rFonts w:ascii="Times New Roman" w:hAnsi="Times New Roman" w:cs="Times New Roman"/>
                <w:sz w:val="24"/>
                <w:szCs w:val="24"/>
                <w:highlight w:val="yellow"/>
                <w:lang w:val="en-US"/>
              </w:rPr>
            </w:pPr>
            <w:r w:rsidRPr="00714775">
              <w:rPr>
                <w:rFonts w:ascii="Times New Roman" w:hAnsi="Times New Roman" w:cs="Times New Roman"/>
                <w:sz w:val="24"/>
                <w:szCs w:val="24"/>
                <w:lang w:val="en-US"/>
              </w:rPr>
              <w:t>28.8 (27.7</w:t>
            </w:r>
            <w:r w:rsidRPr="00714775">
              <w:rPr>
                <w:rFonts w:ascii="Times New Roman" w:hAnsi="Times New Roman"/>
                <w:sz w:val="24"/>
                <w:szCs w:val="24"/>
                <w:lang w:val="en-US"/>
              </w:rPr>
              <w:t>–</w:t>
            </w:r>
            <w:r w:rsidRPr="00714775">
              <w:rPr>
                <w:rFonts w:ascii="Times New Roman" w:hAnsi="Times New Roman" w:cs="Times New Roman"/>
                <w:sz w:val="24"/>
                <w:szCs w:val="24"/>
                <w:lang w:val="en-US"/>
              </w:rPr>
              <w:t>29.8)</w:t>
            </w:r>
          </w:p>
        </w:tc>
      </w:tr>
    </w:tbl>
    <w:p w14:paraId="76136E0B" w14:textId="4203598F" w:rsidR="001E6D53" w:rsidRPr="00714775" w:rsidRDefault="001E6D53" w:rsidP="00715AEE">
      <w:pPr>
        <w:jc w:val="left"/>
        <w:rPr>
          <w:rFonts w:ascii="Times New Roman" w:hAnsi="Times New Roman" w:cs="Times New Roman"/>
          <w:sz w:val="24"/>
          <w:szCs w:val="24"/>
          <w:lang w:val="en-US"/>
        </w:rPr>
      </w:pPr>
    </w:p>
    <w:p w14:paraId="17A4E990" w14:textId="77777777" w:rsidR="008F7C66" w:rsidRPr="00714775" w:rsidRDefault="008F7C66" w:rsidP="00715AEE">
      <w:pPr>
        <w:widowControl/>
        <w:jc w:val="left"/>
        <w:rPr>
          <w:rFonts w:ascii="Times New Roman" w:hAnsi="Times New Roman" w:cs="Times New Roman"/>
          <w:b/>
          <w:bCs/>
          <w:sz w:val="24"/>
          <w:szCs w:val="24"/>
          <w:lang w:val="en-US"/>
        </w:rPr>
      </w:pPr>
      <w:r w:rsidRPr="00714775">
        <w:rPr>
          <w:rFonts w:ascii="Times New Roman" w:hAnsi="Times New Roman" w:cs="Times New Roman"/>
          <w:b/>
          <w:bCs/>
          <w:sz w:val="24"/>
          <w:szCs w:val="24"/>
          <w:lang w:val="en-US"/>
        </w:rPr>
        <w:br w:type="page"/>
      </w:r>
    </w:p>
    <w:p w14:paraId="0586FA47" w14:textId="15206A91" w:rsidR="001E6D53" w:rsidRPr="00714775" w:rsidRDefault="001E6D53" w:rsidP="00715AEE">
      <w:pPr>
        <w:widowControl/>
        <w:jc w:val="left"/>
        <w:rPr>
          <w:rFonts w:ascii="Times New Roman" w:hAnsi="Times New Roman" w:cs="Times New Roman"/>
          <w:b/>
          <w:bCs/>
          <w:sz w:val="24"/>
          <w:szCs w:val="24"/>
          <w:lang w:val="en-US"/>
        </w:rPr>
      </w:pPr>
      <w:r w:rsidRPr="00714775">
        <w:rPr>
          <w:rFonts w:ascii="Times New Roman" w:hAnsi="Times New Roman" w:cs="Times New Roman"/>
          <w:b/>
          <w:bCs/>
          <w:sz w:val="24"/>
          <w:szCs w:val="24"/>
          <w:lang w:val="en-US"/>
        </w:rPr>
        <w:lastRenderedPageBreak/>
        <w:t>Sensitivity analysis 3.</w:t>
      </w:r>
    </w:p>
    <w:p w14:paraId="098CF4D8" w14:textId="44958A6F" w:rsidR="00C1106E" w:rsidRPr="00714775" w:rsidRDefault="001E6D53" w:rsidP="00715AEE">
      <w:pPr>
        <w:jc w:val="left"/>
        <w:rPr>
          <w:rFonts w:ascii="Times New Roman" w:hAnsi="Times New Roman" w:cs="Times New Roman"/>
          <w:sz w:val="24"/>
          <w:szCs w:val="24"/>
          <w:lang w:val="en-US"/>
        </w:rPr>
      </w:pPr>
      <w:r w:rsidRPr="00714775">
        <w:rPr>
          <w:rFonts w:ascii="Times New Roman" w:hAnsi="Times New Roman" w:cs="Times New Roman"/>
          <w:sz w:val="24"/>
          <w:szCs w:val="24"/>
          <w:lang w:val="en-US"/>
        </w:rPr>
        <w:t xml:space="preserve">We estimated the maximum and waning </w:t>
      </w:r>
      <w:r w:rsidR="00715AEE" w:rsidRPr="00714775">
        <w:rPr>
          <w:rFonts w:ascii="Times New Roman" w:hAnsi="Times New Roman" w:cs="Times New Roman"/>
          <w:sz w:val="24"/>
          <w:szCs w:val="24"/>
          <w:lang w:val="en-US"/>
        </w:rPr>
        <w:t>rate of protection conferred by</w:t>
      </w:r>
      <w:r w:rsidRPr="00714775">
        <w:rPr>
          <w:rFonts w:ascii="Times New Roman" w:hAnsi="Times New Roman" w:cs="Times New Roman"/>
          <w:sz w:val="24"/>
          <w:szCs w:val="24"/>
          <w:lang w:val="en-US"/>
        </w:rPr>
        <w:t xml:space="preserve"> </w:t>
      </w:r>
      <w:r w:rsidR="00DA2E49">
        <w:rPr>
          <w:rFonts w:ascii="Times New Roman" w:hAnsi="Times New Roman" w:cs="Times New Roman"/>
          <w:sz w:val="24"/>
          <w:szCs w:val="24"/>
          <w:lang w:val="en-US"/>
        </w:rPr>
        <w:t xml:space="preserve">the </w:t>
      </w:r>
      <w:r w:rsidR="002C6537" w:rsidRPr="00714775">
        <w:rPr>
          <w:rFonts w:ascii="Times New Roman" w:hAnsi="Times New Roman" w:cs="Times New Roman"/>
          <w:sz w:val="24"/>
          <w:szCs w:val="24"/>
          <w:lang w:val="en-US"/>
        </w:rPr>
        <w:t xml:space="preserve">BNT162b2 </w:t>
      </w:r>
      <w:r w:rsidRPr="00714775">
        <w:rPr>
          <w:rFonts w:ascii="Times New Roman" w:hAnsi="Times New Roman" w:cs="Times New Roman"/>
          <w:sz w:val="24"/>
          <w:szCs w:val="24"/>
          <w:lang w:val="en-US"/>
        </w:rPr>
        <w:t xml:space="preserve">vaccine </w:t>
      </w:r>
      <w:r w:rsidR="002C6537" w:rsidRPr="00714775">
        <w:rPr>
          <w:rFonts w:ascii="Times New Roman" w:hAnsi="Times New Roman" w:cs="Times New Roman"/>
          <w:sz w:val="24"/>
          <w:szCs w:val="24"/>
          <w:lang w:val="en-US"/>
        </w:rPr>
        <w:t>against symptomatic</w:t>
      </w:r>
      <w:r w:rsidR="000314F2" w:rsidRPr="00714775">
        <w:rPr>
          <w:rFonts w:ascii="Times New Roman" w:hAnsi="Times New Roman" w:cs="Times New Roman"/>
          <w:sz w:val="24"/>
          <w:szCs w:val="24"/>
          <w:lang w:val="en-US"/>
        </w:rPr>
        <w:t xml:space="preserve"> </w:t>
      </w:r>
      <w:r w:rsidR="002C6537" w:rsidRPr="00714775">
        <w:rPr>
          <w:rFonts w:ascii="Times New Roman" w:hAnsi="Times New Roman" w:cs="Times New Roman"/>
          <w:sz w:val="24"/>
          <w:szCs w:val="24"/>
          <w:lang w:val="en-US"/>
        </w:rPr>
        <w:t xml:space="preserve">infection with the Delta variant, using the same methods described in the manuscript. </w:t>
      </w:r>
      <w:r w:rsidR="00427B10">
        <w:rPr>
          <w:rFonts w:ascii="Times New Roman" w:hAnsi="Times New Roman" w:cs="Times New Roman"/>
          <w:sz w:val="24"/>
          <w:szCs w:val="24"/>
          <w:lang w:val="en-US"/>
        </w:rPr>
        <w:t>For this analysis, we used</w:t>
      </w:r>
      <w:r w:rsidR="005B7DB9" w:rsidRPr="00714775">
        <w:rPr>
          <w:rFonts w:ascii="Times New Roman" w:hAnsi="Times New Roman" w:cs="Times New Roman"/>
          <w:sz w:val="24"/>
          <w:szCs w:val="24"/>
          <w:lang w:val="en-US"/>
        </w:rPr>
        <w:t xml:space="preserve"> the </w:t>
      </w:r>
      <w:r w:rsidR="00427B10">
        <w:rPr>
          <w:rFonts w:ascii="Times New Roman" w:hAnsi="Times New Roman" w:cs="Times New Roman"/>
          <w:sz w:val="24"/>
          <w:szCs w:val="24"/>
          <w:lang w:val="en-US"/>
        </w:rPr>
        <w:t xml:space="preserve">same </w:t>
      </w:r>
      <w:r w:rsidR="005B7DB9" w:rsidRPr="00714775">
        <w:rPr>
          <w:rFonts w:ascii="Times New Roman" w:hAnsi="Times New Roman" w:cs="Times New Roman"/>
          <w:sz w:val="24"/>
          <w:szCs w:val="24"/>
          <w:lang w:val="en-US"/>
        </w:rPr>
        <w:t xml:space="preserve">data on time-dependent vaccine effectiveness </w:t>
      </w:r>
      <w:r w:rsidR="00427B10">
        <w:rPr>
          <w:rFonts w:ascii="Times New Roman" w:hAnsi="Times New Roman" w:cs="Times New Roman"/>
          <w:sz w:val="24"/>
          <w:szCs w:val="24"/>
          <w:lang w:val="en-US"/>
        </w:rPr>
        <w:t xml:space="preserve">obtained </w:t>
      </w:r>
      <w:r w:rsidR="005B7DB9" w:rsidRPr="00714775">
        <w:rPr>
          <w:rFonts w:ascii="Times New Roman" w:hAnsi="Times New Roman" w:cs="Times New Roman"/>
          <w:sz w:val="24"/>
          <w:szCs w:val="24"/>
          <w:lang w:val="en-US"/>
        </w:rPr>
        <w:t xml:space="preserve">from </w:t>
      </w:r>
      <w:r w:rsidR="00427B10">
        <w:rPr>
          <w:rFonts w:ascii="Times New Roman" w:hAnsi="Times New Roman" w:cs="Times New Roman"/>
          <w:sz w:val="24"/>
          <w:szCs w:val="24"/>
          <w:lang w:val="en-US"/>
        </w:rPr>
        <w:t>a</w:t>
      </w:r>
      <w:r w:rsidR="005B7DB9" w:rsidRPr="00714775">
        <w:rPr>
          <w:rFonts w:ascii="Times New Roman" w:hAnsi="Times New Roman" w:cs="Times New Roman"/>
          <w:sz w:val="24"/>
          <w:szCs w:val="24"/>
          <w:lang w:val="en-US"/>
        </w:rPr>
        <w:t xml:space="preserve"> pub</w:t>
      </w:r>
      <w:r w:rsidR="00F014D7" w:rsidRPr="00714775">
        <w:rPr>
          <w:rFonts w:ascii="Times New Roman" w:hAnsi="Times New Roman" w:cs="Times New Roman"/>
          <w:sz w:val="24"/>
          <w:szCs w:val="24"/>
          <w:lang w:val="en-US"/>
        </w:rPr>
        <w:t xml:space="preserve">lished study </w:t>
      </w:r>
      <w:r w:rsidR="00F014D7" w:rsidRPr="00714775">
        <w:rPr>
          <w:rFonts w:ascii="Times New Roman" w:hAnsi="Times New Roman" w:cs="Times New Roman"/>
          <w:sz w:val="24"/>
          <w:szCs w:val="24"/>
          <w:lang w:val="en-US"/>
        </w:rPr>
        <w:fldChar w:fldCharType="begin" w:fldLock="1"/>
      </w:r>
      <w:r w:rsidR="00F014D7" w:rsidRPr="00714775">
        <w:rPr>
          <w:rFonts w:ascii="Times New Roman" w:hAnsi="Times New Roman" w:cs="Times New Roman"/>
          <w:sz w:val="24"/>
          <w:szCs w:val="24"/>
          <w:lang w:val="en-US"/>
        </w:rPr>
        <w:instrText>ADDIN CSL_CITATION {"citationItems":[{"id":"ITEM-1","itemData":{"DOI":"10.1056/nejmoa2119451","ISSN":"0028-4793","abstract":"Abstract Background A rapid increase in coronavirus disease 2019 (Covid-19) cases due to the omicron (B.1.1.529) variant of severe acute respiratory syndrome coronavirus 2 in highly vaccinated popu...","author":[{"dropping-particle":"","family":"Andrews","given":"Nick","non-dropping-particle":"","parse-names":false,"suffix":""},{"dropping-particle":"","family":"Stowe","given":"Julia","non-dropping-particle":"","parse-names":false,"suffix":""},{"dropping-particle":"","family":"Kirsebom","given":"Freja","non-dropping-particle":"","parse-names":false,"suffix":""},{"dropping-particle":"","family":"Toffa","given":"Samuel","non-dropping-particle":"","parse-names":false,"suffix":""},{"dropping-particle":"","family":"Rickeard","given":"Tim","non-dropping-particle":"","parse-names":false,"suffix":""},{"dropping-particle":"","family":"Gallagher","given":"Eileen","non-dropping-particle":"","parse-names":false,"suffix":""},{"dropping-particle":"","family":"Gower","given":"Charlotte","non-dropping-particle":"","parse-names":false,"suffix":""},{"dropping-particle":"","family":"Kall","given":"Meaghan","non-dropping-particle":"","parse-names":false,"suffix":""},{"dropping-particle":"","family":"Groves","given":"Natalie","non-dropping-particle":"","parse-names":false,"suffix":""},{"dropping-particle":"","family":"O’Connell","given":"Anne-Marie","non-dropping-particle":"","parse-names":false,"suffix":""},{"dropping-particle":"","family":"Simons","given":"David","non-dropping-particle":"","parse-names":false,"suffix":""},{"dropping-particle":"","family":"Blomquist","given":"Paula B.","non-dropping-particle":"","parse-names":false,"suffix":""},{"dropping-particle":"","family":"Zaidi","given":"Asad","non-dropping-particle":"","parse-names":false,"suffix":""},{"dropping-particle":"","family":"Nash","given":"Sophie","non-dropping-particle":"","parse-names":false,"suffix":""},{"dropping-particle":"","family":"Iwani Binti Abdul Aziz","given":"Nurin","non-dropping-particle":"","parse-names":false,"suffix":""},{"dropping-particle":"","family":"Thelwall","given":"Simon","non-dropping-particle":"","parse-names":false,"suffix":""},{"dropping-particle":"","family":"Dabrera","given":"Gavin","non-dropping-particle":"","parse-names":false,"suffix":""},{"dropping-particle":"","family":"Myers","given":"Richard","non-dropping-particle":"","parse-names":false,"suffix":""},{"dropping-particle":"","family":"Amirthalingam","given":"Gayatri","non-dropping-particle":"","parse-names":false,"suffix":""},{"dropping-particle":"","family":"Gharbia","given":"Saheer","non-dropping-particle":"","parse-names":false,"suffix":""},{"dropping-particle":"","family":"Barrett","given":"Jeffrey C.","non-dropping-particle":"","parse-names":false,"suffix":""},{"dropping-particle":"","family":"Elson","given":"Richard","non-dropping-particle":"","parse-names":false,"suffix":""},{"dropping-particle":"","family":"Ladhani","given":"Shamez N.","non-dropping-particle":"","parse-names":false,"suffix":""},{"dropping-particle":"","family":"Ferguson","given":"Neil","non-dropping-particle":"","parse-names":false,"suffix":""},{"dropping-particle":"","family":"Zambon","given":"Maria","non-dropping-particle":"","parse-names":false,"suffix":""},{"dropping-particle":"","family":"Campbell","given":"Colin N.J.","non-dropping-particle":"","parse-names":false,"suffix":""},{"dropping-particle":"","family":"Brown","given":"Kevin","non-dropping-particle":"","parse-names":false,"suffix":""},{"dropping-particle":"","family":"Hopkins","given":"Susan","non-dropping-particle":"","parse-names":false,"suffix":""},{"dropping-particle":"","family":"Chand","given":"Meera","non-dropping-particle":"","parse-names":false,"suffix":""},{"dropping-particle":"","family":"Ramsay","given":"Mary","non-dropping-particle":"","parse-names":false,"suffix":""},{"dropping-particle":"","family":"Lopez Bernal","given":"Jamie","non-dropping-particle":"","parse-names":false,"suffix":""}],"container-title":"New England Journal of Medicine","id":"ITEM-1","issued":{"date-parts":[["2022"]]},"page":"1-15","title":"Covid-19 Vaccine Effectiveness against the Omicron (B.1.1.529) Variant","type":"article-journal"},"uris":["http://www.mendeley.com/documents/?uuid=8429a830-db9c-4a39-a50f-beeadc291ac9"]}],"mendeley":{"formattedCitation":"(Andrews et al., 2022)","plainTextFormattedCitation":"(Andrews et al., 2022)","previouslyFormattedCitation":"(Andrews et al., 2022)"},"properties":{"noteIndex":0},"schema":"https://github.com/citation-style-language/schema/raw/master/csl-citation.json"}</w:instrText>
      </w:r>
      <w:r w:rsidR="00F014D7" w:rsidRPr="00714775">
        <w:rPr>
          <w:rFonts w:ascii="Times New Roman" w:hAnsi="Times New Roman" w:cs="Times New Roman"/>
          <w:sz w:val="24"/>
          <w:szCs w:val="24"/>
          <w:lang w:val="en-US"/>
        </w:rPr>
        <w:fldChar w:fldCharType="separate"/>
      </w:r>
      <w:r w:rsidR="00F014D7" w:rsidRPr="00714775">
        <w:rPr>
          <w:rFonts w:ascii="Times New Roman" w:hAnsi="Times New Roman" w:cs="Times New Roman"/>
          <w:sz w:val="24"/>
          <w:szCs w:val="24"/>
          <w:lang w:val="en-US"/>
        </w:rPr>
        <w:t>(Andrews et al., 2022)</w:t>
      </w:r>
      <w:r w:rsidR="00F014D7" w:rsidRPr="00714775">
        <w:rPr>
          <w:rFonts w:ascii="Times New Roman" w:hAnsi="Times New Roman" w:cs="Times New Roman"/>
          <w:sz w:val="24"/>
          <w:szCs w:val="24"/>
          <w:lang w:val="en-US"/>
        </w:rPr>
        <w:fldChar w:fldCharType="end"/>
      </w:r>
      <w:r w:rsidR="00F014D7" w:rsidRPr="00714775">
        <w:rPr>
          <w:rFonts w:ascii="Times New Roman" w:hAnsi="Times New Roman" w:cs="Times New Roman"/>
          <w:sz w:val="24"/>
          <w:szCs w:val="24"/>
          <w:lang w:val="en-US"/>
        </w:rPr>
        <w:t xml:space="preserve"> </w:t>
      </w:r>
      <w:r w:rsidR="00427B10">
        <w:rPr>
          <w:rFonts w:ascii="Times New Roman" w:hAnsi="Times New Roman" w:cs="Times New Roman"/>
          <w:sz w:val="24"/>
          <w:szCs w:val="24"/>
          <w:lang w:val="en-US"/>
        </w:rPr>
        <w:t xml:space="preserve">that was </w:t>
      </w:r>
      <w:r w:rsidR="00F014D7" w:rsidRPr="00714775">
        <w:rPr>
          <w:rFonts w:ascii="Times New Roman" w:hAnsi="Times New Roman" w:cs="Times New Roman"/>
          <w:sz w:val="24"/>
          <w:szCs w:val="24"/>
          <w:lang w:val="en-US"/>
        </w:rPr>
        <w:t xml:space="preserve">used in the main </w:t>
      </w:r>
      <w:r w:rsidR="00715AEE" w:rsidRPr="00714775">
        <w:rPr>
          <w:rFonts w:ascii="Times New Roman" w:hAnsi="Times New Roman" w:cs="Times New Roman"/>
          <w:sz w:val="24"/>
          <w:szCs w:val="24"/>
          <w:lang w:val="en-US"/>
        </w:rPr>
        <w:t>text</w:t>
      </w:r>
      <w:r w:rsidR="00F014D7" w:rsidRPr="00714775">
        <w:rPr>
          <w:rFonts w:ascii="Times New Roman" w:hAnsi="Times New Roman" w:cs="Times New Roman"/>
          <w:sz w:val="24"/>
          <w:szCs w:val="24"/>
          <w:lang w:val="en-US"/>
        </w:rPr>
        <w:t xml:space="preserve">. </w:t>
      </w:r>
      <w:r w:rsidR="00FB05C1" w:rsidRPr="00714775">
        <w:rPr>
          <w:rFonts w:ascii="Times New Roman" w:hAnsi="Times New Roman" w:cs="Times New Roman"/>
          <w:sz w:val="24"/>
          <w:szCs w:val="28"/>
          <w:lang w:val="en-US"/>
        </w:rPr>
        <w:t xml:space="preserve">The parameters in the immune decay function </w:t>
      </w:r>
      <m:oMath>
        <m:r>
          <w:rPr>
            <w:rFonts w:ascii="Cambria Math" w:hAnsi="Cambria Math" w:cs="Times New Roman"/>
            <w:sz w:val="24"/>
            <w:szCs w:val="28"/>
            <w:lang w:val="en-US"/>
          </w:rPr>
          <m:t>m</m:t>
        </m:r>
      </m:oMath>
      <w:r w:rsidR="00FB05C1" w:rsidRPr="00714775">
        <w:rPr>
          <w:rFonts w:ascii="Times New Roman" w:hAnsi="Times New Roman" w:cs="Times New Roman"/>
          <w:sz w:val="24"/>
          <w:szCs w:val="28"/>
          <w:lang w:val="en-US"/>
        </w:rPr>
        <w:t xml:space="preserve"> (i.e., the maximum vaccine effectiveness) and </w:t>
      </w:r>
      <m:oMath>
        <m:r>
          <w:rPr>
            <w:rFonts w:ascii="Cambria Math" w:hAnsi="Cambria Math" w:cs="Times New Roman"/>
            <w:sz w:val="24"/>
            <w:szCs w:val="28"/>
            <w:lang w:val="en-US"/>
          </w:rPr>
          <m:t>γ</m:t>
        </m:r>
      </m:oMath>
      <w:r w:rsidR="00FB05C1" w:rsidRPr="00714775">
        <w:rPr>
          <w:rFonts w:ascii="Times New Roman" w:hAnsi="Times New Roman" w:cs="Times New Roman"/>
          <w:sz w:val="24"/>
          <w:szCs w:val="28"/>
          <w:lang w:val="en-US"/>
        </w:rPr>
        <w:t xml:space="preserve"> (i.e., the waning speed of vaccine effectiveness) were estimated to be </w:t>
      </w:r>
      <w:r w:rsidR="007746D8" w:rsidRPr="00714775">
        <w:rPr>
          <w:rFonts w:ascii="Times New Roman" w:hAnsi="Times New Roman" w:cs="Times New Roman"/>
          <w:sz w:val="24"/>
          <w:szCs w:val="24"/>
          <w:lang w:val="en-US"/>
        </w:rPr>
        <w:t>0.95</w:t>
      </w:r>
      <w:r w:rsidR="00FB05C1" w:rsidRPr="00714775">
        <w:rPr>
          <w:rFonts w:ascii="Times New Roman" w:hAnsi="Times New Roman" w:cs="Times New Roman"/>
          <w:sz w:val="24"/>
          <w:szCs w:val="28"/>
          <w:lang w:val="en-US"/>
        </w:rPr>
        <w:t xml:space="preserve"> (95% CI: </w:t>
      </w:r>
      <w:r w:rsidR="007746D8" w:rsidRPr="00714775">
        <w:rPr>
          <w:rFonts w:ascii="Times New Roman" w:hAnsi="Times New Roman" w:cs="Times New Roman"/>
          <w:sz w:val="24"/>
          <w:szCs w:val="28"/>
          <w:lang w:val="en-US"/>
        </w:rPr>
        <w:t>0.94</w:t>
      </w:r>
      <w:r w:rsidR="00FB05C1" w:rsidRPr="00714775">
        <w:rPr>
          <w:rFonts w:ascii="Times New Roman" w:hAnsi="Times New Roman"/>
          <w:sz w:val="24"/>
          <w:szCs w:val="24"/>
          <w:lang w:val="en-US"/>
        </w:rPr>
        <w:t>–</w:t>
      </w:r>
      <w:r w:rsidR="00FB05C1" w:rsidRPr="00714775">
        <w:rPr>
          <w:rFonts w:ascii="Times New Roman" w:hAnsi="Times New Roman" w:cs="Times New Roman"/>
          <w:sz w:val="24"/>
          <w:szCs w:val="28"/>
          <w:lang w:val="en-US"/>
        </w:rPr>
        <w:t>0</w:t>
      </w:r>
      <w:r w:rsidR="007746D8" w:rsidRPr="00714775">
        <w:rPr>
          <w:rFonts w:ascii="Times New Roman" w:hAnsi="Times New Roman" w:cs="Times New Roman"/>
          <w:sz w:val="24"/>
          <w:szCs w:val="28"/>
          <w:lang w:val="en-US"/>
        </w:rPr>
        <w:t>.96</w:t>
      </w:r>
      <w:r w:rsidR="00FB05C1" w:rsidRPr="00714775">
        <w:rPr>
          <w:rFonts w:ascii="Times New Roman" w:hAnsi="Times New Roman" w:cs="Times New Roman"/>
          <w:sz w:val="24"/>
          <w:szCs w:val="28"/>
          <w:lang w:val="en-US"/>
        </w:rPr>
        <w:t xml:space="preserve">) and </w:t>
      </w:r>
      <w:r w:rsidR="007746D8" w:rsidRPr="00714775">
        <w:rPr>
          <w:rFonts w:ascii="Times New Roman" w:hAnsi="Times New Roman" w:cs="Times New Roman"/>
          <w:sz w:val="24"/>
          <w:szCs w:val="24"/>
          <w:lang w:val="en-US"/>
        </w:rPr>
        <w:t>0.0022</w:t>
      </w:r>
      <w:r w:rsidR="00FB05C1" w:rsidRPr="00714775">
        <w:rPr>
          <w:rFonts w:ascii="Times New Roman" w:hAnsi="Times New Roman" w:cs="Times New Roman"/>
          <w:sz w:val="24"/>
          <w:szCs w:val="28"/>
          <w:lang w:val="en-US"/>
        </w:rPr>
        <w:t xml:space="preserve"> (95% CI: </w:t>
      </w:r>
      <w:r w:rsidR="007746D8" w:rsidRPr="00714775">
        <w:rPr>
          <w:rFonts w:ascii="Times New Roman" w:hAnsi="Times New Roman" w:cs="Times New Roman"/>
          <w:sz w:val="24"/>
          <w:szCs w:val="24"/>
          <w:lang w:val="en-US"/>
        </w:rPr>
        <w:t>0.0022</w:t>
      </w:r>
      <w:r w:rsidR="00FB05C1" w:rsidRPr="00714775">
        <w:rPr>
          <w:rFonts w:ascii="Times New Roman" w:hAnsi="Times New Roman"/>
          <w:sz w:val="24"/>
          <w:szCs w:val="24"/>
          <w:lang w:val="en-US"/>
        </w:rPr>
        <w:t>–</w:t>
      </w:r>
      <w:r w:rsidR="007746D8" w:rsidRPr="00714775">
        <w:rPr>
          <w:rFonts w:ascii="Times New Roman" w:hAnsi="Times New Roman" w:cs="Times New Roman"/>
          <w:sz w:val="24"/>
          <w:szCs w:val="28"/>
          <w:lang w:val="en-US"/>
        </w:rPr>
        <w:t>0.0024</w:t>
      </w:r>
      <w:r w:rsidR="00FB05C1" w:rsidRPr="00714775">
        <w:rPr>
          <w:rFonts w:ascii="Times New Roman" w:hAnsi="Times New Roman" w:cs="Times New Roman"/>
          <w:sz w:val="24"/>
          <w:szCs w:val="28"/>
          <w:lang w:val="en-US"/>
        </w:rPr>
        <w:t>)</w:t>
      </w:r>
      <w:r w:rsidR="007746D8" w:rsidRPr="00714775">
        <w:rPr>
          <w:rFonts w:ascii="Times New Roman" w:hAnsi="Times New Roman" w:cs="Times New Roman"/>
          <w:sz w:val="24"/>
          <w:szCs w:val="28"/>
          <w:lang w:val="en-US"/>
        </w:rPr>
        <w:t>, respectively (Figure S3).</w:t>
      </w:r>
      <w:r w:rsidR="00AB3331" w:rsidRPr="00714775">
        <w:rPr>
          <w:rFonts w:ascii="Times New Roman" w:hAnsi="Times New Roman" w:cs="Times New Roman"/>
          <w:sz w:val="24"/>
          <w:szCs w:val="28"/>
          <w:lang w:val="en-US"/>
        </w:rPr>
        <w:t xml:space="preserve"> Assuming the immunity from </w:t>
      </w:r>
      <w:r w:rsidR="00427B10">
        <w:rPr>
          <w:rFonts w:ascii="Times New Roman" w:hAnsi="Times New Roman" w:cs="Times New Roman"/>
          <w:sz w:val="24"/>
          <w:szCs w:val="28"/>
          <w:lang w:val="en-US"/>
        </w:rPr>
        <w:t xml:space="preserve">the </w:t>
      </w:r>
      <w:r w:rsidR="00AB3331" w:rsidRPr="00714775">
        <w:rPr>
          <w:rFonts w:ascii="Times New Roman" w:hAnsi="Times New Roman" w:cs="Times New Roman"/>
          <w:sz w:val="24"/>
          <w:szCs w:val="28"/>
          <w:lang w:val="en-US"/>
        </w:rPr>
        <w:t xml:space="preserve">second </w:t>
      </w:r>
      <w:r w:rsidR="00427B10">
        <w:rPr>
          <w:rFonts w:ascii="Times New Roman" w:hAnsi="Times New Roman" w:cs="Times New Roman"/>
          <w:sz w:val="24"/>
          <w:szCs w:val="28"/>
          <w:lang w:val="en-US"/>
        </w:rPr>
        <w:t xml:space="preserve">vaccine </w:t>
      </w:r>
      <w:r w:rsidR="00AB3331" w:rsidRPr="00714775">
        <w:rPr>
          <w:rFonts w:ascii="Times New Roman" w:hAnsi="Times New Roman" w:cs="Times New Roman"/>
          <w:sz w:val="24"/>
          <w:szCs w:val="28"/>
          <w:lang w:val="en-US"/>
        </w:rPr>
        <w:t xml:space="preserve">dose and </w:t>
      </w:r>
      <w:r w:rsidR="00427B10">
        <w:rPr>
          <w:rFonts w:ascii="Times New Roman" w:hAnsi="Times New Roman" w:cs="Times New Roman"/>
          <w:sz w:val="24"/>
          <w:szCs w:val="28"/>
          <w:lang w:val="en-US"/>
        </w:rPr>
        <w:t xml:space="preserve">that from </w:t>
      </w:r>
      <w:r w:rsidR="00AB3331" w:rsidRPr="00714775">
        <w:rPr>
          <w:rFonts w:ascii="Times New Roman" w:hAnsi="Times New Roman" w:cs="Times New Roman"/>
          <w:sz w:val="24"/>
          <w:szCs w:val="28"/>
          <w:lang w:val="en-US"/>
        </w:rPr>
        <w:t xml:space="preserve">natural infection </w:t>
      </w:r>
      <w:r w:rsidR="00427B10">
        <w:rPr>
          <w:rFonts w:ascii="Times New Roman" w:hAnsi="Times New Roman" w:cs="Times New Roman"/>
          <w:sz w:val="24"/>
          <w:szCs w:val="28"/>
          <w:lang w:val="en-US"/>
        </w:rPr>
        <w:t xml:space="preserve">both </w:t>
      </w:r>
      <w:r w:rsidR="008F7C66" w:rsidRPr="00714775">
        <w:rPr>
          <w:rFonts w:ascii="Times New Roman" w:hAnsi="Times New Roman" w:cs="Times New Roman"/>
          <w:sz w:val="24"/>
          <w:szCs w:val="28"/>
          <w:lang w:val="en-US"/>
        </w:rPr>
        <w:t xml:space="preserve">wane </w:t>
      </w:r>
      <w:r w:rsidR="00AB3331" w:rsidRPr="00714775">
        <w:rPr>
          <w:rFonts w:ascii="Times New Roman" w:hAnsi="Times New Roman" w:cs="Times New Roman"/>
          <w:sz w:val="24"/>
          <w:szCs w:val="28"/>
          <w:lang w:val="en-US"/>
        </w:rPr>
        <w:t>follow</w:t>
      </w:r>
      <w:r w:rsidR="008F7C66" w:rsidRPr="00714775">
        <w:rPr>
          <w:rFonts w:ascii="Times New Roman" w:hAnsi="Times New Roman" w:cs="Times New Roman"/>
          <w:sz w:val="24"/>
          <w:szCs w:val="28"/>
          <w:lang w:val="en-US"/>
        </w:rPr>
        <w:t>ing</w:t>
      </w:r>
      <w:r w:rsidR="00AB3331" w:rsidRPr="00714775">
        <w:rPr>
          <w:rFonts w:ascii="Times New Roman" w:hAnsi="Times New Roman" w:cs="Times New Roman"/>
          <w:sz w:val="24"/>
          <w:szCs w:val="28"/>
          <w:lang w:val="en-US"/>
        </w:rPr>
        <w:t xml:space="preserve"> this estimated decay function</w:t>
      </w:r>
      <w:r w:rsidR="00CF2035" w:rsidRPr="00714775">
        <w:rPr>
          <w:rFonts w:ascii="Times New Roman" w:hAnsi="Times New Roman" w:cs="Times New Roman"/>
          <w:sz w:val="24"/>
          <w:szCs w:val="28"/>
          <w:lang w:val="en-US"/>
        </w:rPr>
        <w:t xml:space="preserve"> (note: as stated in the main manuscript, the maximum effectiveness for natural infection was fixed as 1 (i.e</w:t>
      </w:r>
      <w:r w:rsidR="000314F2" w:rsidRPr="00714775">
        <w:rPr>
          <w:rFonts w:ascii="Times New Roman" w:hAnsi="Times New Roman" w:cs="Times New Roman"/>
          <w:sz w:val="24"/>
          <w:szCs w:val="28"/>
          <w:lang w:val="en-US"/>
        </w:rPr>
        <w:t>.</w:t>
      </w:r>
      <w:r w:rsidR="00CF2035" w:rsidRPr="00714775">
        <w:rPr>
          <w:rFonts w:ascii="Times New Roman" w:hAnsi="Times New Roman" w:cs="Times New Roman"/>
          <w:sz w:val="24"/>
          <w:szCs w:val="28"/>
          <w:lang w:val="en-US"/>
        </w:rPr>
        <w:t xml:space="preserve">, </w:t>
      </w:r>
      <m:oMath>
        <m:r>
          <w:rPr>
            <w:rFonts w:ascii="Cambria Math" w:hAnsi="Cambria Math" w:cs="Times New Roman"/>
            <w:sz w:val="24"/>
            <w:szCs w:val="28"/>
            <w:lang w:val="en-US"/>
          </w:rPr>
          <m:t>m=1</m:t>
        </m:r>
      </m:oMath>
      <w:r w:rsidR="008F7C66" w:rsidRPr="00714775">
        <w:rPr>
          <w:rFonts w:ascii="Times New Roman" w:hAnsi="Times New Roman" w:cs="Times New Roman"/>
          <w:sz w:val="24"/>
          <w:szCs w:val="28"/>
          <w:lang w:val="en-US"/>
        </w:rPr>
        <w:t>)</w:t>
      </w:r>
      <w:r w:rsidR="00CF2035" w:rsidRPr="00714775">
        <w:rPr>
          <w:rFonts w:ascii="Times New Roman" w:hAnsi="Times New Roman" w:cs="Times New Roman"/>
          <w:sz w:val="24"/>
          <w:szCs w:val="28"/>
          <w:lang w:val="en-US"/>
        </w:rPr>
        <w:t>)</w:t>
      </w:r>
      <w:r w:rsidR="00AB3331" w:rsidRPr="00714775">
        <w:rPr>
          <w:rFonts w:ascii="Times New Roman" w:hAnsi="Times New Roman" w:cs="Times New Roman"/>
          <w:sz w:val="24"/>
          <w:szCs w:val="28"/>
          <w:lang w:val="en-US"/>
        </w:rPr>
        <w:t>, we estimated the proportion</w:t>
      </w:r>
      <w:r w:rsidR="00427B10">
        <w:rPr>
          <w:rFonts w:ascii="Times New Roman" w:hAnsi="Times New Roman" w:cs="Times New Roman"/>
          <w:sz w:val="24"/>
          <w:szCs w:val="28"/>
          <w:lang w:val="en-US"/>
        </w:rPr>
        <w:t xml:space="preserve"> of the population that is</w:t>
      </w:r>
      <w:r w:rsidR="00AB3331" w:rsidRPr="00714775">
        <w:rPr>
          <w:rFonts w:ascii="Times New Roman" w:hAnsi="Times New Roman" w:cs="Times New Roman"/>
          <w:sz w:val="24"/>
          <w:szCs w:val="28"/>
          <w:lang w:val="en-US"/>
        </w:rPr>
        <w:t xml:space="preserve"> immune </w:t>
      </w:r>
      <w:r w:rsidR="00427B10">
        <w:rPr>
          <w:rFonts w:ascii="Times New Roman" w:hAnsi="Times New Roman" w:cs="Times New Roman"/>
          <w:sz w:val="24"/>
          <w:szCs w:val="28"/>
          <w:lang w:val="en-US"/>
        </w:rPr>
        <w:t>to</w:t>
      </w:r>
      <w:r w:rsidR="00427B10" w:rsidRPr="00714775">
        <w:rPr>
          <w:rFonts w:ascii="Times New Roman" w:hAnsi="Times New Roman" w:cs="Times New Roman"/>
          <w:sz w:val="24"/>
          <w:szCs w:val="28"/>
          <w:lang w:val="en-US"/>
        </w:rPr>
        <w:t xml:space="preserve"> </w:t>
      </w:r>
      <w:r w:rsidR="00AB3331" w:rsidRPr="00714775">
        <w:rPr>
          <w:rFonts w:ascii="Times New Roman" w:hAnsi="Times New Roman" w:cs="Times New Roman"/>
          <w:sz w:val="24"/>
          <w:szCs w:val="28"/>
          <w:lang w:val="en-US"/>
        </w:rPr>
        <w:t>symptomatic infection with the Delta variant from February 17, 2021 to February</w:t>
      </w:r>
      <w:r w:rsidR="00427B10">
        <w:rPr>
          <w:rFonts w:ascii="Times New Roman" w:hAnsi="Times New Roman" w:cs="Times New Roman"/>
          <w:sz w:val="24"/>
          <w:szCs w:val="28"/>
          <w:lang w:val="en-US"/>
        </w:rPr>
        <w:t xml:space="preserve"> </w:t>
      </w:r>
      <w:r w:rsidR="00427B10" w:rsidRPr="00CE1438">
        <w:rPr>
          <w:rFonts w:ascii="Times New Roman" w:hAnsi="Times New Roman" w:cs="Times New Roman"/>
          <w:sz w:val="24"/>
          <w:szCs w:val="28"/>
          <w:lang w:val="en-US"/>
        </w:rPr>
        <w:t>31</w:t>
      </w:r>
      <w:r w:rsidR="00AB3331" w:rsidRPr="00714775">
        <w:rPr>
          <w:rFonts w:ascii="Times New Roman" w:hAnsi="Times New Roman" w:cs="Times New Roman"/>
          <w:sz w:val="24"/>
          <w:szCs w:val="28"/>
          <w:lang w:val="en-US"/>
        </w:rPr>
        <w:t>, 2022</w:t>
      </w:r>
      <w:r w:rsidR="008F7C66" w:rsidRPr="00714775">
        <w:rPr>
          <w:rFonts w:ascii="Times New Roman" w:hAnsi="Times New Roman" w:cs="Times New Roman"/>
          <w:sz w:val="24"/>
          <w:szCs w:val="28"/>
          <w:lang w:val="en-US"/>
        </w:rPr>
        <w:t xml:space="preserve"> (Figure S4)</w:t>
      </w:r>
      <w:r w:rsidR="00AB3331" w:rsidRPr="00714775">
        <w:rPr>
          <w:rFonts w:ascii="Times New Roman" w:hAnsi="Times New Roman" w:cs="Times New Roman"/>
          <w:sz w:val="24"/>
          <w:szCs w:val="28"/>
          <w:lang w:val="en-US"/>
        </w:rPr>
        <w:t>.</w:t>
      </w:r>
      <w:r w:rsidR="00CF2035" w:rsidRPr="00714775">
        <w:rPr>
          <w:rFonts w:ascii="Times New Roman" w:hAnsi="Times New Roman" w:cs="Times New Roman"/>
          <w:sz w:val="24"/>
          <w:szCs w:val="28"/>
          <w:lang w:val="en-US"/>
        </w:rPr>
        <w:t xml:space="preserve"> </w:t>
      </w:r>
    </w:p>
    <w:p w14:paraId="03F8F8EA" w14:textId="26A03105" w:rsidR="00DD4BD1" w:rsidRPr="00714775" w:rsidRDefault="00DD4BD1" w:rsidP="00715AEE">
      <w:pPr>
        <w:jc w:val="left"/>
        <w:rPr>
          <w:rFonts w:ascii="Times New Roman" w:hAnsi="Times New Roman" w:cs="Times New Roman"/>
          <w:sz w:val="24"/>
          <w:szCs w:val="24"/>
          <w:lang w:val="en-US"/>
        </w:rPr>
      </w:pPr>
    </w:p>
    <w:p w14:paraId="521A5880" w14:textId="77777777" w:rsidR="008026E8" w:rsidRDefault="008026E8">
      <w:pPr>
        <w:widowControl/>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DB63829" w14:textId="32FA945C" w:rsidR="00DC7703" w:rsidRDefault="004977DD" w:rsidP="00715AEE">
      <w:pPr>
        <w:jc w:val="left"/>
        <w:rPr>
          <w:rFonts w:ascii="Times New Roman" w:hAnsi="Times New Roman" w:cs="Times New Roman"/>
          <w:sz w:val="24"/>
          <w:szCs w:val="24"/>
          <w:lang w:val="en-US"/>
        </w:rPr>
      </w:pPr>
      <w:r w:rsidRPr="00C267A6">
        <w:rPr>
          <w:noProof/>
          <w:lang w:val="en-US" w:eastAsia="en-US"/>
        </w:rPr>
        <w:lastRenderedPageBreak/>
        <w:drawing>
          <wp:inline distT="0" distB="0" distL="0" distR="0" wp14:anchorId="055E9537" wp14:editId="696E1339">
            <wp:extent cx="3538025" cy="2948493"/>
            <wp:effectExtent l="0" t="0" r="5715"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7097" cy="2964387"/>
                    </a:xfrm>
                    <a:prstGeom prst="rect">
                      <a:avLst/>
                    </a:prstGeom>
                    <a:noFill/>
                    <a:ln>
                      <a:noFill/>
                    </a:ln>
                  </pic:spPr>
                </pic:pic>
              </a:graphicData>
            </a:graphic>
          </wp:inline>
        </w:drawing>
      </w:r>
    </w:p>
    <w:p w14:paraId="38461A6F" w14:textId="0C2EA713" w:rsidR="00714775" w:rsidRPr="00714775" w:rsidRDefault="00714775" w:rsidP="00715AEE">
      <w:pPr>
        <w:jc w:val="left"/>
        <w:rPr>
          <w:rFonts w:ascii="Times New Roman" w:hAnsi="Times New Roman" w:cs="Times New Roman"/>
          <w:sz w:val="24"/>
          <w:szCs w:val="24"/>
          <w:lang w:val="en-US"/>
        </w:rPr>
      </w:pPr>
      <w:r w:rsidRPr="00714775">
        <w:rPr>
          <w:rFonts w:ascii="Times New Roman" w:hAnsi="Times New Roman" w:cs="Times New Roman"/>
          <w:b/>
          <w:bCs/>
          <w:sz w:val="24"/>
          <w:szCs w:val="24"/>
          <w:lang w:val="en-US"/>
        </w:rPr>
        <w:t xml:space="preserve">Figure S3. </w:t>
      </w:r>
      <w:r w:rsidRPr="00714775">
        <w:rPr>
          <w:rFonts w:ascii="Times New Roman" w:hAnsi="Times New Roman" w:cs="Times New Roman"/>
          <w:b/>
          <w:bCs/>
          <w:sz w:val="24"/>
          <w:szCs w:val="28"/>
          <w:lang w:val="en-US"/>
        </w:rPr>
        <w:t xml:space="preserve">Estimated time-dependent waning </w:t>
      </w:r>
      <w:r>
        <w:rPr>
          <w:rFonts w:ascii="Times New Roman" w:hAnsi="Times New Roman" w:cs="Times New Roman"/>
          <w:b/>
          <w:bCs/>
          <w:sz w:val="24"/>
          <w:szCs w:val="28"/>
          <w:lang w:val="en-US"/>
        </w:rPr>
        <w:t xml:space="preserve">of </w:t>
      </w:r>
      <w:r w:rsidRPr="00714775">
        <w:rPr>
          <w:rFonts w:ascii="Times New Roman" w:hAnsi="Times New Roman" w:cs="Times New Roman"/>
          <w:b/>
          <w:bCs/>
          <w:sz w:val="24"/>
          <w:szCs w:val="28"/>
          <w:lang w:val="en-US"/>
        </w:rPr>
        <w:t xml:space="preserve">immunity against symptomatic infection with the Delta variant after </w:t>
      </w:r>
      <w:r>
        <w:rPr>
          <w:rFonts w:ascii="Times New Roman" w:hAnsi="Times New Roman" w:cs="Times New Roman"/>
          <w:b/>
          <w:bCs/>
          <w:sz w:val="24"/>
          <w:szCs w:val="28"/>
          <w:lang w:val="en-US"/>
        </w:rPr>
        <w:t xml:space="preserve">the </w:t>
      </w:r>
      <w:r w:rsidRPr="00714775">
        <w:rPr>
          <w:rFonts w:ascii="Times New Roman" w:hAnsi="Times New Roman" w:cs="Times New Roman"/>
          <w:b/>
          <w:bCs/>
          <w:sz w:val="24"/>
          <w:szCs w:val="28"/>
          <w:lang w:val="en-US"/>
        </w:rPr>
        <w:t xml:space="preserve">second </w:t>
      </w:r>
      <w:r>
        <w:rPr>
          <w:rFonts w:ascii="Times New Roman" w:hAnsi="Times New Roman" w:cs="Times New Roman"/>
          <w:b/>
          <w:bCs/>
          <w:sz w:val="24"/>
          <w:szCs w:val="28"/>
          <w:lang w:val="en-US"/>
        </w:rPr>
        <w:t xml:space="preserve">vaccine </w:t>
      </w:r>
      <w:r w:rsidRPr="00714775">
        <w:rPr>
          <w:rFonts w:ascii="Times New Roman" w:hAnsi="Times New Roman" w:cs="Times New Roman"/>
          <w:b/>
          <w:bCs/>
          <w:sz w:val="24"/>
          <w:szCs w:val="28"/>
          <w:lang w:val="en-US"/>
        </w:rPr>
        <w:t>dose.</w:t>
      </w:r>
    </w:p>
    <w:p w14:paraId="06E23035" w14:textId="098B5979" w:rsidR="00E07202" w:rsidRPr="00714775" w:rsidRDefault="008F7C66" w:rsidP="00715AEE">
      <w:pPr>
        <w:jc w:val="left"/>
        <w:rPr>
          <w:rFonts w:ascii="Times New Roman" w:hAnsi="Times New Roman" w:cs="Times New Roman"/>
          <w:sz w:val="24"/>
          <w:szCs w:val="24"/>
          <w:lang w:val="en-US"/>
        </w:rPr>
      </w:pPr>
      <w:r w:rsidRPr="00714775">
        <w:rPr>
          <w:rFonts w:ascii="Times New Roman" w:hAnsi="Times New Roman" w:cs="Times New Roman"/>
          <w:sz w:val="24"/>
          <w:szCs w:val="24"/>
          <w:lang w:val="en-US"/>
        </w:rPr>
        <w:t>The blue line show</w:t>
      </w:r>
      <w:r w:rsidR="002C6FD7">
        <w:rPr>
          <w:rFonts w:ascii="Times New Roman" w:hAnsi="Times New Roman" w:cs="Times New Roman"/>
          <w:sz w:val="24"/>
          <w:szCs w:val="24"/>
          <w:lang w:val="en-US"/>
        </w:rPr>
        <w:t>s</w:t>
      </w:r>
      <w:r w:rsidRPr="00714775">
        <w:rPr>
          <w:rFonts w:ascii="Times New Roman" w:hAnsi="Times New Roman" w:cs="Times New Roman"/>
          <w:sz w:val="24"/>
          <w:szCs w:val="24"/>
          <w:lang w:val="en-US"/>
        </w:rPr>
        <w:t xml:space="preserve"> the estimated vaccination effectiveness</w:t>
      </w:r>
      <w:r w:rsidR="002C6FD7">
        <w:rPr>
          <w:rFonts w:ascii="Times New Roman" w:hAnsi="Times New Roman" w:cs="Times New Roman"/>
          <w:sz w:val="24"/>
          <w:szCs w:val="24"/>
          <w:lang w:val="en-US"/>
        </w:rPr>
        <w:t>,</w:t>
      </w:r>
      <w:r w:rsidRPr="00714775">
        <w:rPr>
          <w:rFonts w:ascii="Times New Roman" w:hAnsi="Times New Roman" w:cs="Times New Roman"/>
          <w:sz w:val="24"/>
          <w:szCs w:val="24"/>
          <w:lang w:val="en-US"/>
        </w:rPr>
        <w:t xml:space="preserve"> with the shaded area representing the 95% </w:t>
      </w:r>
      <w:r w:rsidR="00715AEE" w:rsidRPr="00714775">
        <w:rPr>
          <w:rFonts w:ascii="Times New Roman" w:hAnsi="Times New Roman" w:cs="Times New Roman"/>
          <w:sz w:val="24"/>
          <w:szCs w:val="24"/>
          <w:lang w:val="en-US"/>
        </w:rPr>
        <w:t>confidence interval (</w:t>
      </w:r>
      <w:r w:rsidR="000314F2" w:rsidRPr="00714775">
        <w:rPr>
          <w:rFonts w:ascii="Times New Roman" w:hAnsi="Times New Roman" w:cs="Times New Roman"/>
          <w:sz w:val="24"/>
          <w:szCs w:val="24"/>
          <w:lang w:val="en-US"/>
        </w:rPr>
        <w:t>CI</w:t>
      </w:r>
      <w:r w:rsidR="00715AEE" w:rsidRPr="00714775">
        <w:rPr>
          <w:rFonts w:ascii="Times New Roman" w:hAnsi="Times New Roman" w:cs="Times New Roman"/>
          <w:sz w:val="24"/>
          <w:szCs w:val="24"/>
          <w:lang w:val="en-US"/>
        </w:rPr>
        <w:t>)</w:t>
      </w:r>
      <w:r w:rsidRPr="00714775">
        <w:rPr>
          <w:rFonts w:ascii="Times New Roman" w:hAnsi="Times New Roman" w:cs="Times New Roman"/>
          <w:sz w:val="24"/>
          <w:szCs w:val="24"/>
          <w:lang w:val="en-US"/>
        </w:rPr>
        <w:t xml:space="preserve"> derived by bootstrapping. The points represent the vaccine effectiveness against symptomatic infection</w:t>
      </w:r>
      <w:r w:rsidR="002C6FD7">
        <w:rPr>
          <w:rFonts w:ascii="Times New Roman" w:hAnsi="Times New Roman" w:cs="Times New Roman"/>
          <w:sz w:val="24"/>
          <w:szCs w:val="24"/>
          <w:lang w:val="en-US"/>
        </w:rPr>
        <w:t>,</w:t>
      </w:r>
      <w:r w:rsidRPr="00714775">
        <w:rPr>
          <w:rFonts w:ascii="Times New Roman" w:hAnsi="Times New Roman" w:cs="Times New Roman"/>
          <w:sz w:val="24"/>
          <w:szCs w:val="24"/>
          <w:lang w:val="en-US"/>
        </w:rPr>
        <w:t xml:space="preserve"> with </w:t>
      </w:r>
      <w:r w:rsidR="002C6FD7">
        <w:rPr>
          <w:rFonts w:ascii="Times New Roman" w:hAnsi="Times New Roman" w:cs="Times New Roman"/>
          <w:sz w:val="24"/>
          <w:szCs w:val="24"/>
          <w:lang w:val="en-US"/>
        </w:rPr>
        <w:t xml:space="preserve">the </w:t>
      </w:r>
      <w:r w:rsidRPr="00714775">
        <w:rPr>
          <w:rFonts w:ascii="Times New Roman" w:hAnsi="Times New Roman" w:cs="Times New Roman"/>
          <w:sz w:val="24"/>
          <w:szCs w:val="24"/>
          <w:lang w:val="en-US"/>
        </w:rPr>
        <w:t xml:space="preserve">error bars </w:t>
      </w:r>
      <w:r w:rsidR="002C6FD7">
        <w:rPr>
          <w:rFonts w:ascii="Times New Roman" w:hAnsi="Times New Roman" w:cs="Times New Roman"/>
          <w:sz w:val="24"/>
          <w:szCs w:val="24"/>
          <w:lang w:val="en-US"/>
        </w:rPr>
        <w:t>displaying</w:t>
      </w:r>
      <w:r w:rsidR="002C6FD7" w:rsidRPr="00714775">
        <w:rPr>
          <w:rFonts w:ascii="Times New Roman" w:hAnsi="Times New Roman" w:cs="Times New Roman"/>
          <w:sz w:val="24"/>
          <w:szCs w:val="24"/>
          <w:lang w:val="en-US"/>
        </w:rPr>
        <w:t xml:space="preserve"> </w:t>
      </w:r>
      <w:r w:rsidRPr="00714775">
        <w:rPr>
          <w:rFonts w:ascii="Times New Roman" w:hAnsi="Times New Roman" w:cs="Times New Roman"/>
          <w:sz w:val="24"/>
          <w:szCs w:val="24"/>
          <w:lang w:val="en-US"/>
        </w:rPr>
        <w:t>their 95%</w:t>
      </w:r>
      <w:r w:rsidR="000314F2" w:rsidRPr="00714775">
        <w:rPr>
          <w:rFonts w:ascii="Times New Roman" w:hAnsi="Times New Roman" w:cs="Times New Roman"/>
          <w:sz w:val="24"/>
          <w:szCs w:val="24"/>
          <w:lang w:val="en-US"/>
        </w:rPr>
        <w:t xml:space="preserve"> CIs</w:t>
      </w:r>
      <w:r w:rsidRPr="00714775">
        <w:rPr>
          <w:rFonts w:ascii="Times New Roman" w:hAnsi="Times New Roman" w:cs="Times New Roman"/>
          <w:sz w:val="24"/>
          <w:szCs w:val="24"/>
          <w:lang w:val="en-US"/>
        </w:rPr>
        <w:t xml:space="preserve">, according </w:t>
      </w:r>
      <w:r w:rsidR="002C6FD7">
        <w:rPr>
          <w:rFonts w:ascii="Times New Roman" w:hAnsi="Times New Roman" w:cs="Times New Roman"/>
          <w:sz w:val="24"/>
          <w:szCs w:val="24"/>
          <w:lang w:val="en-US"/>
        </w:rPr>
        <w:t>to data from a</w:t>
      </w:r>
      <w:r w:rsidRPr="00714775">
        <w:rPr>
          <w:rFonts w:ascii="Times New Roman" w:hAnsi="Times New Roman" w:cs="Times New Roman"/>
          <w:sz w:val="24"/>
          <w:szCs w:val="24"/>
          <w:lang w:val="en-US"/>
        </w:rPr>
        <w:t xml:space="preserve"> published study </w:t>
      </w:r>
      <w:r w:rsidRPr="00714775">
        <w:rPr>
          <w:rFonts w:ascii="Times New Roman" w:hAnsi="Times New Roman" w:cs="Times New Roman"/>
          <w:sz w:val="24"/>
          <w:szCs w:val="24"/>
          <w:lang w:val="en-US"/>
        </w:rPr>
        <w:fldChar w:fldCharType="begin" w:fldLock="1"/>
      </w:r>
      <w:r w:rsidR="00167E3E" w:rsidRPr="00714775">
        <w:rPr>
          <w:rFonts w:ascii="Times New Roman" w:hAnsi="Times New Roman" w:cs="Times New Roman"/>
          <w:sz w:val="24"/>
          <w:szCs w:val="24"/>
          <w:lang w:val="en-US"/>
        </w:rPr>
        <w:instrText>ADDIN CSL_CITATION {"citationItems":[{"id":"ITEM-1","itemData":{"DOI":"10.1056/nejmoa2119451","ISSN":"0028-4793","abstract":"Abstract Background A rapid increase in coronavirus disease 2019 (Covid-19) cases due to the omicron (B.1.1.529) variant of severe acute respiratory syndrome coronavirus 2 in highly vaccinated popu...","author":[{"dropping-particle":"","family":"Andrews","given":"Nick","non-dropping-particle":"","parse-names":false,"suffix":""},{"dropping-particle":"","family":"Stowe","given":"Julia","non-dropping-particle":"","parse-names":false,"suffix":""},{"dropping-particle":"","family":"Kirsebom","given":"Freja","non-dropping-particle":"","parse-names":false,"suffix":""},{"dropping-particle":"","family":"Toffa","given":"Samuel","non-dropping-particle":"","parse-names":false,"suffix":""},{"dropping-particle":"","family":"Rickeard","given":"Tim","non-dropping-particle":"","parse-names":false,"suffix":""},{"dropping-particle":"","family":"Gallagher","given":"Eileen","non-dropping-particle":"","parse-names":false,"suffix":""},{"dropping-particle":"","family":"Gower","given":"Charlotte","non-dropping-particle":"","parse-names":false,"suffix":""},{"dropping-particle":"","family":"Kall","given":"Meaghan","non-dropping-particle":"","parse-names":false,"suffix":""},{"dropping-particle":"","family":"Groves","given":"Natalie","non-dropping-particle":"","parse-names":false,"suffix":""},{"dropping-particle":"","family":"O’Connell","given":"Anne-Marie","non-dropping-particle":"","parse-names":false,"suffix":""},{"dropping-particle":"","family":"Simons","given":"David","non-dropping-particle":"","parse-names":false,"suffix":""},{"dropping-particle":"","family":"Blomquist","given":"Paula B.","non-dropping-particle":"","parse-names":false,"suffix":""},{"dropping-particle":"","family":"Zaidi","given":"Asad","non-dropping-particle":"","parse-names":false,"suffix":""},{"dropping-particle":"","family":"Nash","given":"Sophie","non-dropping-particle":"","parse-names":false,"suffix":""},{"dropping-particle":"","family":"Iwani Binti Abdul Aziz","given":"Nurin","non-dropping-particle":"","parse-names":false,"suffix":""},{"dropping-particle":"","family":"Thelwall","given":"Simon","non-dropping-particle":"","parse-names":false,"suffix":""},{"dropping-particle":"","family":"Dabrera","given":"Gavin","non-dropping-particle":"","parse-names":false,"suffix":""},{"dropping-particle":"","family":"Myers","given":"Richard","non-dropping-particle":"","parse-names":false,"suffix":""},{"dropping-particle":"","family":"Amirthalingam","given":"Gayatri","non-dropping-particle":"","parse-names":false,"suffix":""},{"dropping-particle":"","family":"Gharbia","given":"Saheer","non-dropping-particle":"","parse-names":false,"suffix":""},{"dropping-particle":"","family":"Barrett","given":"Jeffrey C.","non-dropping-particle":"","parse-names":false,"suffix":""},{"dropping-particle":"","family":"Elson","given":"Richard","non-dropping-particle":"","parse-names":false,"suffix":""},{"dropping-particle":"","family":"Ladhani","given":"Shamez N.","non-dropping-particle":"","parse-names":false,"suffix":""},{"dropping-particle":"","family":"Ferguson","given":"Neil","non-dropping-particle":"","parse-names":false,"suffix":""},{"dropping-particle":"","family":"Zambon","given":"Maria","non-dropping-particle":"","parse-names":false,"suffix":""},{"dropping-particle":"","family":"Campbell","given":"Colin N.J.","non-dropping-particle":"","parse-names":false,"suffix":""},{"dropping-particle":"","family":"Brown","given":"Kevin","non-dropping-particle":"","parse-names":false,"suffix":""},{"dropping-particle":"","family":"Hopkins","given":"Susan","non-dropping-particle":"","parse-names":false,"suffix":""},{"dropping-particle":"","family":"Chand","given":"Meera","non-dropping-particle":"","parse-names":false,"suffix":""},{"dropping-particle":"","family":"Ramsay","given":"Mary","non-dropping-particle":"","parse-names":false,"suffix":""},{"dropping-particle":"","family":"Lopez Bernal","given":"Jamie","non-dropping-particle":"","parse-names":false,"suffix":""}],"container-title":"New England Journal of Medicine","id":"ITEM-1","issued":{"date-parts":[["2022"]]},"page":"1-15","title":"Covid-19 Vaccine Effectiveness against the Omicron (B.1.1.529) Variant","type":"article-journal"},"uris":["http://www.mendeley.com/documents/?uuid=8429a830-db9c-4a39-a50f-beeadc291ac9"]}],"mendeley":{"formattedCitation":"(Andrews et al., 2022)","plainTextFormattedCitation":"(Andrews et al., 2022)","previouslyFormattedCitation":"(Andrews et al., 2022)"},"properties":{"noteIndex":0},"schema":"https://github.com/citation-style-language/schema/raw/master/csl-citation.json"}</w:instrText>
      </w:r>
      <w:r w:rsidRPr="00714775">
        <w:rPr>
          <w:rFonts w:ascii="Times New Roman" w:hAnsi="Times New Roman" w:cs="Times New Roman"/>
          <w:sz w:val="24"/>
          <w:szCs w:val="24"/>
          <w:lang w:val="en-US"/>
        </w:rPr>
        <w:fldChar w:fldCharType="separate"/>
      </w:r>
      <w:r w:rsidRPr="00714775">
        <w:rPr>
          <w:rFonts w:ascii="Times New Roman" w:hAnsi="Times New Roman" w:cs="Times New Roman"/>
          <w:sz w:val="24"/>
          <w:szCs w:val="24"/>
          <w:lang w:val="en-US"/>
        </w:rPr>
        <w:t>(Andrews et al., 2022)</w:t>
      </w:r>
      <w:r w:rsidRPr="00714775">
        <w:rPr>
          <w:rFonts w:ascii="Times New Roman" w:hAnsi="Times New Roman" w:cs="Times New Roman"/>
          <w:sz w:val="24"/>
          <w:szCs w:val="24"/>
          <w:lang w:val="en-US"/>
        </w:rPr>
        <w:fldChar w:fldCharType="end"/>
      </w:r>
      <w:r w:rsidRPr="00714775">
        <w:rPr>
          <w:rFonts w:ascii="Times New Roman" w:hAnsi="Times New Roman" w:cs="Times New Roman"/>
          <w:sz w:val="24"/>
          <w:szCs w:val="24"/>
          <w:lang w:val="en-US"/>
        </w:rPr>
        <w:t xml:space="preserve">. </w:t>
      </w:r>
    </w:p>
    <w:p w14:paraId="5CEC78C5" w14:textId="5EB83749" w:rsidR="008F7C66" w:rsidRPr="00714775" w:rsidRDefault="008F7C66" w:rsidP="00715AEE">
      <w:pPr>
        <w:jc w:val="left"/>
        <w:rPr>
          <w:rFonts w:ascii="Times New Roman" w:hAnsi="Times New Roman" w:cs="Times New Roman"/>
          <w:b/>
          <w:bCs/>
          <w:sz w:val="24"/>
          <w:szCs w:val="28"/>
          <w:lang w:val="en-US"/>
        </w:rPr>
      </w:pPr>
      <w:r w:rsidRPr="00714775">
        <w:rPr>
          <w:rFonts w:ascii="Times New Roman" w:hAnsi="Times New Roman" w:cs="Times New Roman"/>
          <w:b/>
          <w:bCs/>
          <w:sz w:val="24"/>
          <w:szCs w:val="24"/>
          <w:lang w:val="en-US"/>
        </w:rPr>
        <w:br w:type="page"/>
      </w:r>
    </w:p>
    <w:p w14:paraId="0672D1F8" w14:textId="67022626" w:rsidR="00437C71" w:rsidRDefault="00437C71" w:rsidP="00715AEE">
      <w:pPr>
        <w:jc w:val="left"/>
        <w:rPr>
          <w:rFonts w:ascii="Times New Roman" w:hAnsi="Times New Roman" w:cs="Times New Roman"/>
          <w:sz w:val="24"/>
          <w:szCs w:val="24"/>
          <w:lang w:val="en-US"/>
        </w:rPr>
      </w:pPr>
      <w:r w:rsidRPr="00C267A6">
        <w:rPr>
          <w:noProof/>
          <w:lang w:val="en-US" w:eastAsia="en-US"/>
        </w:rPr>
        <w:lastRenderedPageBreak/>
        <w:drawing>
          <wp:inline distT="0" distB="0" distL="0" distR="0" wp14:anchorId="1CEA030F" wp14:editId="4ED8EFEF">
            <wp:extent cx="5400040" cy="3599815"/>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587E652E" w14:textId="5D53C0DB" w:rsidR="00714775" w:rsidRPr="00714775" w:rsidRDefault="00714775" w:rsidP="00715AEE">
      <w:pPr>
        <w:jc w:val="left"/>
        <w:rPr>
          <w:rFonts w:ascii="Times New Roman" w:hAnsi="Times New Roman" w:cs="Times New Roman"/>
          <w:sz w:val="24"/>
          <w:szCs w:val="24"/>
          <w:lang w:val="en-US"/>
        </w:rPr>
      </w:pPr>
      <w:r w:rsidRPr="00714775">
        <w:rPr>
          <w:rFonts w:ascii="Times New Roman" w:hAnsi="Times New Roman" w:cs="Times New Roman"/>
          <w:b/>
          <w:bCs/>
          <w:sz w:val="24"/>
          <w:szCs w:val="24"/>
          <w:lang w:val="en-US"/>
        </w:rPr>
        <w:t>Figure S4.</w:t>
      </w:r>
      <w:r w:rsidRPr="00714775">
        <w:rPr>
          <w:rFonts w:ascii="Times New Roman" w:hAnsi="Times New Roman" w:cs="Times New Roman"/>
          <w:sz w:val="24"/>
          <w:szCs w:val="24"/>
          <w:lang w:val="en-US"/>
        </w:rPr>
        <w:t xml:space="preserve"> </w:t>
      </w:r>
      <w:r w:rsidRPr="00714775">
        <w:rPr>
          <w:rFonts w:ascii="Times New Roman" w:hAnsi="Times New Roman" w:cs="Times New Roman"/>
          <w:b/>
          <w:bCs/>
          <w:sz w:val="24"/>
          <w:szCs w:val="28"/>
          <w:lang w:val="en-US"/>
        </w:rPr>
        <w:t xml:space="preserve">Age-specific proportion </w:t>
      </w:r>
      <w:r>
        <w:rPr>
          <w:rFonts w:ascii="Times New Roman" w:hAnsi="Times New Roman" w:cs="Times New Roman"/>
          <w:b/>
          <w:bCs/>
          <w:sz w:val="24"/>
          <w:szCs w:val="28"/>
          <w:lang w:val="en-US"/>
        </w:rPr>
        <w:t xml:space="preserve">of the population that is </w:t>
      </w:r>
      <w:r w:rsidRPr="00714775">
        <w:rPr>
          <w:rFonts w:ascii="Times New Roman" w:hAnsi="Times New Roman" w:cs="Times New Roman"/>
          <w:b/>
          <w:bCs/>
          <w:sz w:val="24"/>
          <w:szCs w:val="28"/>
          <w:lang w:val="en-US"/>
        </w:rPr>
        <w:t>immune to symptomatic infection with the Delta variant, February 17, 2021–August 1, 2022.</w:t>
      </w:r>
    </w:p>
    <w:p w14:paraId="482239F1" w14:textId="50B993B6" w:rsidR="00EF6BC6" w:rsidRPr="00075161" w:rsidRDefault="00B80E42" w:rsidP="00715AEE">
      <w:pPr>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(A–F) </w:t>
      </w:r>
      <w:r w:rsidR="00EF6BC6" w:rsidRPr="00075161">
        <w:rPr>
          <w:rFonts w:ascii="Times New Roman" w:hAnsi="Times New Roman" w:cs="Times New Roman"/>
          <w:sz w:val="24"/>
          <w:szCs w:val="24"/>
          <w:lang w:val="en-US"/>
        </w:rPr>
        <w:t>The lines show the time-dependent proportion</w:t>
      </w:r>
      <w:r w:rsidR="00EF6BC6" w:rsidRPr="0071477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the population that is </w:t>
      </w:r>
      <w:r w:rsidR="00EF6BC6" w:rsidRPr="00714775">
        <w:rPr>
          <w:rFonts w:ascii="Times New Roman" w:hAnsi="Times New Roman" w:cs="Times New Roman"/>
          <w:sz w:val="24"/>
          <w:szCs w:val="24"/>
          <w:lang w:val="en-US"/>
        </w:rPr>
        <w:t>immune to symptomatic infection with the Delta variant among</w:t>
      </w:r>
      <w:r w:rsidR="00715AEE" w:rsidRPr="00714775">
        <w:rPr>
          <w:rFonts w:ascii="Times New Roman" w:hAnsi="Times New Roman" w:cs="Times New Roman"/>
          <w:sz w:val="24"/>
          <w:szCs w:val="24"/>
          <w:lang w:val="en-US"/>
        </w:rPr>
        <w:t xml:space="preserve"> people aged from</w:t>
      </w:r>
      <w:r w:rsidR="00EF6BC6" w:rsidRPr="00714775">
        <w:rPr>
          <w:rFonts w:ascii="Times New Roman" w:hAnsi="Times New Roman" w:cs="Times New Roman"/>
          <w:sz w:val="24"/>
          <w:szCs w:val="24"/>
          <w:lang w:val="en-US"/>
        </w:rPr>
        <w:t xml:space="preserve"> 20–29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(A)</w:t>
      </w:r>
      <w:r w:rsidR="00EF6BC6" w:rsidRPr="00714775">
        <w:rPr>
          <w:rFonts w:ascii="Times New Roman" w:hAnsi="Times New Roman" w:cs="Times New Roman"/>
          <w:sz w:val="24"/>
          <w:szCs w:val="24"/>
          <w:lang w:val="en-US"/>
        </w:rPr>
        <w:t>, 30–39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(B)</w:t>
      </w:r>
      <w:r w:rsidR="00EF6BC6" w:rsidRPr="00714775">
        <w:rPr>
          <w:rFonts w:ascii="Times New Roman" w:hAnsi="Times New Roman" w:cs="Times New Roman"/>
          <w:sz w:val="24"/>
          <w:szCs w:val="24"/>
          <w:lang w:val="en-US"/>
        </w:rPr>
        <w:t>, 40–49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(C)</w:t>
      </w:r>
      <w:r w:rsidR="00EF6BC6" w:rsidRPr="00714775">
        <w:rPr>
          <w:rFonts w:ascii="Times New Roman" w:hAnsi="Times New Roman" w:cs="Times New Roman"/>
          <w:sz w:val="24"/>
          <w:szCs w:val="24"/>
          <w:lang w:val="en-US"/>
        </w:rPr>
        <w:t>, 50–59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(D)</w:t>
      </w:r>
      <w:r w:rsidR="00EF6BC6" w:rsidRPr="00714775">
        <w:rPr>
          <w:rFonts w:ascii="Times New Roman" w:hAnsi="Times New Roman" w:cs="Times New Roman"/>
          <w:sz w:val="24"/>
          <w:szCs w:val="24"/>
          <w:lang w:val="en-US"/>
        </w:rPr>
        <w:t>, 60–69</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(E)</w:t>
      </w:r>
      <w:r w:rsidR="00EF6BC6" w:rsidRPr="00714775">
        <w:rPr>
          <w:rFonts w:ascii="Times New Roman" w:hAnsi="Times New Roman" w:cs="Times New Roman"/>
          <w:sz w:val="24"/>
          <w:szCs w:val="24"/>
          <w:lang w:val="en-US"/>
        </w:rPr>
        <w:t>, and ≥70</w:t>
      </w:r>
      <w:r>
        <w:rPr>
          <w:rFonts w:ascii="Times New Roman" w:hAnsi="Times New Roman" w:cs="Times New Roman"/>
          <w:sz w:val="24"/>
          <w:szCs w:val="24"/>
          <w:lang w:val="en-US"/>
        </w:rPr>
        <w:t xml:space="preserve"> </w:t>
      </w:r>
      <w:r w:rsidRPr="00572FBC">
        <w:rPr>
          <w:rFonts w:ascii="Times New Roman" w:hAnsi="Times New Roman" w:cs="Times New Roman"/>
          <w:sz w:val="24"/>
          <w:szCs w:val="24"/>
          <w:lang w:val="en-US"/>
        </w:rPr>
        <w:t>(F)</w:t>
      </w:r>
      <w:r w:rsidR="00EF6BC6" w:rsidRPr="00714775">
        <w:rPr>
          <w:rFonts w:ascii="Times New Roman" w:hAnsi="Times New Roman" w:cs="Times New Roman"/>
          <w:sz w:val="24"/>
          <w:szCs w:val="24"/>
          <w:lang w:val="en-US"/>
        </w:rPr>
        <w:t xml:space="preserve"> years, and </w:t>
      </w:r>
      <w:r>
        <w:rPr>
          <w:rFonts w:ascii="Times New Roman" w:hAnsi="Times New Roman" w:cs="Times New Roman"/>
          <w:sz w:val="24"/>
          <w:szCs w:val="24"/>
          <w:lang w:val="en-US"/>
        </w:rPr>
        <w:t xml:space="preserve">the </w:t>
      </w:r>
      <w:r w:rsidR="00EF6BC6" w:rsidRPr="00075161">
        <w:rPr>
          <w:rFonts w:ascii="Times New Roman" w:hAnsi="Times New Roman" w:cs="Times New Roman"/>
          <w:sz w:val="24"/>
          <w:szCs w:val="24"/>
          <w:lang w:val="en-US"/>
        </w:rPr>
        <w:t xml:space="preserve">shaded areas are their 95% </w:t>
      </w:r>
      <w:r w:rsidR="00715AEE" w:rsidRPr="00075161">
        <w:rPr>
          <w:rFonts w:ascii="Times New Roman" w:hAnsi="Times New Roman" w:cs="Times New Roman"/>
          <w:sz w:val="24"/>
          <w:szCs w:val="24"/>
          <w:lang w:val="en-US"/>
        </w:rPr>
        <w:t>confidence intervals (</w:t>
      </w:r>
      <w:r w:rsidR="000314F2" w:rsidRPr="00075161">
        <w:rPr>
          <w:rFonts w:ascii="Times New Roman" w:hAnsi="Times New Roman" w:cs="Times New Roman"/>
          <w:sz w:val="24"/>
          <w:szCs w:val="24"/>
          <w:lang w:val="en-US"/>
        </w:rPr>
        <w:t>CI</w:t>
      </w:r>
      <w:r w:rsidR="00EF6BC6" w:rsidRPr="00075161">
        <w:rPr>
          <w:rFonts w:ascii="Times New Roman" w:hAnsi="Times New Roman" w:cs="Times New Roman"/>
          <w:sz w:val="24"/>
          <w:szCs w:val="24"/>
          <w:lang w:val="en-US"/>
        </w:rPr>
        <w:t>s</w:t>
      </w:r>
      <w:r w:rsidR="00715AEE" w:rsidRPr="00075161">
        <w:rPr>
          <w:rFonts w:ascii="Times New Roman" w:hAnsi="Times New Roman" w:cs="Times New Roman"/>
          <w:sz w:val="24"/>
          <w:szCs w:val="24"/>
          <w:lang w:val="en-US"/>
        </w:rPr>
        <w:t>)</w:t>
      </w:r>
      <w:r>
        <w:rPr>
          <w:rFonts w:ascii="Times New Roman" w:hAnsi="Times New Roman" w:cs="Times New Roman"/>
          <w:sz w:val="24"/>
          <w:szCs w:val="24"/>
          <w:lang w:val="en-US"/>
        </w:rPr>
        <w:t>,</w:t>
      </w:r>
      <w:r w:rsidR="00EF6BC6" w:rsidRPr="00075161">
        <w:rPr>
          <w:rFonts w:ascii="Times New Roman" w:hAnsi="Times New Roman" w:cs="Times New Roman"/>
          <w:sz w:val="24"/>
          <w:szCs w:val="24"/>
          <w:lang w:val="en-US"/>
        </w:rPr>
        <w:t xml:space="preserve"> computed via</w:t>
      </w:r>
      <w:r>
        <w:rPr>
          <w:rFonts w:ascii="Times New Roman" w:hAnsi="Times New Roman" w:cs="Times New Roman"/>
          <w:sz w:val="24"/>
          <w:szCs w:val="24"/>
          <w:lang w:val="en-US"/>
        </w:rPr>
        <w:t xml:space="preserve"> the</w:t>
      </w:r>
      <w:r w:rsidR="00EF6BC6" w:rsidRPr="00075161">
        <w:rPr>
          <w:rFonts w:ascii="Times New Roman" w:hAnsi="Times New Roman" w:cs="Times New Roman"/>
          <w:sz w:val="24"/>
          <w:szCs w:val="24"/>
          <w:lang w:val="en-US"/>
        </w:rPr>
        <w:t xml:space="preserve"> bootstrapping method. The red lines </w:t>
      </w:r>
      <w:r>
        <w:rPr>
          <w:rFonts w:ascii="Times New Roman" w:hAnsi="Times New Roman" w:cs="Times New Roman"/>
          <w:sz w:val="24"/>
          <w:szCs w:val="24"/>
          <w:lang w:val="en-US"/>
        </w:rPr>
        <w:t>reflect the scenarios in which</w:t>
      </w:r>
      <w:r w:rsidR="00EF6BC6" w:rsidRPr="00075161">
        <w:rPr>
          <w:rFonts w:ascii="Times New Roman" w:hAnsi="Times New Roman" w:cs="Times New Roman"/>
          <w:sz w:val="24"/>
          <w:szCs w:val="24"/>
          <w:lang w:val="en-US"/>
        </w:rPr>
        <w:t xml:space="preserve"> the immunity from natural infection as well as </w:t>
      </w:r>
      <w:r>
        <w:rPr>
          <w:rFonts w:ascii="Times New Roman" w:hAnsi="Times New Roman" w:cs="Times New Roman"/>
          <w:sz w:val="24"/>
          <w:szCs w:val="24"/>
          <w:lang w:val="en-US"/>
        </w:rPr>
        <w:t xml:space="preserve">the immunity from the </w:t>
      </w:r>
      <w:r w:rsidR="00EF6BC6" w:rsidRPr="00075161">
        <w:rPr>
          <w:rFonts w:ascii="Times New Roman" w:hAnsi="Times New Roman" w:cs="Times New Roman"/>
          <w:sz w:val="24"/>
          <w:szCs w:val="24"/>
          <w:lang w:val="en-US"/>
        </w:rPr>
        <w:t xml:space="preserve">second and third </w:t>
      </w:r>
      <w:r>
        <w:rPr>
          <w:rFonts w:ascii="Times New Roman" w:hAnsi="Times New Roman" w:cs="Times New Roman"/>
          <w:sz w:val="24"/>
          <w:szCs w:val="24"/>
          <w:lang w:val="en-US"/>
        </w:rPr>
        <w:t xml:space="preserve">vaccine </w:t>
      </w:r>
      <w:r w:rsidR="00EF6BC6" w:rsidRPr="00075161">
        <w:rPr>
          <w:rFonts w:ascii="Times New Roman" w:hAnsi="Times New Roman" w:cs="Times New Roman"/>
          <w:sz w:val="24"/>
          <w:szCs w:val="24"/>
          <w:lang w:val="en-US"/>
        </w:rPr>
        <w:t>dose</w:t>
      </w:r>
      <w:r>
        <w:rPr>
          <w:rFonts w:ascii="Times New Roman" w:hAnsi="Times New Roman" w:cs="Times New Roman"/>
          <w:sz w:val="24"/>
          <w:szCs w:val="24"/>
          <w:lang w:val="en-US"/>
        </w:rPr>
        <w:t>s are considered</w:t>
      </w:r>
      <w:r w:rsidR="00EF6BC6" w:rsidRPr="00075161">
        <w:rPr>
          <w:rFonts w:ascii="Times New Roman" w:hAnsi="Times New Roman" w:cs="Times New Roman"/>
          <w:sz w:val="24"/>
          <w:szCs w:val="24"/>
          <w:lang w:val="en-US"/>
        </w:rPr>
        <w:t xml:space="preserve">, whereas the light blue lines reflect the </w:t>
      </w:r>
      <w:r>
        <w:rPr>
          <w:rFonts w:ascii="Times New Roman" w:hAnsi="Times New Roman" w:cs="Times New Roman"/>
          <w:sz w:val="24"/>
          <w:szCs w:val="24"/>
          <w:lang w:val="en-US"/>
        </w:rPr>
        <w:t xml:space="preserve">scenarios in which only the </w:t>
      </w:r>
      <w:r w:rsidR="00EF6BC6" w:rsidRPr="00075161">
        <w:rPr>
          <w:rFonts w:ascii="Times New Roman" w:hAnsi="Times New Roman" w:cs="Times New Roman"/>
          <w:sz w:val="24"/>
          <w:szCs w:val="24"/>
          <w:lang w:val="en-US"/>
        </w:rPr>
        <w:t xml:space="preserve">immunity from </w:t>
      </w:r>
      <w:r>
        <w:rPr>
          <w:rFonts w:ascii="Times New Roman" w:hAnsi="Times New Roman" w:cs="Times New Roman"/>
          <w:sz w:val="24"/>
          <w:szCs w:val="24"/>
          <w:lang w:val="en-US"/>
        </w:rPr>
        <w:t xml:space="preserve">the </w:t>
      </w:r>
      <w:r w:rsidR="00EF6BC6" w:rsidRPr="00075161">
        <w:rPr>
          <w:rFonts w:ascii="Times New Roman" w:hAnsi="Times New Roman" w:cs="Times New Roman"/>
          <w:sz w:val="24"/>
          <w:szCs w:val="24"/>
          <w:lang w:val="en-US"/>
        </w:rPr>
        <w:t xml:space="preserve">second and third </w:t>
      </w:r>
      <w:r>
        <w:rPr>
          <w:rFonts w:ascii="Times New Roman" w:hAnsi="Times New Roman" w:cs="Times New Roman"/>
          <w:sz w:val="24"/>
          <w:szCs w:val="24"/>
          <w:lang w:val="en-US"/>
        </w:rPr>
        <w:t xml:space="preserve">vaccine </w:t>
      </w:r>
      <w:r w:rsidR="00EF6BC6" w:rsidRPr="00075161">
        <w:rPr>
          <w:rFonts w:ascii="Times New Roman" w:hAnsi="Times New Roman" w:cs="Times New Roman"/>
          <w:sz w:val="24"/>
          <w:szCs w:val="24"/>
          <w:lang w:val="en-US"/>
        </w:rPr>
        <w:t>dose</w:t>
      </w:r>
      <w:r>
        <w:rPr>
          <w:rFonts w:ascii="Times New Roman" w:hAnsi="Times New Roman" w:cs="Times New Roman"/>
          <w:sz w:val="24"/>
          <w:szCs w:val="24"/>
          <w:lang w:val="en-US"/>
        </w:rPr>
        <w:t xml:space="preserve">s is </w:t>
      </w:r>
      <w:proofErr w:type="gramStart"/>
      <w:r>
        <w:rPr>
          <w:rFonts w:ascii="Times New Roman" w:hAnsi="Times New Roman" w:cs="Times New Roman"/>
          <w:sz w:val="24"/>
          <w:szCs w:val="24"/>
          <w:lang w:val="en-US"/>
        </w:rPr>
        <w:t>taken into account</w:t>
      </w:r>
      <w:proofErr w:type="gramEnd"/>
      <w:r w:rsidR="00EF6BC6" w:rsidRPr="00075161">
        <w:rPr>
          <w:rFonts w:ascii="Times New Roman" w:hAnsi="Times New Roman" w:cs="Times New Roman"/>
          <w:sz w:val="24"/>
          <w:szCs w:val="24"/>
          <w:lang w:val="en-US"/>
        </w:rPr>
        <w:t>.</w:t>
      </w:r>
    </w:p>
    <w:p w14:paraId="5201D8AA" w14:textId="77777777" w:rsidR="00E07202" w:rsidRPr="00075161" w:rsidRDefault="00E07202" w:rsidP="00715AEE">
      <w:pPr>
        <w:jc w:val="left"/>
        <w:rPr>
          <w:rFonts w:ascii="Times New Roman" w:hAnsi="Times New Roman" w:cs="Times New Roman"/>
          <w:b/>
          <w:bCs/>
          <w:sz w:val="24"/>
          <w:szCs w:val="24"/>
          <w:lang w:val="en-US"/>
        </w:rPr>
      </w:pPr>
    </w:p>
    <w:p w14:paraId="6499F957" w14:textId="77777777" w:rsidR="008026E8" w:rsidRDefault="008026E8">
      <w:pPr>
        <w:widowControl/>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3823224" w14:textId="5C2DD039" w:rsidR="00EF6BC6" w:rsidRPr="00075161" w:rsidRDefault="00EF6BC6" w:rsidP="00715AEE">
      <w:pPr>
        <w:jc w:val="left"/>
        <w:rPr>
          <w:rFonts w:ascii="Times New Roman" w:hAnsi="Times New Roman" w:cs="Times New Roman"/>
          <w:b/>
          <w:bCs/>
          <w:sz w:val="24"/>
          <w:szCs w:val="28"/>
          <w:lang w:val="en-US"/>
        </w:rPr>
      </w:pPr>
      <w:r w:rsidRPr="00075161">
        <w:rPr>
          <w:rFonts w:ascii="Times New Roman" w:hAnsi="Times New Roman" w:cs="Times New Roman"/>
          <w:b/>
          <w:bCs/>
          <w:sz w:val="24"/>
          <w:szCs w:val="24"/>
          <w:lang w:val="en-US"/>
        </w:rPr>
        <w:lastRenderedPageBreak/>
        <w:t xml:space="preserve">Table S3. </w:t>
      </w:r>
      <w:r w:rsidRPr="00075161">
        <w:rPr>
          <w:rFonts w:ascii="Times New Roman" w:hAnsi="Times New Roman" w:cs="Times New Roman"/>
          <w:b/>
          <w:bCs/>
          <w:sz w:val="24"/>
          <w:szCs w:val="28"/>
          <w:lang w:val="en-US"/>
        </w:rPr>
        <w:t>Age-specific proportion of individuals</w:t>
      </w:r>
      <w:r w:rsidR="00B80E42">
        <w:rPr>
          <w:rFonts w:ascii="Times New Roman" w:hAnsi="Times New Roman" w:cs="Times New Roman"/>
          <w:b/>
          <w:bCs/>
          <w:sz w:val="24"/>
          <w:szCs w:val="28"/>
          <w:lang w:val="en-US"/>
        </w:rPr>
        <w:t xml:space="preserve"> </w:t>
      </w:r>
      <w:r w:rsidRPr="00075161">
        <w:rPr>
          <w:rFonts w:ascii="Times New Roman" w:hAnsi="Times New Roman" w:cs="Times New Roman"/>
          <w:b/>
          <w:bCs/>
          <w:sz w:val="24"/>
          <w:szCs w:val="28"/>
          <w:lang w:val="en-US"/>
        </w:rPr>
        <w:t xml:space="preserve">immune to symptomatic </w:t>
      </w:r>
      <w:r w:rsidR="00DC7703" w:rsidRPr="00075161">
        <w:rPr>
          <w:rFonts w:ascii="Times New Roman" w:hAnsi="Times New Roman" w:cs="Times New Roman"/>
          <w:b/>
          <w:bCs/>
          <w:sz w:val="24"/>
          <w:szCs w:val="28"/>
          <w:lang w:val="en-US"/>
        </w:rPr>
        <w:t>SARS-CoV-2</w:t>
      </w:r>
      <w:r w:rsidRPr="00075161">
        <w:rPr>
          <w:rFonts w:ascii="Times New Roman" w:hAnsi="Times New Roman" w:cs="Times New Roman"/>
          <w:b/>
          <w:bCs/>
          <w:sz w:val="24"/>
          <w:szCs w:val="28"/>
          <w:lang w:val="en-US"/>
        </w:rPr>
        <w:t xml:space="preserve"> infection </w:t>
      </w:r>
      <w:r w:rsidR="001534A0" w:rsidRPr="00075161">
        <w:rPr>
          <w:rFonts w:ascii="Times New Roman" w:hAnsi="Times New Roman" w:cs="Times New Roman"/>
          <w:b/>
          <w:bCs/>
          <w:sz w:val="24"/>
          <w:szCs w:val="28"/>
          <w:lang w:val="en-US"/>
        </w:rPr>
        <w:t>at the end of February</w:t>
      </w:r>
      <w:r w:rsidRPr="00075161">
        <w:rPr>
          <w:rFonts w:ascii="Times New Roman" w:hAnsi="Times New Roman" w:cs="Times New Roman"/>
          <w:b/>
          <w:bCs/>
          <w:sz w:val="24"/>
          <w:szCs w:val="28"/>
          <w:lang w:val="en-US"/>
        </w:rPr>
        <w:t xml:space="preserve"> 2022</w:t>
      </w:r>
      <w:r w:rsidR="007C2988">
        <w:rPr>
          <w:rFonts w:ascii="Times New Roman" w:hAnsi="Times New Roman" w:cs="Times New Roman"/>
          <w:b/>
          <w:bCs/>
          <w:sz w:val="24"/>
          <w:szCs w:val="28"/>
          <w:lang w:val="en-US"/>
        </w:rPr>
        <w:t>.</w:t>
      </w:r>
    </w:p>
    <w:p w14:paraId="64CA811E" w14:textId="38258FE9" w:rsidR="00EF6BC6" w:rsidRPr="00075161" w:rsidRDefault="001534A0"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 xml:space="preserve">The values in V and V + I represent the proportion of people immune to symptomatic infection with the Delta variant </w:t>
      </w:r>
      <w:r w:rsidR="00B80E42">
        <w:rPr>
          <w:rFonts w:ascii="Times New Roman" w:hAnsi="Times New Roman" w:cs="Times New Roman"/>
          <w:sz w:val="24"/>
          <w:szCs w:val="28"/>
          <w:lang w:val="en-US"/>
        </w:rPr>
        <w:t xml:space="preserve">when </w:t>
      </w:r>
      <w:r w:rsidRPr="00075161">
        <w:rPr>
          <w:rFonts w:ascii="Times New Roman" w:hAnsi="Times New Roman" w:cs="Times New Roman"/>
          <w:sz w:val="24"/>
          <w:szCs w:val="28"/>
          <w:lang w:val="en-US"/>
        </w:rPr>
        <w:t xml:space="preserve">considering immunity from solely </w:t>
      </w:r>
      <w:r w:rsidR="00B80E42">
        <w:rPr>
          <w:rFonts w:ascii="Times New Roman" w:hAnsi="Times New Roman" w:cs="Times New Roman"/>
          <w:sz w:val="24"/>
          <w:szCs w:val="28"/>
          <w:lang w:val="en-US"/>
        </w:rPr>
        <w:t xml:space="preserve">the </w:t>
      </w:r>
      <w:r w:rsidRPr="00075161">
        <w:rPr>
          <w:rFonts w:ascii="Times New Roman" w:hAnsi="Times New Roman" w:cs="Times New Roman"/>
          <w:sz w:val="24"/>
          <w:szCs w:val="28"/>
          <w:lang w:val="en-US"/>
        </w:rPr>
        <w:t xml:space="preserve">second </w:t>
      </w:r>
      <w:r w:rsidR="00B80E42">
        <w:rPr>
          <w:rFonts w:ascii="Times New Roman" w:hAnsi="Times New Roman" w:cs="Times New Roman"/>
          <w:sz w:val="24"/>
          <w:szCs w:val="28"/>
          <w:lang w:val="en-US"/>
        </w:rPr>
        <w:t xml:space="preserve">vaccine </w:t>
      </w:r>
      <w:r w:rsidRPr="00075161">
        <w:rPr>
          <w:rFonts w:ascii="Times New Roman" w:hAnsi="Times New Roman" w:cs="Times New Roman"/>
          <w:sz w:val="24"/>
          <w:szCs w:val="28"/>
          <w:lang w:val="en-US"/>
        </w:rPr>
        <w:t xml:space="preserve">dose and </w:t>
      </w:r>
      <w:r w:rsidR="00B80E42">
        <w:rPr>
          <w:rFonts w:ascii="Times New Roman" w:hAnsi="Times New Roman" w:cs="Times New Roman"/>
          <w:sz w:val="24"/>
          <w:szCs w:val="28"/>
          <w:lang w:val="en-US"/>
        </w:rPr>
        <w:t xml:space="preserve">when considering </w:t>
      </w:r>
      <w:r w:rsidRPr="00075161">
        <w:rPr>
          <w:rFonts w:ascii="Times New Roman" w:hAnsi="Times New Roman" w:cs="Times New Roman"/>
          <w:sz w:val="24"/>
          <w:szCs w:val="28"/>
          <w:lang w:val="en-US"/>
        </w:rPr>
        <w:t>immunity from both vaccination and natural infection, respectively</w:t>
      </w:r>
      <w:r w:rsidR="00EF6BC6" w:rsidRPr="00075161">
        <w:rPr>
          <w:rFonts w:ascii="Times New Roman" w:hAnsi="Times New Roman" w:cs="Times New Roman"/>
          <w:sz w:val="24"/>
          <w:szCs w:val="28"/>
          <w:lang w:val="en-US"/>
        </w:rPr>
        <w:t>.</w:t>
      </w:r>
      <w:r w:rsidR="00715AEE" w:rsidRPr="00075161">
        <w:rPr>
          <w:rFonts w:ascii="Times New Roman" w:hAnsi="Times New Roman" w:cs="Times New Roman"/>
          <w:sz w:val="24"/>
          <w:szCs w:val="28"/>
          <w:lang w:val="en-US"/>
        </w:rPr>
        <w:t xml:space="preserve"> </w:t>
      </w:r>
      <w:r w:rsidR="00B80E42">
        <w:rPr>
          <w:rFonts w:ascii="Times New Roman" w:hAnsi="Times New Roman" w:cs="Times New Roman"/>
          <w:sz w:val="24"/>
          <w:szCs w:val="28"/>
          <w:lang w:val="en-US"/>
        </w:rPr>
        <w:t>The n</w:t>
      </w:r>
      <w:r w:rsidR="00715AEE" w:rsidRPr="00075161">
        <w:rPr>
          <w:rFonts w:ascii="Times New Roman" w:hAnsi="Times New Roman" w:cs="Times New Roman"/>
          <w:sz w:val="24"/>
          <w:szCs w:val="28"/>
          <w:lang w:val="en-US"/>
        </w:rPr>
        <w:t>umbers in parenthes</w:t>
      </w:r>
      <w:r w:rsidR="00B80E42">
        <w:rPr>
          <w:rFonts w:ascii="Times New Roman" w:hAnsi="Times New Roman" w:cs="Times New Roman"/>
          <w:sz w:val="24"/>
          <w:szCs w:val="28"/>
          <w:lang w:val="en-US"/>
        </w:rPr>
        <w:t>es</w:t>
      </w:r>
      <w:r w:rsidR="00715AEE" w:rsidRPr="00075161">
        <w:rPr>
          <w:rFonts w:ascii="Times New Roman" w:hAnsi="Times New Roman" w:cs="Times New Roman"/>
          <w:sz w:val="24"/>
          <w:szCs w:val="28"/>
          <w:lang w:val="en-US"/>
        </w:rPr>
        <w:t xml:space="preserve"> show the 95% confidence intervals as computed by</w:t>
      </w:r>
      <w:r w:rsidR="00B80E42">
        <w:rPr>
          <w:rFonts w:ascii="Times New Roman" w:hAnsi="Times New Roman" w:cs="Times New Roman"/>
          <w:sz w:val="24"/>
          <w:szCs w:val="28"/>
          <w:lang w:val="en-US"/>
        </w:rPr>
        <w:t xml:space="preserve"> the</w:t>
      </w:r>
      <w:r w:rsidR="00715AEE" w:rsidRPr="00075161">
        <w:rPr>
          <w:rFonts w:ascii="Times New Roman" w:hAnsi="Times New Roman" w:cs="Times New Roman"/>
          <w:sz w:val="24"/>
          <w:szCs w:val="28"/>
          <w:lang w:val="en-US"/>
        </w:rPr>
        <w:t xml:space="preserve"> parametric bootstrap method.</w:t>
      </w:r>
    </w:p>
    <w:p w14:paraId="22DC35DC" w14:textId="0172AC0D" w:rsidR="00075161" w:rsidRDefault="00075161" w:rsidP="00715AEE">
      <w:pPr>
        <w:jc w:val="left"/>
        <w:rPr>
          <w:rFonts w:ascii="Times New Roman" w:hAnsi="Times New Roman" w:cs="Times New Roman"/>
          <w:sz w:val="24"/>
          <w:szCs w:val="28"/>
          <w:lang w:val="en-US"/>
        </w:rPr>
      </w:pPr>
    </w:p>
    <w:p w14:paraId="273F2C8A" w14:textId="77777777" w:rsidR="00E01CDB" w:rsidRPr="00075161" w:rsidRDefault="00E01CDB" w:rsidP="00715AEE">
      <w:pPr>
        <w:jc w:val="left"/>
        <w:rPr>
          <w:rFonts w:ascii="Times New Roman" w:hAnsi="Times New Roman" w:cs="Times New Roman"/>
          <w:sz w:val="24"/>
          <w:szCs w:val="28"/>
          <w:lang w:val="en-US"/>
        </w:rPr>
      </w:pPr>
    </w:p>
    <w:tbl>
      <w:tblPr>
        <w:tblStyle w:val="a4"/>
        <w:tblW w:w="0" w:type="auto"/>
        <w:tblLook w:val="04A0" w:firstRow="1" w:lastRow="0" w:firstColumn="1" w:lastColumn="0" w:noHBand="0" w:noVBand="1"/>
      </w:tblPr>
      <w:tblGrid>
        <w:gridCol w:w="2831"/>
        <w:gridCol w:w="2831"/>
        <w:gridCol w:w="2832"/>
      </w:tblGrid>
      <w:tr w:rsidR="00357D8A" w:rsidRPr="007F01AC" w14:paraId="7EC3D2DC" w14:textId="77777777" w:rsidTr="00E22260">
        <w:tc>
          <w:tcPr>
            <w:tcW w:w="2831" w:type="dxa"/>
          </w:tcPr>
          <w:p w14:paraId="47C15A50" w14:textId="77777777" w:rsidR="00357D8A" w:rsidRPr="00075161" w:rsidRDefault="00357D8A" w:rsidP="00715AEE">
            <w:pPr>
              <w:jc w:val="left"/>
              <w:rPr>
                <w:rFonts w:ascii="Times New Roman" w:hAnsi="Times New Roman" w:cs="Times New Roman"/>
                <w:sz w:val="24"/>
                <w:szCs w:val="28"/>
                <w:lang w:val="en-US"/>
              </w:rPr>
            </w:pPr>
          </w:p>
        </w:tc>
        <w:tc>
          <w:tcPr>
            <w:tcW w:w="5663" w:type="dxa"/>
            <w:gridSpan w:val="2"/>
          </w:tcPr>
          <w:p w14:paraId="61BBDAC0" w14:textId="7F57772B"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2022/2/28</w:t>
            </w:r>
          </w:p>
        </w:tc>
      </w:tr>
      <w:tr w:rsidR="00357D8A" w:rsidRPr="007F01AC" w14:paraId="6CDAE323" w14:textId="77777777" w:rsidTr="00357D8A">
        <w:tc>
          <w:tcPr>
            <w:tcW w:w="2831" w:type="dxa"/>
          </w:tcPr>
          <w:p w14:paraId="397D3D54" w14:textId="0D7031FB"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Age group</w:t>
            </w:r>
          </w:p>
        </w:tc>
        <w:tc>
          <w:tcPr>
            <w:tcW w:w="2831" w:type="dxa"/>
          </w:tcPr>
          <w:p w14:paraId="14A69FA7" w14:textId="243A2E12"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V (95% CI)</w:t>
            </w:r>
          </w:p>
        </w:tc>
        <w:tc>
          <w:tcPr>
            <w:tcW w:w="2832" w:type="dxa"/>
          </w:tcPr>
          <w:p w14:paraId="57477EDE" w14:textId="670631BE"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V + I (95% CI)</w:t>
            </w:r>
          </w:p>
        </w:tc>
      </w:tr>
      <w:tr w:rsidR="00357D8A" w:rsidRPr="007F01AC" w14:paraId="1FC7FF1C" w14:textId="77777777" w:rsidTr="00357D8A">
        <w:tc>
          <w:tcPr>
            <w:tcW w:w="2831" w:type="dxa"/>
          </w:tcPr>
          <w:p w14:paraId="2448A369" w14:textId="484D13E2"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20</w:t>
            </w:r>
            <w:r w:rsidRPr="00075161">
              <w:rPr>
                <w:rFonts w:ascii="Times New Roman" w:hAnsi="Times New Roman"/>
                <w:sz w:val="24"/>
                <w:szCs w:val="24"/>
                <w:lang w:val="en-US"/>
              </w:rPr>
              <w:t>–29</w:t>
            </w:r>
          </w:p>
        </w:tc>
        <w:tc>
          <w:tcPr>
            <w:tcW w:w="2831" w:type="dxa"/>
          </w:tcPr>
          <w:p w14:paraId="11B1C9FD" w14:textId="6FDA4F3A"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53.8 (53.3</w:t>
            </w:r>
            <w:r w:rsidRPr="00075161">
              <w:rPr>
                <w:rFonts w:ascii="Times New Roman" w:hAnsi="Times New Roman"/>
                <w:sz w:val="24"/>
                <w:szCs w:val="24"/>
                <w:lang w:val="en-US"/>
              </w:rPr>
              <w:t>–</w:t>
            </w:r>
            <w:r w:rsidRPr="00075161">
              <w:rPr>
                <w:rFonts w:ascii="Times New Roman" w:hAnsi="Times New Roman" w:cs="Times New Roman"/>
                <w:sz w:val="24"/>
                <w:szCs w:val="28"/>
                <w:lang w:val="en-US"/>
              </w:rPr>
              <w:t>54.2)</w:t>
            </w:r>
          </w:p>
        </w:tc>
        <w:tc>
          <w:tcPr>
            <w:tcW w:w="2832" w:type="dxa"/>
          </w:tcPr>
          <w:p w14:paraId="6C9EB664" w14:textId="2EDB24A0"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76.2 (75.7</w:t>
            </w:r>
            <w:r w:rsidRPr="00075161">
              <w:rPr>
                <w:rFonts w:ascii="Times New Roman" w:hAnsi="Times New Roman"/>
                <w:sz w:val="24"/>
                <w:szCs w:val="24"/>
                <w:lang w:val="en-US"/>
              </w:rPr>
              <w:t>–</w:t>
            </w:r>
            <w:r w:rsidRPr="00075161">
              <w:rPr>
                <w:rFonts w:ascii="Times New Roman" w:hAnsi="Times New Roman" w:cs="Times New Roman"/>
                <w:sz w:val="24"/>
                <w:szCs w:val="28"/>
                <w:lang w:val="en-US"/>
              </w:rPr>
              <w:t>76.6)</w:t>
            </w:r>
          </w:p>
        </w:tc>
      </w:tr>
      <w:tr w:rsidR="00357D8A" w:rsidRPr="007F01AC" w14:paraId="73B716E0" w14:textId="77777777" w:rsidTr="00357D8A">
        <w:tc>
          <w:tcPr>
            <w:tcW w:w="2831" w:type="dxa"/>
          </w:tcPr>
          <w:p w14:paraId="5692947C" w14:textId="5000A156"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30</w:t>
            </w:r>
            <w:r w:rsidRPr="00075161">
              <w:rPr>
                <w:rFonts w:ascii="Times New Roman" w:hAnsi="Times New Roman"/>
                <w:sz w:val="24"/>
                <w:szCs w:val="24"/>
                <w:lang w:val="en-US"/>
              </w:rPr>
              <w:t>–39</w:t>
            </w:r>
          </w:p>
        </w:tc>
        <w:tc>
          <w:tcPr>
            <w:tcW w:w="2831" w:type="dxa"/>
          </w:tcPr>
          <w:p w14:paraId="5057458B" w14:textId="4E8BF298"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51.8 (51.3</w:t>
            </w:r>
            <w:r w:rsidRPr="00075161">
              <w:rPr>
                <w:rFonts w:ascii="Times New Roman" w:hAnsi="Times New Roman"/>
                <w:sz w:val="24"/>
                <w:szCs w:val="24"/>
                <w:lang w:val="en-US"/>
              </w:rPr>
              <w:t>–</w:t>
            </w:r>
            <w:r w:rsidRPr="00075161">
              <w:rPr>
                <w:rFonts w:ascii="Times New Roman" w:hAnsi="Times New Roman" w:cs="Times New Roman"/>
                <w:sz w:val="24"/>
                <w:szCs w:val="28"/>
                <w:lang w:val="en-US"/>
              </w:rPr>
              <w:t>52.2)</w:t>
            </w:r>
          </w:p>
        </w:tc>
        <w:tc>
          <w:tcPr>
            <w:tcW w:w="2832" w:type="dxa"/>
          </w:tcPr>
          <w:p w14:paraId="3F13BFEF" w14:textId="5B8842EE"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68.4 (67.9</w:t>
            </w:r>
            <w:r w:rsidRPr="00075161">
              <w:rPr>
                <w:rFonts w:ascii="Times New Roman" w:hAnsi="Times New Roman"/>
                <w:sz w:val="24"/>
                <w:szCs w:val="24"/>
                <w:lang w:val="en-US"/>
              </w:rPr>
              <w:t>–</w:t>
            </w:r>
            <w:r w:rsidRPr="00075161">
              <w:rPr>
                <w:rFonts w:ascii="Times New Roman" w:hAnsi="Times New Roman" w:cs="Times New Roman"/>
                <w:sz w:val="24"/>
                <w:szCs w:val="28"/>
                <w:lang w:val="en-US"/>
              </w:rPr>
              <w:t>68.8)</w:t>
            </w:r>
          </w:p>
        </w:tc>
      </w:tr>
      <w:tr w:rsidR="00357D8A" w:rsidRPr="007F01AC" w14:paraId="5713C0C3" w14:textId="77777777" w:rsidTr="00357D8A">
        <w:tc>
          <w:tcPr>
            <w:tcW w:w="2831" w:type="dxa"/>
          </w:tcPr>
          <w:p w14:paraId="51F59486" w14:textId="433A5116"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40</w:t>
            </w:r>
            <w:r w:rsidRPr="00075161">
              <w:rPr>
                <w:rFonts w:ascii="Times New Roman" w:hAnsi="Times New Roman"/>
                <w:sz w:val="24"/>
                <w:szCs w:val="24"/>
                <w:lang w:val="en-US"/>
              </w:rPr>
              <w:t>–49</w:t>
            </w:r>
          </w:p>
        </w:tc>
        <w:tc>
          <w:tcPr>
            <w:tcW w:w="2831" w:type="dxa"/>
          </w:tcPr>
          <w:p w14:paraId="554FA9FA" w14:textId="4C6330C4"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52.4 (51.9</w:t>
            </w:r>
            <w:r w:rsidRPr="00075161">
              <w:rPr>
                <w:rFonts w:ascii="Times New Roman" w:hAnsi="Times New Roman"/>
                <w:sz w:val="24"/>
                <w:szCs w:val="24"/>
                <w:lang w:val="en-US"/>
              </w:rPr>
              <w:t>–</w:t>
            </w:r>
            <w:r w:rsidRPr="00075161">
              <w:rPr>
                <w:rFonts w:ascii="Times New Roman" w:hAnsi="Times New Roman" w:cs="Times New Roman"/>
                <w:sz w:val="24"/>
                <w:szCs w:val="28"/>
                <w:lang w:val="en-US"/>
              </w:rPr>
              <w:t>52.8)</w:t>
            </w:r>
          </w:p>
        </w:tc>
        <w:tc>
          <w:tcPr>
            <w:tcW w:w="2832" w:type="dxa"/>
          </w:tcPr>
          <w:p w14:paraId="6C38B8BB" w14:textId="67E01549"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64.9 (64.4</w:t>
            </w:r>
            <w:r w:rsidRPr="00075161">
              <w:rPr>
                <w:rFonts w:ascii="Times New Roman" w:hAnsi="Times New Roman"/>
                <w:sz w:val="24"/>
                <w:szCs w:val="24"/>
                <w:lang w:val="en-US"/>
              </w:rPr>
              <w:t>–</w:t>
            </w:r>
            <w:r w:rsidRPr="00075161">
              <w:rPr>
                <w:rFonts w:ascii="Times New Roman" w:hAnsi="Times New Roman" w:cs="Times New Roman"/>
                <w:sz w:val="24"/>
                <w:szCs w:val="28"/>
                <w:lang w:val="en-US"/>
              </w:rPr>
              <w:t>65.4)</w:t>
            </w:r>
          </w:p>
        </w:tc>
      </w:tr>
      <w:tr w:rsidR="00357D8A" w:rsidRPr="007F01AC" w14:paraId="30CF45E8" w14:textId="77777777" w:rsidTr="00357D8A">
        <w:tc>
          <w:tcPr>
            <w:tcW w:w="2831" w:type="dxa"/>
          </w:tcPr>
          <w:p w14:paraId="2BD6E929" w14:textId="2F458199"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50</w:t>
            </w:r>
            <w:r w:rsidRPr="00075161">
              <w:rPr>
                <w:rFonts w:ascii="Times New Roman" w:hAnsi="Times New Roman"/>
                <w:sz w:val="24"/>
                <w:szCs w:val="24"/>
                <w:lang w:val="en-US"/>
              </w:rPr>
              <w:t>–59</w:t>
            </w:r>
          </w:p>
        </w:tc>
        <w:tc>
          <w:tcPr>
            <w:tcW w:w="2831" w:type="dxa"/>
          </w:tcPr>
          <w:p w14:paraId="6EBB8815" w14:textId="453119E1"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56.6 (56.0</w:t>
            </w:r>
            <w:r w:rsidRPr="00075161">
              <w:rPr>
                <w:rFonts w:ascii="Times New Roman" w:hAnsi="Times New Roman"/>
                <w:sz w:val="24"/>
                <w:szCs w:val="24"/>
                <w:lang w:val="en-US"/>
              </w:rPr>
              <w:t>–</w:t>
            </w:r>
            <w:r w:rsidRPr="00075161">
              <w:rPr>
                <w:rFonts w:ascii="Times New Roman" w:hAnsi="Times New Roman" w:cs="Times New Roman"/>
                <w:sz w:val="24"/>
                <w:szCs w:val="28"/>
                <w:lang w:val="en-US"/>
              </w:rPr>
              <w:t>57.1)</w:t>
            </w:r>
          </w:p>
        </w:tc>
        <w:tc>
          <w:tcPr>
            <w:tcW w:w="2832" w:type="dxa"/>
          </w:tcPr>
          <w:p w14:paraId="2B6084B1" w14:textId="24FE50A8"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65.6 (65.0</w:t>
            </w:r>
            <w:r w:rsidRPr="00075161">
              <w:rPr>
                <w:rFonts w:ascii="Times New Roman" w:hAnsi="Times New Roman"/>
                <w:sz w:val="24"/>
                <w:szCs w:val="24"/>
                <w:lang w:val="en-US"/>
              </w:rPr>
              <w:t>–</w:t>
            </w:r>
            <w:r w:rsidRPr="00075161">
              <w:rPr>
                <w:rFonts w:ascii="Times New Roman" w:hAnsi="Times New Roman" w:cs="Times New Roman"/>
                <w:sz w:val="24"/>
                <w:szCs w:val="28"/>
                <w:lang w:val="en-US"/>
              </w:rPr>
              <w:t>66.1)</w:t>
            </w:r>
          </w:p>
        </w:tc>
      </w:tr>
      <w:tr w:rsidR="00357D8A" w:rsidRPr="007F01AC" w14:paraId="6F92A3FA" w14:textId="77777777" w:rsidTr="00357D8A">
        <w:tc>
          <w:tcPr>
            <w:tcW w:w="2831" w:type="dxa"/>
          </w:tcPr>
          <w:p w14:paraId="1AB99353" w14:textId="1889A4CC"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4"/>
                <w:lang w:val="en-US"/>
              </w:rPr>
              <w:t>60</w:t>
            </w:r>
            <w:r w:rsidRPr="00075161">
              <w:rPr>
                <w:rFonts w:ascii="Times New Roman" w:hAnsi="Times New Roman"/>
                <w:sz w:val="24"/>
                <w:szCs w:val="24"/>
                <w:lang w:val="en-US"/>
              </w:rPr>
              <w:t>–69</w:t>
            </w:r>
          </w:p>
        </w:tc>
        <w:tc>
          <w:tcPr>
            <w:tcW w:w="2831" w:type="dxa"/>
          </w:tcPr>
          <w:p w14:paraId="5C5599E9" w14:textId="1F1C675D"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55.4 (54.7</w:t>
            </w:r>
            <w:r w:rsidRPr="00075161">
              <w:rPr>
                <w:rFonts w:ascii="Times New Roman" w:hAnsi="Times New Roman"/>
                <w:sz w:val="24"/>
                <w:szCs w:val="24"/>
                <w:lang w:val="en-US"/>
              </w:rPr>
              <w:t>–</w:t>
            </w:r>
            <w:r w:rsidRPr="00075161">
              <w:rPr>
                <w:rFonts w:ascii="Times New Roman" w:hAnsi="Times New Roman" w:cs="Times New Roman"/>
                <w:sz w:val="24"/>
                <w:szCs w:val="28"/>
                <w:lang w:val="en-US"/>
              </w:rPr>
              <w:t>56.0)</w:t>
            </w:r>
          </w:p>
        </w:tc>
        <w:tc>
          <w:tcPr>
            <w:tcW w:w="2832" w:type="dxa"/>
          </w:tcPr>
          <w:p w14:paraId="5AFE79C7" w14:textId="14B71334"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60.6 (60.0</w:t>
            </w:r>
            <w:r w:rsidRPr="00075161">
              <w:rPr>
                <w:rFonts w:ascii="Times New Roman" w:hAnsi="Times New Roman"/>
                <w:sz w:val="24"/>
                <w:szCs w:val="24"/>
                <w:lang w:val="en-US"/>
              </w:rPr>
              <w:t>–</w:t>
            </w:r>
            <w:r w:rsidRPr="00075161">
              <w:rPr>
                <w:rFonts w:ascii="Times New Roman" w:hAnsi="Times New Roman" w:cs="Times New Roman"/>
                <w:sz w:val="24"/>
                <w:szCs w:val="28"/>
                <w:lang w:val="en-US"/>
              </w:rPr>
              <w:t>61.3)</w:t>
            </w:r>
          </w:p>
        </w:tc>
      </w:tr>
      <w:tr w:rsidR="00357D8A" w:rsidRPr="007F01AC" w14:paraId="16FE81A1" w14:textId="77777777" w:rsidTr="00357D8A">
        <w:tc>
          <w:tcPr>
            <w:tcW w:w="2831" w:type="dxa"/>
          </w:tcPr>
          <w:p w14:paraId="67A9A21B" w14:textId="5C240F81"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sz w:val="24"/>
                <w:szCs w:val="24"/>
                <w:lang w:val="en-US"/>
              </w:rPr>
              <w:t>≥</w:t>
            </w:r>
            <w:r w:rsidRPr="00075161">
              <w:rPr>
                <w:rFonts w:ascii="Times New Roman" w:hAnsi="Times New Roman" w:cs="Times New Roman"/>
                <w:sz w:val="24"/>
                <w:szCs w:val="24"/>
                <w:lang w:val="en-US"/>
              </w:rPr>
              <w:t>70</w:t>
            </w:r>
          </w:p>
        </w:tc>
        <w:tc>
          <w:tcPr>
            <w:tcW w:w="2831" w:type="dxa"/>
          </w:tcPr>
          <w:p w14:paraId="71BCE269" w14:textId="25F4D606"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52.9 (52.0</w:t>
            </w:r>
            <w:r w:rsidRPr="00075161">
              <w:rPr>
                <w:rFonts w:ascii="Times New Roman" w:hAnsi="Times New Roman"/>
                <w:sz w:val="24"/>
                <w:szCs w:val="24"/>
                <w:lang w:val="en-US"/>
              </w:rPr>
              <w:t>–</w:t>
            </w:r>
            <w:r w:rsidRPr="00075161">
              <w:rPr>
                <w:rFonts w:ascii="Times New Roman" w:hAnsi="Times New Roman" w:cs="Times New Roman"/>
                <w:sz w:val="24"/>
                <w:szCs w:val="28"/>
                <w:lang w:val="en-US"/>
              </w:rPr>
              <w:t>53.7)</w:t>
            </w:r>
          </w:p>
        </w:tc>
        <w:tc>
          <w:tcPr>
            <w:tcW w:w="2832" w:type="dxa"/>
          </w:tcPr>
          <w:p w14:paraId="7646D8F7" w14:textId="15A0FD59" w:rsidR="00357D8A" w:rsidRPr="00075161" w:rsidRDefault="00357D8A" w:rsidP="00715AEE">
            <w:pPr>
              <w:jc w:val="left"/>
              <w:rPr>
                <w:rFonts w:ascii="Times New Roman" w:hAnsi="Times New Roman" w:cs="Times New Roman"/>
                <w:sz w:val="24"/>
                <w:szCs w:val="28"/>
                <w:lang w:val="en-US"/>
              </w:rPr>
            </w:pPr>
            <w:r w:rsidRPr="00075161">
              <w:rPr>
                <w:rFonts w:ascii="Times New Roman" w:hAnsi="Times New Roman" w:cs="Times New Roman"/>
                <w:sz w:val="24"/>
                <w:szCs w:val="28"/>
                <w:lang w:val="en-US"/>
              </w:rPr>
              <w:t>57.2 (56.3</w:t>
            </w:r>
            <w:r w:rsidRPr="00075161">
              <w:rPr>
                <w:rFonts w:ascii="Times New Roman" w:hAnsi="Times New Roman"/>
                <w:sz w:val="24"/>
                <w:szCs w:val="24"/>
                <w:lang w:val="en-US"/>
              </w:rPr>
              <w:t>–</w:t>
            </w:r>
            <w:r w:rsidRPr="00075161">
              <w:rPr>
                <w:rFonts w:ascii="Times New Roman" w:hAnsi="Times New Roman" w:cs="Times New Roman"/>
                <w:sz w:val="24"/>
                <w:szCs w:val="28"/>
                <w:lang w:val="en-US"/>
              </w:rPr>
              <w:t>58.0)</w:t>
            </w:r>
          </w:p>
        </w:tc>
      </w:tr>
    </w:tbl>
    <w:p w14:paraId="78BA0837" w14:textId="13DA1B8C" w:rsidR="00357D8A" w:rsidRPr="00075161" w:rsidRDefault="00357D8A" w:rsidP="00715AEE">
      <w:pPr>
        <w:jc w:val="left"/>
        <w:rPr>
          <w:rFonts w:ascii="Times New Roman" w:hAnsi="Times New Roman" w:cs="Times New Roman"/>
          <w:sz w:val="24"/>
          <w:szCs w:val="28"/>
          <w:lang w:val="en-US"/>
        </w:rPr>
      </w:pPr>
    </w:p>
    <w:p w14:paraId="090B01CA" w14:textId="5336DBD3" w:rsidR="00357D8A" w:rsidRPr="00075161" w:rsidRDefault="00357D8A" w:rsidP="00715AEE">
      <w:pPr>
        <w:widowControl/>
        <w:jc w:val="left"/>
        <w:rPr>
          <w:rFonts w:ascii="Times New Roman" w:hAnsi="Times New Roman" w:cs="Times New Roman"/>
          <w:b/>
          <w:bCs/>
          <w:sz w:val="24"/>
          <w:szCs w:val="24"/>
          <w:lang w:val="en-US"/>
        </w:rPr>
      </w:pPr>
    </w:p>
    <w:p w14:paraId="4D570FC6" w14:textId="77777777" w:rsidR="00357D8A" w:rsidRPr="00075161" w:rsidRDefault="00357D8A" w:rsidP="00715AEE">
      <w:pPr>
        <w:widowControl/>
        <w:jc w:val="left"/>
        <w:rPr>
          <w:rFonts w:ascii="Times New Roman" w:hAnsi="Times New Roman" w:cs="Times New Roman"/>
          <w:b/>
          <w:bCs/>
          <w:sz w:val="24"/>
          <w:szCs w:val="24"/>
          <w:lang w:val="en-US"/>
        </w:rPr>
      </w:pPr>
      <w:r w:rsidRPr="00075161">
        <w:rPr>
          <w:rFonts w:ascii="Times New Roman" w:hAnsi="Times New Roman" w:cs="Times New Roman"/>
          <w:b/>
          <w:bCs/>
          <w:sz w:val="24"/>
          <w:szCs w:val="24"/>
          <w:lang w:val="en-US"/>
        </w:rPr>
        <w:br w:type="page"/>
      </w:r>
    </w:p>
    <w:p w14:paraId="23D7225A" w14:textId="6E9B1347" w:rsidR="00F014D7" w:rsidRPr="00075161" w:rsidRDefault="00F014D7" w:rsidP="00715AEE">
      <w:pPr>
        <w:jc w:val="left"/>
        <w:rPr>
          <w:rFonts w:ascii="Times New Roman" w:hAnsi="Times New Roman" w:cs="Times New Roman"/>
          <w:b/>
          <w:bCs/>
          <w:sz w:val="24"/>
          <w:szCs w:val="24"/>
          <w:lang w:val="en-US"/>
        </w:rPr>
      </w:pPr>
      <w:r w:rsidRPr="00075161">
        <w:rPr>
          <w:rFonts w:ascii="Times New Roman" w:hAnsi="Times New Roman" w:cs="Times New Roman"/>
          <w:b/>
          <w:bCs/>
          <w:sz w:val="24"/>
          <w:szCs w:val="24"/>
          <w:lang w:val="en-US"/>
        </w:rPr>
        <w:lastRenderedPageBreak/>
        <w:t>Reference</w:t>
      </w:r>
      <w:r w:rsidR="00DA2E49">
        <w:rPr>
          <w:rFonts w:ascii="Times New Roman" w:hAnsi="Times New Roman" w:cs="Times New Roman"/>
          <w:b/>
          <w:bCs/>
          <w:sz w:val="24"/>
          <w:szCs w:val="24"/>
          <w:lang w:val="en-US"/>
        </w:rPr>
        <w:t>s</w:t>
      </w:r>
    </w:p>
    <w:p w14:paraId="6CA2E798" w14:textId="409BA037" w:rsidR="00F014D7" w:rsidRPr="00075161" w:rsidRDefault="00F014D7" w:rsidP="00715AEE">
      <w:pPr>
        <w:jc w:val="left"/>
        <w:rPr>
          <w:rFonts w:ascii="Times New Roman" w:hAnsi="Times New Roman" w:cs="Times New Roman"/>
          <w:b/>
          <w:bCs/>
          <w:sz w:val="24"/>
          <w:szCs w:val="24"/>
          <w:lang w:val="en-US"/>
        </w:rPr>
      </w:pPr>
    </w:p>
    <w:p w14:paraId="1FB9F2F0" w14:textId="6DDB77FF" w:rsidR="00702409" w:rsidRPr="00075161" w:rsidRDefault="00F014D7" w:rsidP="00702409">
      <w:pPr>
        <w:autoSpaceDE w:val="0"/>
        <w:autoSpaceDN w:val="0"/>
        <w:adjustRightInd w:val="0"/>
        <w:ind w:left="480" w:hanging="480"/>
        <w:jc w:val="left"/>
        <w:rPr>
          <w:rFonts w:ascii="Times New Roman" w:hAnsi="Times New Roman" w:cs="Times New Roman"/>
          <w:kern w:val="0"/>
          <w:sz w:val="24"/>
          <w:szCs w:val="24"/>
          <w:lang w:val="en-US"/>
        </w:rPr>
      </w:pPr>
      <w:r w:rsidRPr="00075161">
        <w:rPr>
          <w:rFonts w:ascii="Times New Roman" w:hAnsi="Times New Roman" w:cs="Times New Roman"/>
          <w:sz w:val="24"/>
          <w:szCs w:val="24"/>
          <w:lang w:val="en-US"/>
        </w:rPr>
        <w:fldChar w:fldCharType="begin" w:fldLock="1"/>
      </w:r>
      <w:r w:rsidRPr="00075161">
        <w:rPr>
          <w:rFonts w:ascii="Times New Roman" w:hAnsi="Times New Roman" w:cs="Times New Roman"/>
          <w:sz w:val="24"/>
          <w:szCs w:val="24"/>
          <w:lang w:val="en-US"/>
        </w:rPr>
        <w:instrText xml:space="preserve">ADDIN Mendeley Bibliography CSL_BIBLIOGRAPHY </w:instrText>
      </w:r>
      <w:r w:rsidRPr="00075161">
        <w:rPr>
          <w:rFonts w:ascii="Times New Roman" w:hAnsi="Times New Roman" w:cs="Times New Roman"/>
          <w:sz w:val="24"/>
          <w:szCs w:val="24"/>
          <w:lang w:val="en-US"/>
        </w:rPr>
        <w:fldChar w:fldCharType="separate"/>
      </w:r>
      <w:r w:rsidR="00702409" w:rsidRPr="00075161">
        <w:rPr>
          <w:rFonts w:ascii="Times New Roman" w:hAnsi="Times New Roman" w:cs="Times New Roman"/>
          <w:kern w:val="0"/>
          <w:sz w:val="24"/>
          <w:szCs w:val="24"/>
          <w:lang w:val="en-US"/>
        </w:rPr>
        <w:t>Andrews, N., Stowe, J., Kirsebom, F., Toffa, S., Rickeard, T., Gallagher, E., Gower, C., Kall, M., Groves, N., O’Connell, A.-M., Simons, D., Blomquist, P.B., Zaidi, A., Nash, S., Iwani Binti Abdul Aziz, N., Thelwall, S., Dabrera, G., Myers, R., Amirthalingam, G., Gharbia, S., Barrett, J.C., Elson, R., Ladhani, S.N., Ferguson, N., Zambon, M., Campbell, C.N.J., Brown, K., Hopkins, S., Chand, M., Ramsay, M., Lopez Bernal, J., 2022. Covid-19 Vaccine Effectiveness against the Omicron (B.1.1.529) Variant. N. Engl. J. Med. 1–15. https://doi.org/10.1056/nejmoa2119451</w:t>
      </w:r>
    </w:p>
    <w:p w14:paraId="3BA9A6B9" w14:textId="77777777" w:rsidR="00702409" w:rsidRPr="00075161" w:rsidRDefault="00702409" w:rsidP="00702409">
      <w:pPr>
        <w:autoSpaceDE w:val="0"/>
        <w:autoSpaceDN w:val="0"/>
        <w:adjustRightInd w:val="0"/>
        <w:ind w:left="480" w:hanging="480"/>
        <w:jc w:val="left"/>
        <w:rPr>
          <w:rFonts w:ascii="Times New Roman" w:hAnsi="Times New Roman" w:cs="Times New Roman"/>
          <w:sz w:val="24"/>
          <w:lang w:val="en-US"/>
        </w:rPr>
      </w:pPr>
      <w:r w:rsidRPr="00075161">
        <w:rPr>
          <w:rFonts w:ascii="Times New Roman" w:hAnsi="Times New Roman" w:cs="Times New Roman"/>
          <w:kern w:val="0"/>
          <w:sz w:val="24"/>
          <w:szCs w:val="24"/>
          <w:lang w:val="en-US"/>
        </w:rPr>
        <w:t>Ministry of Health Labour and Welfare, 2021. Advisory board for COVID-19 control, 65th [WWW Document]. URL https://www.mhlw.go.jp/stf/seisakunitsuite/bunya/0000121431_00294.html</w:t>
      </w:r>
    </w:p>
    <w:p w14:paraId="2D5E2A55" w14:textId="31E65745" w:rsidR="00F014D7" w:rsidRPr="00075161" w:rsidRDefault="00F014D7" w:rsidP="00715AEE">
      <w:pPr>
        <w:jc w:val="left"/>
        <w:rPr>
          <w:rFonts w:ascii="Times New Roman" w:hAnsi="Times New Roman" w:cs="Times New Roman"/>
          <w:sz w:val="24"/>
          <w:szCs w:val="24"/>
          <w:lang w:val="en-US"/>
        </w:rPr>
      </w:pPr>
      <w:r w:rsidRPr="00075161">
        <w:rPr>
          <w:rFonts w:ascii="Times New Roman" w:hAnsi="Times New Roman" w:cs="Times New Roman"/>
          <w:sz w:val="24"/>
          <w:szCs w:val="24"/>
          <w:lang w:val="en-US"/>
        </w:rPr>
        <w:fldChar w:fldCharType="end"/>
      </w:r>
    </w:p>
    <w:sectPr w:rsidR="00F014D7" w:rsidRPr="00075161">
      <w:footerReference w:type="default" r:id="rId15"/>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21D9C" w14:textId="77777777" w:rsidR="003D3CB0" w:rsidRDefault="003D3CB0" w:rsidP="00E07202">
      <w:r>
        <w:separator/>
      </w:r>
    </w:p>
  </w:endnote>
  <w:endnote w:type="continuationSeparator" w:id="0">
    <w:p w14:paraId="361BB43A" w14:textId="77777777" w:rsidR="003D3CB0" w:rsidRDefault="003D3CB0" w:rsidP="00E0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72597"/>
      <w:docPartObj>
        <w:docPartGallery w:val="Page Numbers (Bottom of Page)"/>
        <w:docPartUnique/>
      </w:docPartObj>
    </w:sdtPr>
    <w:sdtEndPr/>
    <w:sdtContent>
      <w:p w14:paraId="45AB52E9" w14:textId="6D2F443E" w:rsidR="008026E8" w:rsidRDefault="008026E8">
        <w:pPr>
          <w:pStyle w:val="ac"/>
          <w:jc w:val="center"/>
        </w:pPr>
        <w:r>
          <w:fldChar w:fldCharType="begin"/>
        </w:r>
        <w:r>
          <w:instrText>PAGE   \* MERGEFORMAT</w:instrText>
        </w:r>
        <w:r>
          <w:fldChar w:fldCharType="separate"/>
        </w:r>
        <w:r>
          <w:rPr>
            <w:lang w:val="ja-JP"/>
          </w:rPr>
          <w:t>2</w:t>
        </w:r>
        <w:r>
          <w:fldChar w:fldCharType="end"/>
        </w:r>
      </w:p>
    </w:sdtContent>
  </w:sdt>
  <w:p w14:paraId="4D2D5E7D" w14:textId="77777777" w:rsidR="008026E8" w:rsidRDefault="008026E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B1C7E" w14:textId="77777777" w:rsidR="003D3CB0" w:rsidRDefault="003D3CB0" w:rsidP="00E07202">
      <w:r>
        <w:separator/>
      </w:r>
    </w:p>
  </w:footnote>
  <w:footnote w:type="continuationSeparator" w:id="0">
    <w:p w14:paraId="6E8BF708" w14:textId="77777777" w:rsidR="003D3CB0" w:rsidRDefault="003D3CB0" w:rsidP="00E07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67B"/>
    <w:multiLevelType w:val="hybridMultilevel"/>
    <w:tmpl w:val="487E66FA"/>
    <w:lvl w:ilvl="0" w:tplc="E76477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626ADB"/>
    <w:multiLevelType w:val="hybridMultilevel"/>
    <w:tmpl w:val="BA34E216"/>
    <w:lvl w:ilvl="0" w:tplc="04F6A4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30"/>
    <w:rsid w:val="00015220"/>
    <w:rsid w:val="000314F2"/>
    <w:rsid w:val="00075161"/>
    <w:rsid w:val="000E0EE9"/>
    <w:rsid w:val="00135182"/>
    <w:rsid w:val="001534A0"/>
    <w:rsid w:val="00166730"/>
    <w:rsid w:val="00167E3E"/>
    <w:rsid w:val="00195D94"/>
    <w:rsid w:val="001E6D53"/>
    <w:rsid w:val="002C6537"/>
    <w:rsid w:val="002C6FD7"/>
    <w:rsid w:val="00300E50"/>
    <w:rsid w:val="00335F62"/>
    <w:rsid w:val="00357D8A"/>
    <w:rsid w:val="003922EE"/>
    <w:rsid w:val="003D3CB0"/>
    <w:rsid w:val="00427B10"/>
    <w:rsid w:val="00437C71"/>
    <w:rsid w:val="00475130"/>
    <w:rsid w:val="0049202A"/>
    <w:rsid w:val="004977DD"/>
    <w:rsid w:val="004E478C"/>
    <w:rsid w:val="00501FDB"/>
    <w:rsid w:val="005030C9"/>
    <w:rsid w:val="005B7DB9"/>
    <w:rsid w:val="005C619B"/>
    <w:rsid w:val="00613FE0"/>
    <w:rsid w:val="00665BD8"/>
    <w:rsid w:val="00684FC1"/>
    <w:rsid w:val="006F59A8"/>
    <w:rsid w:val="00702409"/>
    <w:rsid w:val="00714775"/>
    <w:rsid w:val="00715AEE"/>
    <w:rsid w:val="007319D7"/>
    <w:rsid w:val="00742873"/>
    <w:rsid w:val="007746D8"/>
    <w:rsid w:val="00781670"/>
    <w:rsid w:val="007933FD"/>
    <w:rsid w:val="007C2988"/>
    <w:rsid w:val="007C5548"/>
    <w:rsid w:val="007D4BB9"/>
    <w:rsid w:val="007F01AC"/>
    <w:rsid w:val="007F2479"/>
    <w:rsid w:val="007F41BC"/>
    <w:rsid w:val="008026E8"/>
    <w:rsid w:val="008028EB"/>
    <w:rsid w:val="008B4DA9"/>
    <w:rsid w:val="008D1FE1"/>
    <w:rsid w:val="008F7C66"/>
    <w:rsid w:val="009562EC"/>
    <w:rsid w:val="009842E9"/>
    <w:rsid w:val="009B5327"/>
    <w:rsid w:val="009D6CA6"/>
    <w:rsid w:val="00A10B3D"/>
    <w:rsid w:val="00A34B1C"/>
    <w:rsid w:val="00AB3331"/>
    <w:rsid w:val="00AE2E8A"/>
    <w:rsid w:val="00B17167"/>
    <w:rsid w:val="00B80E42"/>
    <w:rsid w:val="00C1106E"/>
    <w:rsid w:val="00C267A6"/>
    <w:rsid w:val="00C32B2D"/>
    <w:rsid w:val="00C372E4"/>
    <w:rsid w:val="00CC1EB8"/>
    <w:rsid w:val="00CC6288"/>
    <w:rsid w:val="00CF2035"/>
    <w:rsid w:val="00D53E20"/>
    <w:rsid w:val="00DA2E49"/>
    <w:rsid w:val="00DC58C8"/>
    <w:rsid w:val="00DC7703"/>
    <w:rsid w:val="00DD4BD1"/>
    <w:rsid w:val="00DF5265"/>
    <w:rsid w:val="00E01CDB"/>
    <w:rsid w:val="00E07202"/>
    <w:rsid w:val="00E23167"/>
    <w:rsid w:val="00E37532"/>
    <w:rsid w:val="00E45DDD"/>
    <w:rsid w:val="00EF6BC6"/>
    <w:rsid w:val="00F014D7"/>
    <w:rsid w:val="00F532AF"/>
    <w:rsid w:val="00F610DA"/>
    <w:rsid w:val="00F67251"/>
    <w:rsid w:val="00F82098"/>
    <w:rsid w:val="00FB0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056DCD"/>
  <w15:docId w15:val="{E3876162-B503-47D6-824C-7E1A23DD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8C8"/>
    <w:pPr>
      <w:ind w:leftChars="400" w:left="840"/>
    </w:pPr>
  </w:style>
  <w:style w:type="table" w:styleId="a4">
    <w:name w:val="Table Grid"/>
    <w:basedOn w:val="a1"/>
    <w:uiPriority w:val="39"/>
    <w:rsid w:val="00F6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DF5265"/>
    <w:rPr>
      <w:sz w:val="18"/>
      <w:szCs w:val="18"/>
    </w:rPr>
  </w:style>
  <w:style w:type="paragraph" w:styleId="a6">
    <w:name w:val="annotation text"/>
    <w:basedOn w:val="a"/>
    <w:link w:val="a7"/>
    <w:uiPriority w:val="99"/>
    <w:unhideWhenUsed/>
    <w:rsid w:val="005030C9"/>
    <w:pPr>
      <w:jc w:val="left"/>
    </w:pPr>
    <w:rPr>
      <w:rFonts w:ascii="Times New Roman" w:hAnsi="Times New Roman"/>
    </w:rPr>
  </w:style>
  <w:style w:type="character" w:customStyle="1" w:styleId="a7">
    <w:name w:val="コメント文字列 (文字)"/>
    <w:basedOn w:val="a0"/>
    <w:link w:val="a6"/>
    <w:uiPriority w:val="99"/>
    <w:rsid w:val="005030C9"/>
    <w:rPr>
      <w:rFonts w:ascii="Times New Roman" w:hAnsi="Times New Roman"/>
      <w:lang w:val="en-GB"/>
    </w:rPr>
  </w:style>
  <w:style w:type="paragraph" w:styleId="a8">
    <w:name w:val="annotation subject"/>
    <w:basedOn w:val="a6"/>
    <w:next w:val="a6"/>
    <w:link w:val="a9"/>
    <w:uiPriority w:val="99"/>
    <w:semiHidden/>
    <w:unhideWhenUsed/>
    <w:rsid w:val="00DF5265"/>
    <w:rPr>
      <w:b/>
      <w:bCs/>
    </w:rPr>
  </w:style>
  <w:style w:type="character" w:customStyle="1" w:styleId="a9">
    <w:name w:val="コメント内容 (文字)"/>
    <w:basedOn w:val="a7"/>
    <w:link w:val="a8"/>
    <w:uiPriority w:val="99"/>
    <w:semiHidden/>
    <w:rsid w:val="00DF5265"/>
    <w:rPr>
      <w:rFonts w:ascii="Times New Roman" w:hAnsi="Times New Roman"/>
      <w:b/>
      <w:bCs/>
      <w:lang w:val="en-GB"/>
    </w:rPr>
  </w:style>
  <w:style w:type="paragraph" w:styleId="aa">
    <w:name w:val="header"/>
    <w:basedOn w:val="a"/>
    <w:link w:val="ab"/>
    <w:uiPriority w:val="99"/>
    <w:unhideWhenUsed/>
    <w:rsid w:val="00E07202"/>
    <w:pPr>
      <w:tabs>
        <w:tab w:val="center" w:pos="4513"/>
        <w:tab w:val="right" w:pos="9026"/>
      </w:tabs>
      <w:snapToGrid w:val="0"/>
    </w:pPr>
  </w:style>
  <w:style w:type="character" w:customStyle="1" w:styleId="ab">
    <w:name w:val="ヘッダー (文字)"/>
    <w:basedOn w:val="a0"/>
    <w:link w:val="aa"/>
    <w:uiPriority w:val="99"/>
    <w:rsid w:val="00E07202"/>
    <w:rPr>
      <w:lang w:val="en-GB"/>
    </w:rPr>
  </w:style>
  <w:style w:type="paragraph" w:styleId="ac">
    <w:name w:val="footer"/>
    <w:basedOn w:val="a"/>
    <w:link w:val="ad"/>
    <w:uiPriority w:val="99"/>
    <w:unhideWhenUsed/>
    <w:rsid w:val="00E07202"/>
    <w:pPr>
      <w:tabs>
        <w:tab w:val="center" w:pos="4513"/>
        <w:tab w:val="right" w:pos="9026"/>
      </w:tabs>
      <w:snapToGrid w:val="0"/>
    </w:pPr>
  </w:style>
  <w:style w:type="character" w:customStyle="1" w:styleId="ad">
    <w:name w:val="フッター (文字)"/>
    <w:basedOn w:val="a0"/>
    <w:link w:val="ac"/>
    <w:uiPriority w:val="99"/>
    <w:rsid w:val="00E07202"/>
    <w:rPr>
      <w:lang w:val="en-GB"/>
    </w:rPr>
  </w:style>
  <w:style w:type="paragraph" w:styleId="ae">
    <w:name w:val="Balloon Text"/>
    <w:basedOn w:val="a"/>
    <w:link w:val="af"/>
    <w:uiPriority w:val="99"/>
    <w:semiHidden/>
    <w:unhideWhenUsed/>
    <w:rsid w:val="00A34B1C"/>
    <w:rPr>
      <w:rFonts w:ascii="Tahoma" w:hAnsi="Tahoma" w:cs="Tahoma"/>
      <w:sz w:val="16"/>
      <w:szCs w:val="16"/>
    </w:rPr>
  </w:style>
  <w:style w:type="character" w:customStyle="1" w:styleId="af">
    <w:name w:val="吹き出し (文字)"/>
    <w:basedOn w:val="a0"/>
    <w:link w:val="ae"/>
    <w:uiPriority w:val="99"/>
    <w:semiHidden/>
    <w:rsid w:val="00A34B1C"/>
    <w:rPr>
      <w:rFonts w:ascii="Tahoma" w:hAnsi="Tahoma" w:cs="Tahoma"/>
      <w:sz w:val="16"/>
      <w:szCs w:val="16"/>
      <w:lang w:val="en-GB"/>
    </w:rPr>
  </w:style>
  <w:style w:type="paragraph" w:styleId="af0">
    <w:name w:val="Revision"/>
    <w:hidden/>
    <w:uiPriority w:val="99"/>
    <w:semiHidden/>
    <w:rsid w:val="00C267A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2D935350FB4524AA9B0551AC744F54C" ma:contentTypeVersion="12" ma:contentTypeDescription="新しいドキュメントを作成します。" ma:contentTypeScope="" ma:versionID="7a36d9a7802339c3053bfa75a1e3a00b">
  <xsd:schema xmlns:xsd="http://www.w3.org/2001/XMLSchema" xmlns:xs="http://www.w3.org/2001/XMLSchema" xmlns:p="http://schemas.microsoft.com/office/2006/metadata/properties" xmlns:ns2="7805362c-7fb7-47ff-9049-83b2c46e6485" xmlns:ns3="22d571ce-5d5e-4577-851b-36fe2b87e29c" targetNamespace="http://schemas.microsoft.com/office/2006/metadata/properties" ma:root="true" ma:fieldsID="bd638f4b698747941163b273eab7a1f4" ns2:_="" ns3:_="">
    <xsd:import namespace="7805362c-7fb7-47ff-9049-83b2c46e6485"/>
    <xsd:import namespace="22d571ce-5d5e-4577-851b-36fe2b87e2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5362c-7fb7-47ff-9049-83b2c46e6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d571ce-5d5e-4577-851b-36fe2b87e29c"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5D685-9F61-4D33-B110-861C451F2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5362c-7fb7-47ff-9049-83b2c46e6485"/>
    <ds:schemaRef ds:uri="22d571ce-5d5e-4577-851b-36fe2b87e2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11D72-5682-44B0-A689-59C70E505DC2}">
  <ds:schemaRefs>
    <ds:schemaRef ds:uri="http://schemas.microsoft.com/sharepoint/v3/contenttype/forms"/>
  </ds:schemaRefs>
</ds:datastoreItem>
</file>

<file path=customXml/itemProps3.xml><?xml version="1.0" encoding="utf-8"?>
<ds:datastoreItem xmlns:ds="http://schemas.openxmlformats.org/officeDocument/2006/customXml" ds:itemID="{ABBA080F-59ED-4A33-8FD0-AC0AE52481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907860-AD34-4098-AE0E-C9D4ACB0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2844</Words>
  <Characters>16215</Characters>
  <Application>Microsoft Office Word</Application>
  <DocSecurity>0</DocSecurity>
  <Lines>135</Lines>
  <Paragraphs>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Misaki Sasanami</dc:creator>
  <cp:lastModifiedBy>Hiroshi NISHIURA</cp:lastModifiedBy>
  <cp:revision>2</cp:revision>
  <dcterms:created xsi:type="dcterms:W3CDTF">2022-12-08T13:51:00Z</dcterms:created>
  <dcterms:modified xsi:type="dcterms:W3CDTF">2022-12-08T13:51:00Z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6ced1d40-7760-3b0a-ae68-42810ad9d77f</vt:lpwstr>
  </property>
  <property fmtid="{D5CDD505-2E9C-101B-9397-08002B2CF9AE}" pid="4" name="Mendeley Citation Style_1">
    <vt:lpwstr>http://www.zotero.org/styles/journal-of-theoretical-biology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http://www.zotero.org/styles/journal-of-theoretical-biology</vt:lpwstr>
  </property>
  <property fmtid="{D5CDD505-2E9C-101B-9397-08002B2CF9AE}" pid="16" name="Mendeley Recent Style Name 5_1">
    <vt:lpwstr>Journal of Theoretical Biology</vt:lpwstr>
  </property>
  <property fmtid="{D5CDD505-2E9C-101B-9397-08002B2CF9AE}" pid="17" name="Mendeley Recent Style Id 6_1">
    <vt:lpwstr>http://www.zotero.org/styles/mathematical-biosciences</vt:lpwstr>
  </property>
  <property fmtid="{D5CDD505-2E9C-101B-9397-08002B2CF9AE}" pid="18" name="Mendeley Recent Style Name 6_1">
    <vt:lpwstr>Mathematical Biosciences</vt:lpwstr>
  </property>
  <property fmtid="{D5CDD505-2E9C-101B-9397-08002B2CF9AE}" pid="19" name="Mendeley Recent Style Id 7_1">
    <vt:lpwstr>http://www.zotero.org/styles/mathematical-biosciences-and-engineering</vt:lpwstr>
  </property>
  <property fmtid="{D5CDD505-2E9C-101B-9397-08002B2CF9AE}" pid="20" name="Mendeley Recent Style Name 7_1">
    <vt:lpwstr>Mathematical Biosciences and Engineering</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0x010100A2D935350FB4524AA9B0551AC744F54C</vt:lpwstr>
  </property>
</Properties>
</file>