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F4E5F"/>
          <w:sz w:val="44"/>
        </w:rPr>
        <w:t>Marketplace Reliability Issue Tree</w:t>
      </w:r>
    </w:p>
    <w:p>
      <w:pPr>
        <w:pStyle w:val="PortfolioSubtitle"/>
      </w:pPr>
      <w:r>
        <w:t>An anonymized portfolio edition of a take-home case</w:t>
      </w:r>
    </w:p>
    <w:p>
      <w:pPr>
        <w:pStyle w:val="Heading1"/>
      </w:pPr>
      <w:r>
        <w:rPr>
          <w:rFonts w:ascii="Calibri" w:hAnsi="Calibri"/>
          <w:b w:val="0"/>
          <w:color w:val="263238"/>
          <w:sz w:val="22"/>
        </w:rPr>
        <w:t>Decision question</w:t>
      </w:r>
    </w:p>
    <w:p>
      <w:r>
        <w:rPr>
          <w:rFonts w:ascii="Calibri" w:hAnsi="Calibri"/>
          <w:b w:val="0"/>
          <w:color w:val="263238"/>
          <w:sz w:val="22"/>
        </w:rPr>
        <w:t>How can MarketplaceCo reduce late healthcare-professional cancellations for open shifts in Metro A without worsening fill, time to fill, NCNS, or access?</w:t>
      </w:r>
    </w:p>
    <w:p>
      <w:pPr>
        <w:pStyle w:val="Heading1"/>
      </w:pPr>
      <w:r>
        <w:rPr>
          <w:rFonts w:ascii="Calibri" w:hAnsi="Calibri"/>
          <w:b w:val="0"/>
          <w:color w:val="263238"/>
          <w:sz w:val="22"/>
        </w:rPr>
        <w:t>Scope and definitions</w:t>
      </w:r>
    </w:p>
    <w:p>
      <w:pPr>
        <w:pStyle w:val="ListBullet"/>
        <w:spacing w:after="80" w:line="300" w:lineRule="auto"/>
        <w:ind w:left="720" w:hanging="360"/>
      </w:pPr>
      <w:r>
        <w:rPr>
          <w:rFonts w:ascii="Calibri" w:hAnsi="Calibri"/>
          <w:b/>
          <w:color w:val="263238"/>
          <w:sz w:val="22"/>
        </w:rPr>
        <w:t>Analysis population:</w:t>
      </w:r>
      <w:r>
        <w:rPr>
          <w:rFonts w:ascii="Calibri" w:hAnsi="Calibri"/>
          <w:b w:val="0"/>
          <w:color w:val="263238"/>
          <w:sz w:val="22"/>
        </w:rPr>
        <w:t xml:space="preserve"> 41,040 Shift IDs in the Metro A shift log.</w:t>
      </w:r>
    </w:p>
    <w:p>
      <w:pPr>
        <w:pStyle w:val="ListBullet"/>
        <w:spacing w:after="80" w:line="300" w:lineRule="auto"/>
        <w:ind w:left="720" w:hanging="360"/>
      </w:pPr>
      <w:r>
        <w:rPr>
          <w:rFonts w:ascii="Calibri" w:hAnsi="Calibri"/>
          <w:b/>
          <w:color w:val="263238"/>
          <w:sz w:val="22"/>
        </w:rPr>
        <w:t>Late cancellation:</w:t>
      </w:r>
      <w:r>
        <w:rPr>
          <w:rFonts w:ascii="Calibri" w:hAnsi="Calibri"/>
          <w:b w:val="0"/>
          <w:color w:val="263238"/>
          <w:sz w:val="22"/>
        </w:rPr>
        <w:t xml:space="preserve"> a healthcare-professional cancellation recorded less</w:t>
      </w:r>
    </w:p>
    <w:p>
      <w:r>
        <w:rPr>
          <w:rFonts w:ascii="Calibri" w:hAnsi="Calibri"/>
          <w:b w:val="0"/>
          <w:color w:val="263238"/>
          <w:sz w:val="22"/>
        </w:rPr>
        <w:t xml:space="preserve">  than 24 hours before the scheduled shift start.</w:t>
      </w:r>
    </w:p>
    <w:p>
      <w:pPr>
        <w:pStyle w:val="ListBullet"/>
        <w:spacing w:after="80" w:line="300" w:lineRule="auto"/>
        <w:ind w:left="720" w:hanging="360"/>
      </w:pPr>
      <w:r>
        <w:rPr>
          <w:rFonts w:ascii="Calibri" w:hAnsi="Calibri"/>
          <w:b/>
          <w:color w:val="263238"/>
          <w:sz w:val="22"/>
        </w:rPr>
        <w:t>NCNS:</w:t>
      </w:r>
      <w:r>
        <w:rPr>
          <w:rFonts w:ascii="Calibri" w:hAnsi="Calibri"/>
          <w:b w:val="0"/>
          <w:color w:val="263238"/>
          <w:sz w:val="22"/>
        </w:rPr>
        <w:t xml:space="preserve"> no-call/no-show. It is a separate logged outcome, even when a</w:t>
      </w:r>
    </w:p>
    <w:p>
      <w:r>
        <w:rPr>
          <w:rFonts w:ascii="Calibri" w:hAnsi="Calibri"/>
          <w:b w:val="0"/>
          <w:color w:val="263238"/>
          <w:sz w:val="22"/>
        </w:rPr>
        <w:t xml:space="preserve">  Shift ID also has a late-cancellation flag.</w:t>
      </w:r>
    </w:p>
    <w:p>
      <w:pPr>
        <w:pStyle w:val="ListBullet"/>
        <w:spacing w:after="80" w:line="300" w:lineRule="auto"/>
        <w:ind w:left="720" w:hanging="360"/>
      </w:pPr>
      <w:r>
        <w:rPr>
          <w:rFonts w:ascii="Calibri" w:hAnsi="Calibri"/>
          <w:b/>
          <w:color w:val="263238"/>
          <w:sz w:val="22"/>
        </w:rPr>
        <w:t>Evidence boundary:</w:t>
      </w:r>
      <w:r>
        <w:rPr>
          <w:rFonts w:ascii="Calibri" w:hAnsi="Calibri"/>
          <w:b w:val="0"/>
          <w:color w:val="263238"/>
          <w:sz w:val="22"/>
        </w:rPr>
        <w:t xml:space="preserve"> booking and cancellation logs have event-level grain</w:t>
      </w:r>
    </w:p>
    <w:p>
      <w:r>
        <w:rPr>
          <w:rFonts w:ascii="Calibri" w:hAnsi="Calibri"/>
          <w:b w:val="0"/>
          <w:color w:val="263238"/>
          <w:sz w:val="22"/>
        </w:rPr>
        <w:t xml:space="preserve">  and cover a broader Shift ID population. Public calculations use only   aggregates restricted to the Metro A analysis population.</w:t>
      </w:r>
    </w:p>
    <w:p>
      <w:pPr>
        <w:pStyle w:val="Heading1"/>
      </w:pPr>
      <w:r>
        <w:rPr>
          <w:rFonts w:ascii="Calibri" w:hAnsi="Calibri"/>
          <w:b w:val="0"/>
          <w:color w:val="263238"/>
          <w:sz w:val="22"/>
        </w:rPr>
        <w:t>Analytical route</w:t>
      </w:r>
    </w:p>
    <w:p>
      <w:pPr>
        <w:spacing w:after="160"/>
        <w:ind w:left="259"/>
      </w:pPr>
      <w:r>
        <w:rPr>
          <w:rFonts w:ascii="Consolas" w:hAnsi="Consolas"/>
          <w:color w:val="263238"/>
          <w:sz w:val="17"/>
        </w:rPr>
        <w:t>Reliability outcome</w:t>
        <w:br/>
      </w:r>
      <w:r>
        <w:rPr>
          <w:rFonts w:ascii="Consolas" w:hAnsi="Consolas"/>
          <w:color w:val="263238"/>
          <w:sz w:val="17"/>
        </w:rPr>
        <w:t>├─ Define the historical outcome and its scale</w:t>
        <w:br/>
      </w:r>
      <w:r>
        <w:rPr>
          <w:rFonts w:ascii="Consolas" w:hAnsi="Consolas"/>
          <w:color w:val="263238"/>
          <w:sz w:val="17"/>
        </w:rPr>
        <w:t>│  ├─ Late cancellation</w:t>
        <w:br/>
      </w:r>
      <w:r>
        <w:rPr>
          <w:rFonts w:ascii="Consolas" w:hAnsi="Consolas"/>
          <w:color w:val="263238"/>
          <w:sz w:val="17"/>
        </w:rPr>
        <w:t>│  └─ NCNS guardrail</w:t>
        <w:br/>
      </w:r>
      <w:r>
        <w:rPr>
          <w:rFonts w:ascii="Consolas" w:hAnsi="Consolas"/>
          <w:color w:val="263238"/>
          <w:sz w:val="17"/>
        </w:rPr>
        <w:t>├─ Locate a bounded booking opportunity</w:t>
        <w:br/>
      </w:r>
      <w:r>
        <w:rPr>
          <w:rFonts w:ascii="Consolas" w:hAnsi="Consolas"/>
          <w:color w:val="263238"/>
          <w:sz w:val="17"/>
        </w:rPr>
        <w:t>│  ├─ First-recorded booking timing</w:t>
        <w:br/>
      </w:r>
      <w:r>
        <w:rPr>
          <w:rFonts w:ascii="Consolas" w:hAnsi="Consolas"/>
          <w:color w:val="263238"/>
          <w:sz w:val="17"/>
        </w:rPr>
        <w:t>│  └─ One-booking timing check</w:t>
        <w:br/>
      </w:r>
      <w:r>
        <w:rPr>
          <w:rFonts w:ascii="Consolas" w:hAnsi="Consolas"/>
          <w:color w:val="263238"/>
          <w:sz w:val="17"/>
        </w:rPr>
        <w:t>├─ Test information available at booking</w:t>
        <w:br/>
      </w:r>
      <w:r>
        <w:rPr>
          <w:rFonts w:ascii="Consolas" w:hAnsi="Consolas"/>
          <w:color w:val="263238"/>
          <w:sz w:val="17"/>
        </w:rPr>
        <w:t>│  └─ Time-aware healthcare-professional history screen</w:t>
        <w:br/>
      </w:r>
      <w:r>
        <w:rPr>
          <w:rFonts w:ascii="Consolas" w:hAnsi="Consolas"/>
          <w:color w:val="263238"/>
          <w:sz w:val="17"/>
        </w:rPr>
        <w:t>└─ Convert the descriptive evidence into a controlled test</w:t>
        <w:br/>
      </w:r>
      <w:r>
        <w:rPr>
          <w:rFonts w:ascii="Consolas" w:hAnsi="Consolas"/>
          <w:color w:val="263238"/>
          <w:sz w:val="17"/>
        </w:rPr>
        <w:t xml:space="preserve">   ├─ Preferred access for qualifying professionals</w:t>
        <w:br/>
      </w:r>
      <w:r>
        <w:rPr>
          <w:rFonts w:ascii="Consolas" w:hAnsi="Consolas"/>
          <w:color w:val="263238"/>
          <w:sz w:val="17"/>
        </w:rPr>
        <w:t xml:space="preserve">   ├─ Timed return to the qualified pool</w:t>
        <w:br/>
      </w:r>
      <w:r>
        <w:rPr>
          <w:rFonts w:ascii="Consolas" w:hAnsi="Consolas"/>
          <w:color w:val="263238"/>
          <w:sz w:val="17"/>
        </w:rPr>
        <w:t xml:space="preserve">   └─ Randomized measurement with guardrails</w:t>
        <w:br/>
      </w:r>
    </w:p>
    <w:p>
      <w:pPr>
        <w:pStyle w:val="Heading1"/>
      </w:pPr>
      <w:r>
        <w:rPr>
          <w:rFonts w:ascii="Calibri" w:hAnsi="Calibri"/>
          <w:b w:val="0"/>
          <w:color w:val="263238"/>
          <w:sz w:val="22"/>
        </w:rPr>
        <w:t>Hypotheses and evidence</w:t>
      </w:r>
    </w:p>
    <w:p>
      <w:pPr>
        <w:pStyle w:val="Heading2"/>
      </w:pPr>
      <w:r>
        <w:rPr>
          <w:rFonts w:ascii="Calibri" w:hAnsi="Calibri"/>
          <w:b w:val="0"/>
          <w:color w:val="263238"/>
          <w:sz w:val="22"/>
        </w:rPr>
        <w:t>1. A booking-time window can identify a pilot population</w:t>
      </w:r>
    </w:p>
    <w:p>
      <w:r>
        <w:rPr>
          <w:rFonts w:ascii="Calibri" w:hAnsi="Calibri"/>
          <w:b/>
          <w:color w:val="263238"/>
          <w:sz w:val="22"/>
        </w:rPr>
        <w:t>Hypothesis.</w:t>
      </w:r>
      <w:r>
        <w:rPr>
          <w:rFonts w:ascii="Calibri" w:hAnsi="Calibri"/>
          <w:b w:val="0"/>
          <w:color w:val="263238"/>
          <w:sz w:val="22"/>
        </w:rPr>
        <w:t xml:space="preserve"> Recorded booking lead time is associated with the historical late-cancellation rate; a bounded window may be suitable for a controlled test.</w:t>
      </w:r>
    </w:p>
    <w:p>
      <w:r>
        <w:rPr>
          <w:rFonts w:ascii="Calibri" w:hAnsi="Calibri"/>
          <w:b/>
          <w:color w:val="263238"/>
          <w:sz w:val="22"/>
        </w:rPr>
        <w:t>Evidence.</w:t>
      </w:r>
      <w:r>
        <w:rPr>
          <w:rFonts w:ascii="Calibri" w:hAnsi="Calibri"/>
          <w:b w:val="0"/>
          <w:color w:val="263238"/>
          <w:sz w:val="22"/>
        </w:rPr>
        <w:t xml:space="preserve"> The 24-to-less-than-72-hour band had the highest observed rate in both retained timing checks:</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Retained timing view</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 cancellations</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First recorded booking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1,505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13.62%</w:t>
            </w:r>
          </w:p>
        </w:tc>
      </w:tr>
      <w:t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Exactly one recorded booking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163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1,427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11.42%</w:t>
            </w:r>
          </w:p>
        </w:tc>
      </w:tr>
    </w:tbl>
    <w:p>
      <w:pPr>
        <w:spacing w:after="0"/>
      </w:pPr>
    </w:p>
    <w:p>
      <w:r>
        <w:rPr>
          <w:rFonts w:ascii="Calibri" w:hAnsi="Calibri"/>
          <w:b/>
          <w:color w:val="263238"/>
          <w:sz w:val="22"/>
        </w:rPr>
        <w:t>Interpretation.</w:t>
      </w:r>
      <w:r>
        <w:rPr>
          <w:rFonts w:ascii="Calibri" w:hAnsi="Calibri"/>
          <w:b w:val="0"/>
          <w:color w:val="263238"/>
          <w:sz w:val="22"/>
        </w:rPr>
        <w:t xml:space="preserve"> This is an observed association, not evidence that lead time causes a cancellation.</w:t>
      </w:r>
    </w:p>
    <w:p>
      <w:pPr>
        <w:pStyle w:val="Heading2"/>
      </w:pPr>
      <w:r>
        <w:rPr>
          <w:rFonts w:ascii="Calibri" w:hAnsi="Calibri"/>
          <w:b w:val="0"/>
          <w:color w:val="263238"/>
          <w:sz w:val="22"/>
        </w:rPr>
        <w:t>2. Information known before booking can separate historical risk</w:t>
      </w:r>
    </w:p>
    <w:p>
      <w:r>
        <w:rPr>
          <w:rFonts w:ascii="Calibri" w:hAnsi="Calibri"/>
          <w:b/>
          <w:color w:val="263238"/>
          <w:sz w:val="22"/>
        </w:rPr>
        <w:t>Hypothesis.</w:t>
      </w:r>
      <w:r>
        <w:rPr>
          <w:rFonts w:ascii="Calibri" w:hAnsi="Calibri"/>
          <w:b w:val="0"/>
          <w:color w:val="263238"/>
          <w:sz w:val="22"/>
        </w:rPr>
        <w:t xml:space="preserve"> A healthcare professional's resolved history, measured before the target booking, may separate later same-worker late-cancellation risk.</w:t>
      </w:r>
    </w:p>
    <w:p>
      <w:r>
        <w:rPr>
          <w:rFonts w:ascii="Calibri" w:hAnsi="Calibri"/>
          <w:b/>
          <w:color w:val="263238"/>
          <w:sz w:val="22"/>
        </w:rPr>
        <w:t>Evidence.</w:t>
      </w:r>
      <w:r>
        <w:rPr>
          <w:rFonts w:ascii="Calibri" w:hAnsi="Calibri"/>
          <w:b w:val="0"/>
          <w:color w:val="263238"/>
          <w:sz w:val="22"/>
        </w:rPr>
        <w:t xml:space="preserve"> Among 1,742 target-window booking decisions, the proposed screen requires at least 10 prior resolved associated shifts and a prior late-cancellation rate below 10%. It retained 589 decisions; 44 later had a same-worker late cancellation (7.47%). The remaining 1,153 decisions had 181 such cancellations (15.70%).</w:t>
      </w:r>
    </w:p>
    <w:p>
      <w:r>
        <w:rPr>
          <w:rFonts w:ascii="Calibri" w:hAnsi="Calibri"/>
          <w:b/>
          <w:color w:val="263238"/>
          <w:sz w:val="22"/>
        </w:rPr>
        <w:t>Interpretation.</w:t>
      </w:r>
      <w:r>
        <w:rPr>
          <w:rFonts w:ascii="Calibri" w:hAnsi="Calibri"/>
          <w:b w:val="0"/>
          <w:color w:val="263238"/>
          <w:sz w:val="22"/>
        </w:rPr>
        <w:t xml:space="preserve"> The comparison supports testing a rule that uses only information available at the decision time. It does not show that screening or preferred access will cause the lower rate.</w:t>
      </w:r>
    </w:p>
    <w:p>
      <w:pPr>
        <w:pStyle w:val="Heading2"/>
      </w:pPr>
      <w:r>
        <w:rPr>
          <w:rFonts w:ascii="Calibri" w:hAnsi="Calibri"/>
          <w:b w:val="0"/>
          <w:color w:val="263238"/>
          <w:sz w:val="22"/>
        </w:rPr>
        <w:t>3. The booking order requires an experiment</w:t>
      </w:r>
    </w:p>
    <w:p>
      <w:r>
        <w:rPr>
          <w:rFonts w:ascii="Calibri" w:hAnsi="Calibri"/>
          <w:b/>
          <w:color w:val="263238"/>
          <w:sz w:val="22"/>
        </w:rPr>
        <w:t>Hypothesis.</w:t>
      </w:r>
      <w:r>
        <w:rPr>
          <w:rFonts w:ascii="Calibri" w:hAnsi="Calibri"/>
          <w:b w:val="0"/>
          <w:color w:val="263238"/>
          <w:sz w:val="22"/>
        </w:rPr>
        <w:t xml:space="preserve"> A temporary preferred-access period for the qualifying group may reduce late cancellations without unacceptable effects on fill, time to fill, NCNS, or access.</w:t>
      </w:r>
    </w:p>
    <w:p>
      <w:r>
        <w:rPr>
          <w:rFonts w:ascii="Calibri" w:hAnsi="Calibri"/>
          <w:b/>
          <w:color w:val="263238"/>
          <w:sz w:val="22"/>
        </w:rPr>
        <w:t>Test design, not historical finding.</w:t>
      </w:r>
      <w:r>
        <w:rPr>
          <w:rFonts w:ascii="Calibri" w:hAnsi="Calibri"/>
          <w:b w:val="0"/>
          <w:color w:val="263238"/>
          <w:sz w:val="22"/>
        </w:rPr>
        <w:t xml:space="preserve"> Randomize each eligible open Shift ID in the 24-to-less-than-72-hour window. For treatment shifts, qualifying professionals receive 30 minutes of preferred access before an unfilled shift returns to the wider qualified pool. Control shifts retain the current booking process.</w:t>
      </w:r>
    </w:p>
    <w:p>
      <w:pPr>
        <w:pStyle w:val="Heading1"/>
      </w:pPr>
      <w:r>
        <w:rPr>
          <w:rFonts w:ascii="Calibri" w:hAnsi="Calibri"/>
          <w:b w:val="0"/>
          <w:color w:val="263238"/>
          <w:sz w:val="22"/>
        </w:rPr>
        <w:t>Pilot decision frame</w:t>
      </w:r>
    </w:p>
    <w:p>
      <w:r>
        <w:rPr>
          <w:rFonts w:ascii="Calibri" w:hAnsi="Calibri"/>
          <w:b w:val="0"/>
          <w:color w:val="263238"/>
          <w:sz w:val="22"/>
        </w:rPr>
        <w:t>The proposed 16-week Metro A pilot uses a 3.5-percentage-point treatment-control success threshold. The 7.5% value is a historical benchmark from the qualifying group, not a forecast. NCNS, fill rate, median time to fill, and access for professionals with shorter histories are guardrails.</w:t>
      </w:r>
    </w:p>
    <w:p>
      <w:pPr>
        <w:pStyle w:val="Heading1"/>
      </w:pPr>
      <w:r>
        <w:rPr>
          <w:rFonts w:ascii="Calibri" w:hAnsi="Calibri"/>
          <w:b w:val="0"/>
          <w:color w:val="263238"/>
          <w:sz w:val="22"/>
        </w:rPr>
        <w:t>What this analysis does not establish</w:t>
      </w:r>
    </w:p>
    <w:p>
      <w:pPr>
        <w:pStyle w:val="ListBullet"/>
        <w:spacing w:after="80" w:line="300" w:lineRule="auto"/>
        <w:ind w:left="720" w:hanging="360"/>
      </w:pPr>
      <w:r>
        <w:rPr>
          <w:rFonts w:ascii="Calibri" w:hAnsi="Calibri"/>
          <w:b w:val="0"/>
          <w:color w:val="263238"/>
          <w:sz w:val="22"/>
        </w:rPr>
        <w:t>It does not identify individual causes such as illness, transportation,</w:t>
      </w:r>
    </w:p>
    <w:p>
      <w:r>
        <w:rPr>
          <w:rFonts w:ascii="Calibri" w:hAnsi="Calibri"/>
          <w:b w:val="0"/>
          <w:color w:val="263238"/>
          <w:sz w:val="22"/>
        </w:rPr>
        <w:t xml:space="preserve">  facility conditions, incentives, or a professional's intent; those details   are not established by the supplied records.</w:t>
      </w:r>
    </w:p>
    <w:p>
      <w:pPr>
        <w:pStyle w:val="ListBullet"/>
        <w:spacing w:after="80" w:line="300" w:lineRule="auto"/>
        <w:ind w:left="720" w:hanging="360"/>
      </w:pPr>
      <w:r>
        <w:rPr>
          <w:rFonts w:ascii="Calibri" w:hAnsi="Calibri"/>
          <w:b w:val="0"/>
          <w:color w:val="263238"/>
          <w:sz w:val="22"/>
        </w:rPr>
        <w:t>It does not establish a causal effect of booking lead time, history-based</w:t>
      </w:r>
    </w:p>
    <w:p>
      <w:r>
        <w:rPr>
          <w:rFonts w:ascii="Calibri" w:hAnsi="Calibri"/>
          <w:b w:val="0"/>
          <w:color w:val="263238"/>
          <w:sz w:val="22"/>
        </w:rPr>
        <w:t xml:space="preserve">  screening, or preferred access.</w:t>
      </w:r>
    </w:p>
    <w:p>
      <w:pPr>
        <w:pStyle w:val="ListBullet"/>
        <w:spacing w:after="80" w:line="300" w:lineRule="auto"/>
        <w:ind w:left="720" w:hanging="360"/>
      </w:pPr>
      <w:r>
        <w:rPr>
          <w:rFonts w:ascii="Calibri" w:hAnsi="Calibri"/>
          <w:b w:val="0"/>
          <w:color w:val="263238"/>
          <w:sz w:val="22"/>
        </w:rPr>
        <w:t>It does not generalize Metro A's historical results to another market</w:t>
      </w:r>
    </w:p>
    <w:p>
      <w:r>
        <w:rPr>
          <w:rFonts w:ascii="Calibri" w:hAnsi="Calibri"/>
          <w:b w:val="0"/>
          <w:color w:val="263238"/>
          <w:sz w:val="22"/>
        </w:rPr>
        <w:t xml:space="preserve">  without a refreshed baseline and history check.</w:t>
      </w:r>
    </w:p>
    <w:p>
      <w:pPr>
        <w:pStyle w:val="Heading1"/>
      </w:pPr>
      <w:r>
        <w:rPr>
          <w:rFonts w:ascii="Calibri" w:hAnsi="Calibri"/>
          <w:b w:val="0"/>
          <w:color w:val="263238"/>
          <w:sz w:val="22"/>
        </w:rPr>
        <w:t>Evidence limits</w:t>
      </w:r>
    </w:p>
    <w:p>
      <w:r>
        <w:rPr>
          <w:rFonts w:ascii="Calibri" w:hAnsi="Calibri"/>
          <w:b w:val="0"/>
          <w:color w:val="263238"/>
          <w:sz w:val="22"/>
        </w:rPr>
        <w:t>The supplied records may omit earlier professional activity. Some shifts have multiple booking events, booking records with negative supplied lead times are excluded from the retained timing analyses, and one analysis-population shift has a missing scheduled start. The target booking is excluded from its own history calculation.</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5"/>
        <w:sz w:val="16"/>
      </w:rPr>
      <w:t>Anonymized take-home case portfolio edition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F6B75"/>
        <w:sz w:val="17"/>
      </w:rPr>
      <w:t>MARKETPLACE RELIABILITY / PORTFOLIO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rtfolioSubtitle">
    <w:name w:val="Portfolio Subtitle"/>
    <w:pPr>
      <w:spacing w:after="320"/>
    </w:pPr>
    <w:rPr>
      <w:rFonts w:ascii="Calibri" w:hAnsi="Calibri"/>
      <w:color w:val="5F6B7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Reliability Issue Tree</dc:title>
  <dc:subject>Anonymized portfolio edition of a take-home case</dc:subject>
  <dc:creator/>
  <cp:keywords>marketplace reliability, anonymized portfolio</cp:keywords>
  <dc:description>generated by python-docx</dc:description>
  <cp:lastModifiedBy/>
  <cp:revision>1</cp:revision>
  <dcterms:created xsi:type="dcterms:W3CDTF">2013-12-23T23:15:00Z</dcterms:created>
  <dcterms:modified xsi:type="dcterms:W3CDTF">2013-12-23T23:15:00Z</dcterms:modified>
  <cp:category>Portfolio analysis</cp:category>
</cp:coreProperties>
</file>