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5D817" w14:textId="77777777" w:rsidR="00DC0E70" w:rsidRDefault="00DC0E70" w:rsidP="00DC0E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Employing an event-driven approach for managing power outages in an IoT Fish Watcher application offers several advantages and aligns well with the nature of real-time monitoring systems. Here's why:</w:t>
      </w:r>
    </w:p>
    <w:p w14:paraId="4EAF9A9C" w14:textId="77777777" w:rsidR="00DC0E70" w:rsidRDefault="00DC0E70" w:rsidP="00DC0E70">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Real-time Response</w:t>
      </w:r>
      <w:r>
        <w:rPr>
          <w:rFonts w:ascii="Segoe UI" w:hAnsi="Segoe UI" w:cs="Segoe UI"/>
          <w:color w:val="0D0D0D"/>
        </w:rPr>
        <w:t>: An event-driven architecture allows the system to respond immediately to power outage events. When a power outage is detected, events are triggered, and the system can initiate predefined actions in real-time, such as activating backup power sources or gracefully shutting down non-essential operations to conserve energy.</w:t>
      </w:r>
    </w:p>
    <w:p w14:paraId="41CB2B9D" w14:textId="77777777" w:rsidR="00DC0E70" w:rsidRDefault="00DC0E70" w:rsidP="00DC0E70">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Fault Tolerance</w:t>
      </w:r>
      <w:r>
        <w:rPr>
          <w:rFonts w:ascii="Segoe UI" w:hAnsi="Segoe UI" w:cs="Segoe UI"/>
          <w:color w:val="0D0D0D"/>
        </w:rPr>
        <w:t>: Event-driven systems are inherently fault-tolerant. They can continue processing events and executing critical tasks even if certain components or services fail during a power outage. By decoupling components and relying on event-driven communication, the system can maintain resilience in the face of disruptions.</w:t>
      </w:r>
    </w:p>
    <w:p w14:paraId="2A54F0D1" w14:textId="77777777" w:rsidR="00DC0E70" w:rsidRDefault="00DC0E70" w:rsidP="00DC0E70">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Scalability</w:t>
      </w:r>
      <w:r>
        <w:rPr>
          <w:rFonts w:ascii="Segoe UI" w:hAnsi="Segoe UI" w:cs="Segoe UI"/>
          <w:color w:val="0D0D0D"/>
        </w:rPr>
        <w:t>: Event-driven architectures are highly scalable, making them suitable for handling fluctuations in workload and resource availability caused by power outages. The system can dynamically allocate resources and scale components based on the volume of events generated during and after a power outage.</w:t>
      </w:r>
    </w:p>
    <w:p w14:paraId="17A7400B" w14:textId="77777777" w:rsidR="00DC0E70" w:rsidRDefault="00DC0E70" w:rsidP="00DC0E70">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Asynchronous Communication</w:t>
      </w:r>
      <w:r>
        <w:rPr>
          <w:rFonts w:ascii="Segoe UI" w:hAnsi="Segoe UI" w:cs="Segoe UI"/>
          <w:color w:val="0D0D0D"/>
        </w:rPr>
        <w:t>: Event-driven systems facilitate asynchronous communication between components, allowing them to operate independently and asynchronously. This asynchronous communication pattern enables components to process events at their own pace, reducing the risk of bottlenecks and ensuring smooth operation during power outages.</w:t>
      </w:r>
    </w:p>
    <w:p w14:paraId="0650AFBB" w14:textId="77777777" w:rsidR="00DC0E70" w:rsidRDefault="00DC0E70" w:rsidP="00DC0E70">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Modular Design</w:t>
      </w:r>
      <w:r>
        <w:rPr>
          <w:rFonts w:ascii="Segoe UI" w:hAnsi="Segoe UI" w:cs="Segoe UI"/>
          <w:color w:val="0D0D0D"/>
        </w:rPr>
        <w:t>: Event-driven architectures promote modular design and loose coupling between components. This modular structure enables easier maintenance, updates, and enhancements to the system, making it more adaptable to changes in requirements or environmental conditions, including power outages.</w:t>
      </w:r>
    </w:p>
    <w:p w14:paraId="60724238" w14:textId="77777777" w:rsidR="00DC0E70" w:rsidRDefault="00DC0E70" w:rsidP="00DC0E70">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Customizable Responses</w:t>
      </w:r>
      <w:r>
        <w:rPr>
          <w:rFonts w:ascii="Segoe UI" w:hAnsi="Segoe UI" w:cs="Segoe UI"/>
          <w:color w:val="0D0D0D"/>
        </w:rPr>
        <w:t>: With an event-driven approach, the system can be configured to trigger customized responses to power outage events based on predefined rules and policies. For example, it can prioritize critical operations, adjust data collection frequencies, or switch to energy-saving modes to optimize resource utilization during power outages.</w:t>
      </w:r>
    </w:p>
    <w:p w14:paraId="1A633B68" w14:textId="77777777" w:rsidR="00DC0E70" w:rsidRDefault="00DC0E70" w:rsidP="00DC0E70">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Integration with Monitoring Systems</w:t>
      </w:r>
      <w:r>
        <w:rPr>
          <w:rFonts w:ascii="Segoe UI" w:hAnsi="Segoe UI" w:cs="Segoe UI"/>
          <w:color w:val="0D0D0D"/>
        </w:rPr>
        <w:t>: Event-driven architectures facilitate integration with external monitoring systems and infrastructure management tools. By leveraging event-driven communication protocols and standards, the Fish Watcher application can seamlessly interact with power monitoring systems, utility grids, and smart infrastructure to coordinate responses to power outages effectively.</w:t>
      </w:r>
    </w:p>
    <w:p w14:paraId="6BEACF2F" w14:textId="77777777" w:rsidR="00DC0E70" w:rsidRDefault="00DC0E70" w:rsidP="00DC0E7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adopting an event-driven approach enhances the resilience, responsiveness, and adaptability of IoT Fish Watcher applications in the face of power outages and other disruptions. It enables the system to maintain continuous monitoring capabilities, mitigate risks, and ensure the safety and well-being of aquatic environments and fish populations.</w:t>
      </w:r>
    </w:p>
    <w:p w14:paraId="2CD9B7F5" w14:textId="77777777" w:rsidR="000C6832" w:rsidRDefault="000C6832"/>
    <w:sectPr w:rsidR="000C6832">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83D8C" w14:textId="77777777" w:rsidR="00D3174D" w:rsidRDefault="00D3174D" w:rsidP="00DC0E70">
      <w:pPr>
        <w:spacing w:after="0" w:line="240" w:lineRule="auto"/>
      </w:pPr>
      <w:r>
        <w:separator/>
      </w:r>
    </w:p>
  </w:endnote>
  <w:endnote w:type="continuationSeparator" w:id="0">
    <w:p w14:paraId="37AD2D41" w14:textId="77777777" w:rsidR="00D3174D" w:rsidRDefault="00D3174D" w:rsidP="00DC0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FFD06" w14:textId="77777777" w:rsidR="00D3174D" w:rsidRDefault="00D3174D" w:rsidP="00DC0E70">
      <w:pPr>
        <w:spacing w:after="0" w:line="240" w:lineRule="auto"/>
      </w:pPr>
      <w:r>
        <w:separator/>
      </w:r>
    </w:p>
  </w:footnote>
  <w:footnote w:type="continuationSeparator" w:id="0">
    <w:p w14:paraId="4BC555BA" w14:textId="77777777" w:rsidR="00D3174D" w:rsidRDefault="00D3174D" w:rsidP="00DC0E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0FF14" w14:textId="7F391F35" w:rsidR="00DC0E70" w:rsidRDefault="00DC0E70">
    <w:pPr>
      <w:pStyle w:val="Header"/>
    </w:pPr>
    <w:r>
      <w:rPr>
        <w:noProof/>
      </w:rPr>
      <mc:AlternateContent>
        <mc:Choice Requires="wps">
          <w:drawing>
            <wp:anchor distT="0" distB="0" distL="0" distR="0" simplePos="0" relativeHeight="251659264" behindDoc="0" locked="0" layoutInCell="1" allowOverlap="1" wp14:anchorId="4D6F23F9" wp14:editId="6A3E2CF2">
              <wp:simplePos x="635" y="635"/>
              <wp:positionH relativeFrom="page">
                <wp:align>left</wp:align>
              </wp:positionH>
              <wp:positionV relativeFrom="page">
                <wp:align>top</wp:align>
              </wp:positionV>
              <wp:extent cx="443865" cy="443865"/>
              <wp:effectExtent l="0" t="0" r="0" b="1270"/>
              <wp:wrapNone/>
              <wp:docPr id="1589644077" name="Text Box 2"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B75272C" w14:textId="286C703E" w:rsidR="00DC0E70" w:rsidRPr="00DC0E70" w:rsidRDefault="00DC0E70" w:rsidP="00DC0E70">
                          <w:pPr>
                            <w:spacing w:after="0"/>
                            <w:rPr>
                              <w:rFonts w:ascii="Tahoma" w:eastAsia="Tahoma" w:hAnsi="Tahoma" w:cs="Tahoma"/>
                              <w:noProof/>
                              <w:color w:val="CF022B"/>
                              <w:sz w:val="16"/>
                              <w:szCs w:val="16"/>
                            </w:rPr>
                          </w:pPr>
                          <w:r w:rsidRPr="00DC0E70">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D6F23F9" id="_x0000_t202" coordsize="21600,21600" o:spt="202" path="m,l,21600r21600,l21600,xe">
              <v:stroke joinstyle="miter"/>
              <v:path gradientshapeok="t" o:connecttype="rect"/>
            </v:shapetype>
            <v:shape id="Text Box 2" o:spid="_x0000_s1026" type="#_x0000_t202" alt="               C2 - Restricted use"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0B75272C" w14:textId="286C703E" w:rsidR="00DC0E70" w:rsidRPr="00DC0E70" w:rsidRDefault="00DC0E70" w:rsidP="00DC0E70">
                    <w:pPr>
                      <w:spacing w:after="0"/>
                      <w:rPr>
                        <w:rFonts w:ascii="Tahoma" w:eastAsia="Tahoma" w:hAnsi="Tahoma" w:cs="Tahoma"/>
                        <w:noProof/>
                        <w:color w:val="CF022B"/>
                        <w:sz w:val="16"/>
                        <w:szCs w:val="16"/>
                      </w:rPr>
                    </w:pPr>
                    <w:r w:rsidRPr="00DC0E70">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1BBE7" w14:textId="71221327" w:rsidR="00DC0E70" w:rsidRDefault="00DC0E70">
    <w:pPr>
      <w:pStyle w:val="Header"/>
    </w:pPr>
    <w:r>
      <w:rPr>
        <w:noProof/>
      </w:rPr>
      <mc:AlternateContent>
        <mc:Choice Requires="wps">
          <w:drawing>
            <wp:anchor distT="0" distB="0" distL="0" distR="0" simplePos="0" relativeHeight="251660288" behindDoc="0" locked="0" layoutInCell="1" allowOverlap="1" wp14:anchorId="4345C4C4" wp14:editId="441D5B8A">
              <wp:simplePos x="914400" y="457200"/>
              <wp:positionH relativeFrom="page">
                <wp:align>left</wp:align>
              </wp:positionH>
              <wp:positionV relativeFrom="page">
                <wp:align>top</wp:align>
              </wp:positionV>
              <wp:extent cx="443865" cy="443865"/>
              <wp:effectExtent l="0" t="0" r="0" b="1270"/>
              <wp:wrapNone/>
              <wp:docPr id="421472450" name="Text Box 3"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1628F2" w14:textId="002DA708" w:rsidR="00DC0E70" w:rsidRPr="00DC0E70" w:rsidRDefault="00DC0E70" w:rsidP="00DC0E70">
                          <w:pPr>
                            <w:spacing w:after="0"/>
                            <w:rPr>
                              <w:rFonts w:ascii="Tahoma" w:eastAsia="Tahoma" w:hAnsi="Tahoma" w:cs="Tahoma"/>
                              <w:noProof/>
                              <w:color w:val="CF022B"/>
                              <w:sz w:val="16"/>
                              <w:szCs w:val="16"/>
                            </w:rPr>
                          </w:pPr>
                          <w:r w:rsidRPr="00DC0E70">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345C4C4" id="_x0000_t202" coordsize="21600,21600" o:spt="202" path="m,l,21600r21600,l21600,xe">
              <v:stroke joinstyle="miter"/>
              <v:path gradientshapeok="t" o:connecttype="rect"/>
            </v:shapetype>
            <v:shape id="Text Box 3" o:spid="_x0000_s1027" type="#_x0000_t202" alt="               C2 - Restricted use"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2F1628F2" w14:textId="002DA708" w:rsidR="00DC0E70" w:rsidRPr="00DC0E70" w:rsidRDefault="00DC0E70" w:rsidP="00DC0E70">
                    <w:pPr>
                      <w:spacing w:after="0"/>
                      <w:rPr>
                        <w:rFonts w:ascii="Tahoma" w:eastAsia="Tahoma" w:hAnsi="Tahoma" w:cs="Tahoma"/>
                        <w:noProof/>
                        <w:color w:val="CF022B"/>
                        <w:sz w:val="16"/>
                        <w:szCs w:val="16"/>
                      </w:rPr>
                    </w:pPr>
                    <w:r w:rsidRPr="00DC0E70">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D96AA" w14:textId="2436D37D" w:rsidR="00DC0E70" w:rsidRDefault="00DC0E70">
    <w:pPr>
      <w:pStyle w:val="Header"/>
    </w:pPr>
    <w:r>
      <w:rPr>
        <w:noProof/>
      </w:rPr>
      <mc:AlternateContent>
        <mc:Choice Requires="wps">
          <w:drawing>
            <wp:anchor distT="0" distB="0" distL="0" distR="0" simplePos="0" relativeHeight="251658240" behindDoc="0" locked="0" layoutInCell="1" allowOverlap="1" wp14:anchorId="665C1F2D" wp14:editId="4CE587A0">
              <wp:simplePos x="635" y="635"/>
              <wp:positionH relativeFrom="page">
                <wp:align>left</wp:align>
              </wp:positionH>
              <wp:positionV relativeFrom="page">
                <wp:align>top</wp:align>
              </wp:positionV>
              <wp:extent cx="443865" cy="443865"/>
              <wp:effectExtent l="0" t="0" r="0" b="1270"/>
              <wp:wrapNone/>
              <wp:docPr id="1286914813" name="Text Box 1"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22DA41" w14:textId="6A1BB3A5" w:rsidR="00DC0E70" w:rsidRPr="00DC0E70" w:rsidRDefault="00DC0E70" w:rsidP="00DC0E70">
                          <w:pPr>
                            <w:spacing w:after="0"/>
                            <w:rPr>
                              <w:rFonts w:ascii="Tahoma" w:eastAsia="Tahoma" w:hAnsi="Tahoma" w:cs="Tahoma"/>
                              <w:noProof/>
                              <w:color w:val="CF022B"/>
                              <w:sz w:val="16"/>
                              <w:szCs w:val="16"/>
                            </w:rPr>
                          </w:pPr>
                          <w:r w:rsidRPr="00DC0E70">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65C1F2D" id="_x0000_t202" coordsize="21600,21600" o:spt="202" path="m,l,21600r21600,l21600,xe">
              <v:stroke joinstyle="miter"/>
              <v:path gradientshapeok="t" o:connecttype="rect"/>
            </v:shapetype>
            <v:shape id="Text Box 1" o:spid="_x0000_s1028" type="#_x0000_t202" alt="               C2 - Restricted use"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0E22DA41" w14:textId="6A1BB3A5" w:rsidR="00DC0E70" w:rsidRPr="00DC0E70" w:rsidRDefault="00DC0E70" w:rsidP="00DC0E70">
                    <w:pPr>
                      <w:spacing w:after="0"/>
                      <w:rPr>
                        <w:rFonts w:ascii="Tahoma" w:eastAsia="Tahoma" w:hAnsi="Tahoma" w:cs="Tahoma"/>
                        <w:noProof/>
                        <w:color w:val="CF022B"/>
                        <w:sz w:val="16"/>
                        <w:szCs w:val="16"/>
                      </w:rPr>
                    </w:pPr>
                    <w:r w:rsidRPr="00DC0E70">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A4945"/>
    <w:multiLevelType w:val="multilevel"/>
    <w:tmpl w:val="1DCEA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0370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EB1"/>
    <w:rsid w:val="000C6832"/>
    <w:rsid w:val="00724EB1"/>
    <w:rsid w:val="00D3174D"/>
    <w:rsid w:val="00DC0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09AF1-DB16-431A-AF6F-A650EA342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0E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0E70"/>
    <w:rPr>
      <w:b/>
      <w:bCs/>
    </w:rPr>
  </w:style>
  <w:style w:type="paragraph" w:styleId="Header">
    <w:name w:val="header"/>
    <w:basedOn w:val="Normal"/>
    <w:link w:val="HeaderChar"/>
    <w:uiPriority w:val="99"/>
    <w:unhideWhenUsed/>
    <w:rsid w:val="00DC0E70"/>
    <w:pPr>
      <w:tabs>
        <w:tab w:val="center" w:pos="4419"/>
        <w:tab w:val="right" w:pos="8838"/>
      </w:tabs>
      <w:spacing w:after="0" w:line="240" w:lineRule="auto"/>
    </w:pPr>
  </w:style>
  <w:style w:type="character" w:customStyle="1" w:styleId="HeaderChar">
    <w:name w:val="Header Char"/>
    <w:basedOn w:val="DefaultParagraphFont"/>
    <w:link w:val="Header"/>
    <w:uiPriority w:val="99"/>
    <w:rsid w:val="00DC0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32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KHATRI Pragya</dc:creator>
  <cp:keywords/>
  <dc:description/>
  <cp:lastModifiedBy>KHATRI Pragya</cp:lastModifiedBy>
  <cp:revision>2</cp:revision>
  <dcterms:created xsi:type="dcterms:W3CDTF">2024-04-05T23:27:00Z</dcterms:created>
  <dcterms:modified xsi:type="dcterms:W3CDTF">2024-04-05T23:27:00Z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4cb4c2fd,5ec00b2d,191f28c2</vt:lpwstr>
  </property>
  <property fmtid="{D5CDD505-2E9C-101B-9397-08002B2CF9AE}" pid="3" name="ClassificationContentMarkingHeaderFontProps">
    <vt:lpwstr>#cf022b,8,Tahoma</vt:lpwstr>
  </property>
  <property fmtid="{D5CDD505-2E9C-101B-9397-08002B2CF9AE}" pid="4" name="ClassificationContentMarkingHeaderText">
    <vt:lpwstr>               C2 - Restricted use</vt:lpwstr>
  </property>
  <property fmtid="{D5CDD505-2E9C-101B-9397-08002B2CF9AE}" pid="5" name="MSIP_Label_c5e6e129-f928-4a05-ae32-d838f6b21bdd_Enabled">
    <vt:lpwstr>true</vt:lpwstr>
  </property>
  <property fmtid="{D5CDD505-2E9C-101B-9397-08002B2CF9AE}" pid="6" name="MSIP_Label_c5e6e129-f928-4a05-ae32-d838f6b21bdd_SetDate">
    <vt:lpwstr>2024-04-05T23:27:14Z</vt:lpwstr>
  </property>
  <property fmtid="{D5CDD505-2E9C-101B-9397-08002B2CF9AE}" pid="7" name="MSIP_Label_c5e6e129-f928-4a05-ae32-d838f6b21bdd_Method">
    <vt:lpwstr>Standard</vt:lpwstr>
  </property>
  <property fmtid="{D5CDD505-2E9C-101B-9397-08002B2CF9AE}" pid="8" name="MSIP_Label_c5e6e129-f928-4a05-ae32-d838f6b21bdd_Name">
    <vt:lpwstr>EN Restricted use</vt:lpwstr>
  </property>
  <property fmtid="{D5CDD505-2E9C-101B-9397-08002B2CF9AE}" pid="9" name="MSIP_Label_c5e6e129-f928-4a05-ae32-d838f6b21bdd_SiteId">
    <vt:lpwstr>8b87af7d-8647-4dc7-8df4-5f69a2011bb5</vt:lpwstr>
  </property>
  <property fmtid="{D5CDD505-2E9C-101B-9397-08002B2CF9AE}" pid="10" name="MSIP_Label_c5e6e129-f928-4a05-ae32-d838f6b21bdd_ActionId">
    <vt:lpwstr>54df84d1-09b4-4fb0-b727-f991ab9efbaa</vt:lpwstr>
  </property>
  <property fmtid="{D5CDD505-2E9C-101B-9397-08002B2CF9AE}" pid="11" name="MSIP_Label_c5e6e129-f928-4a05-ae32-d838f6b21bdd_ContentBits">
    <vt:lpwstr>3</vt:lpwstr>
  </property>
</Properties>
</file>