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A481A" w14:textId="77777777" w:rsidR="00CF11C5" w:rsidRPr="00580539" w:rsidRDefault="00000000">
      <w:pPr>
        <w:pStyle w:val="Title"/>
        <w:jc w:val="center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IDBI Innovate 2026</w:t>
      </w:r>
    </w:p>
    <w:p w14:paraId="305CF91E" w14:textId="77777777" w:rsidR="00CF11C5" w:rsidRPr="00580539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b/>
          <w:color w:val="000000" w:themeColor="text1"/>
          <w:sz w:val="28"/>
        </w:rPr>
        <w:t>Financial Health Card for MSMEs</w:t>
      </w:r>
    </w:p>
    <w:p w14:paraId="79CDCE69" w14:textId="77777777" w:rsidR="00CF11C5" w:rsidRPr="00580539" w:rsidRDefault="00CF11C5">
      <w:pPr>
        <w:rPr>
          <w:rFonts w:ascii="Times New Roman" w:hAnsi="Times New Roman" w:cs="Times New Roman"/>
          <w:color w:val="000000" w:themeColor="text1"/>
        </w:rPr>
      </w:pPr>
    </w:p>
    <w:p w14:paraId="67747C2A" w14:textId="77777777" w:rsidR="00CF11C5" w:rsidRPr="0058053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1. Executive Summary</w:t>
      </w:r>
    </w:p>
    <w:p w14:paraId="7ACC585B" w14:textId="5A151198" w:rsidR="00CF11C5" w:rsidRPr="00580539" w:rsidRDefault="00000000">
      <w:pPr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 xml:space="preserve">create a Financial Health Card—a revolutionary credit assessment tool that moves beyond traditional credit scores to evaluate MSME </w:t>
      </w:r>
      <w:proofErr w:type="gramStart"/>
      <w:r w:rsidRPr="00580539">
        <w:rPr>
          <w:rFonts w:ascii="Times New Roman" w:hAnsi="Times New Roman" w:cs="Times New Roman"/>
          <w:color w:val="000000" w:themeColor="text1"/>
        </w:rPr>
        <w:t>creditworthiness  using</w:t>
      </w:r>
      <w:proofErr w:type="gramEnd"/>
      <w:r w:rsidRPr="00580539">
        <w:rPr>
          <w:rFonts w:ascii="Times New Roman" w:hAnsi="Times New Roman" w:cs="Times New Roman"/>
          <w:color w:val="000000" w:themeColor="text1"/>
        </w:rPr>
        <w:t xml:space="preserve"> multiple financial signals.</w:t>
      </w:r>
    </w:p>
    <w:p w14:paraId="0C6699FE" w14:textId="77777777" w:rsidR="00CF11C5" w:rsidRPr="0058053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Problem: 50%+ MSMEs rejected despite being viable, due to credit-invisible status and over-reliance on collateral.</w:t>
      </w:r>
    </w:p>
    <w:p w14:paraId="572E4D5C" w14:textId="77777777" w:rsidR="00CF11C5" w:rsidRPr="0058053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Solution: Aggregate GST, UPI, EPFO, and bank statement data to generate a risk-adjusted Financial Health Score.</w:t>
      </w:r>
    </w:p>
    <w:p w14:paraId="265AA315" w14:textId="77777777" w:rsidR="00CF11C5" w:rsidRPr="0058053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Impact: Unlock credit for 10M+ MSMEs, reduce false rejections by 90%, enable IDBI to capture underserved market.</w:t>
      </w:r>
    </w:p>
    <w:p w14:paraId="7E2F1C3D" w14:textId="77777777" w:rsidR="00CF11C5" w:rsidRPr="0058053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Timeline: Prototype by Aug 12, 2026; production-ready by Q4 2026.</w:t>
      </w:r>
    </w:p>
    <w:p w14:paraId="705B5887" w14:textId="77777777" w:rsidR="00CF11C5" w:rsidRPr="0058053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2. Problem Statement</w:t>
      </w:r>
    </w:p>
    <w:p w14:paraId="7B60235B" w14:textId="77777777" w:rsidR="00CF11C5" w:rsidRPr="00580539" w:rsidRDefault="00000000">
      <w:pPr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India has 63M MSMEs that contribute 30% of GDP but face severe credit constraints: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4670"/>
        <w:gridCol w:w="4670"/>
      </w:tblGrid>
      <w:tr w:rsidR="00CF11C5" w:rsidRPr="00580539" w14:paraId="4B1B529B" w14:textId="77777777" w:rsidTr="005805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239650D" w14:textId="77777777" w:rsidR="00CF11C5" w:rsidRPr="0058053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Challenge</w:t>
            </w:r>
          </w:p>
        </w:tc>
        <w:tc>
          <w:tcPr>
            <w:tcW w:w="4680" w:type="dxa"/>
          </w:tcPr>
          <w:p w14:paraId="5EE67B76" w14:textId="77777777" w:rsidR="00CF11C5" w:rsidRPr="005805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Impact</w:t>
            </w:r>
          </w:p>
        </w:tc>
      </w:tr>
      <w:tr w:rsidR="00CF11C5" w:rsidRPr="00580539" w14:paraId="176E32EE" w14:textId="77777777" w:rsidTr="005805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23CDDFF" w14:textId="77777777" w:rsidR="00CF11C5" w:rsidRPr="00580539" w:rsidRDefault="00CF11C5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680" w:type="dxa"/>
          </w:tcPr>
          <w:p w14:paraId="241D69BD" w14:textId="77777777" w:rsidR="00CF11C5" w:rsidRPr="00580539" w:rsidRDefault="00CF1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F11C5" w:rsidRPr="00580539" w14:paraId="65E10072" w14:textId="77777777" w:rsidTr="005805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9A4A1EF" w14:textId="77777777" w:rsidR="00CF11C5" w:rsidRPr="00580539" w:rsidRDefault="00CF11C5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680" w:type="dxa"/>
          </w:tcPr>
          <w:p w14:paraId="3BE546FC" w14:textId="77777777" w:rsidR="00CF11C5" w:rsidRPr="00580539" w:rsidRDefault="00CF11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F11C5" w:rsidRPr="00580539" w14:paraId="498B0EEE" w14:textId="77777777" w:rsidTr="005805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3DAF986" w14:textId="77777777" w:rsidR="00CF11C5" w:rsidRPr="00580539" w:rsidRDefault="00CF11C5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680" w:type="dxa"/>
          </w:tcPr>
          <w:p w14:paraId="02A33092" w14:textId="77777777" w:rsidR="00CF11C5" w:rsidRPr="00580539" w:rsidRDefault="00CF1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F11C5" w:rsidRPr="00580539" w14:paraId="181976BD" w14:textId="77777777" w:rsidTr="005805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6C89BA6" w14:textId="77777777" w:rsidR="00CF11C5" w:rsidRPr="0058053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Rejection Rate</w:t>
            </w:r>
          </w:p>
        </w:tc>
        <w:tc>
          <w:tcPr>
            <w:tcW w:w="4680" w:type="dxa"/>
          </w:tcPr>
          <w:p w14:paraId="09082253" w14:textId="77777777" w:rsidR="00CF11C5" w:rsidRPr="005805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50%+ viable MSMEs rejected due to poor credit history or missing documentation</w:t>
            </w:r>
          </w:p>
        </w:tc>
      </w:tr>
      <w:tr w:rsidR="00CF11C5" w:rsidRPr="00580539" w14:paraId="2118A518" w14:textId="77777777" w:rsidTr="005805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3ECE70F" w14:textId="77777777" w:rsidR="00CF11C5" w:rsidRPr="0058053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Credit Invisibility</w:t>
            </w:r>
          </w:p>
        </w:tc>
        <w:tc>
          <w:tcPr>
            <w:tcW w:w="4680" w:type="dxa"/>
          </w:tcPr>
          <w:p w14:paraId="5268FF58" w14:textId="77777777" w:rsidR="00CF11C5" w:rsidRPr="005805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70% of MSMEs lack formal credit records; traditional models treat as "no data"</w:t>
            </w:r>
          </w:p>
        </w:tc>
      </w:tr>
      <w:tr w:rsidR="00CF11C5" w:rsidRPr="00580539" w14:paraId="11930EC3" w14:textId="77777777" w:rsidTr="005805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9824031" w14:textId="77777777" w:rsidR="00CF11C5" w:rsidRPr="0058053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Collateral Dependency</w:t>
            </w:r>
          </w:p>
        </w:tc>
        <w:tc>
          <w:tcPr>
            <w:tcW w:w="4680" w:type="dxa"/>
          </w:tcPr>
          <w:p w14:paraId="24E573AA" w14:textId="77777777" w:rsidR="00CF11C5" w:rsidRPr="005805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Lenders demand 150%+ collateral, excluding asset-light businesses (services, tech)</w:t>
            </w:r>
          </w:p>
        </w:tc>
      </w:tr>
      <w:tr w:rsidR="00CF11C5" w:rsidRPr="00580539" w14:paraId="29D5C88E" w14:textId="77777777" w:rsidTr="005805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1AA05B0" w14:textId="77777777" w:rsidR="00CF11C5" w:rsidRPr="0058053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Decision Time</w:t>
            </w:r>
          </w:p>
        </w:tc>
        <w:tc>
          <w:tcPr>
            <w:tcW w:w="4680" w:type="dxa"/>
          </w:tcPr>
          <w:p w14:paraId="02A90948" w14:textId="77777777" w:rsidR="00CF11C5" w:rsidRPr="005805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Manual assessment takes 2-4 weeks; speed to capital matters</w:t>
            </w:r>
          </w:p>
        </w:tc>
      </w:tr>
    </w:tbl>
    <w:p w14:paraId="097BA850" w14:textId="77777777" w:rsidR="00CF11C5" w:rsidRPr="00580539" w:rsidRDefault="00000000">
      <w:pPr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Result: 5L crore in unmet MSME credit demand; lost revenue for IDBI.</w:t>
      </w:r>
    </w:p>
    <w:p w14:paraId="67F4BC6F" w14:textId="77777777" w:rsidR="00CF11C5" w:rsidRPr="0058053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3. Solution: Financial Health Card</w:t>
      </w:r>
    </w:p>
    <w:p w14:paraId="32EDD115" w14:textId="77777777" w:rsidR="00CF11C5" w:rsidRPr="0058053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3.1 Overview</w:t>
      </w:r>
    </w:p>
    <w:p w14:paraId="687AD58A" w14:textId="77777777" w:rsidR="00CF11C5" w:rsidRPr="00580539" w:rsidRDefault="00000000">
      <w:pPr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The Financial Health Card is a composite scoring engine that evaluates MSME creditworthiness using multiple behavioral and financial data sources. It replaces opaque credit scores with transparent, explainable risk signals.</w:t>
      </w:r>
    </w:p>
    <w:p w14:paraId="4B5EF0D7" w14:textId="77777777" w:rsidR="00CF11C5" w:rsidRPr="0058053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lastRenderedPageBreak/>
        <w:t>3.2 Core Components</w:t>
      </w:r>
    </w:p>
    <w:p w14:paraId="144A3C8D" w14:textId="77777777" w:rsidR="00CF11C5" w:rsidRPr="0058053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Revenue Stability (30% weight)</w:t>
      </w:r>
    </w:p>
    <w:p w14:paraId="7F01BBE5" w14:textId="77777777" w:rsidR="00CF11C5" w:rsidRPr="00580539" w:rsidRDefault="00000000">
      <w:pPr>
        <w:pStyle w:val="ListBullet2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Analyze 12-24 month GST turnover trends; identify growth patterns vs. volatility.</w:t>
      </w:r>
    </w:p>
    <w:p w14:paraId="009235C2" w14:textId="77777777" w:rsidR="00CF11C5" w:rsidRPr="0058053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Tax Compliance (25% weight)</w:t>
      </w:r>
    </w:p>
    <w:p w14:paraId="042506CE" w14:textId="77777777" w:rsidR="00CF11C5" w:rsidRPr="00580539" w:rsidRDefault="00000000">
      <w:pPr>
        <w:pStyle w:val="ListBullet2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GST filing frequency, EPFO contribution consistency, bank KYC status.</w:t>
      </w:r>
    </w:p>
    <w:p w14:paraId="1B82D093" w14:textId="77777777" w:rsidR="00CF11C5" w:rsidRPr="0058053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Cash Flow Health (25% weight)</w:t>
      </w:r>
    </w:p>
    <w:p w14:paraId="04885E2C" w14:textId="77777777" w:rsidR="00CF11C5" w:rsidRPr="00580539" w:rsidRDefault="00000000">
      <w:pPr>
        <w:pStyle w:val="ListBullet2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UPI payment volume, frequency of deposits/withdrawals, avg balance trends.</w:t>
      </w:r>
    </w:p>
    <w:p w14:paraId="7E916C19" w14:textId="77777777" w:rsidR="00CF11C5" w:rsidRPr="0058053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Growth Trajectory (20% weight)</w:t>
      </w:r>
    </w:p>
    <w:p w14:paraId="2BED06CA" w14:textId="77777777" w:rsidR="00CF11C5" w:rsidRPr="00580539" w:rsidRDefault="00000000">
      <w:pPr>
        <w:pStyle w:val="ListBullet2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YoY revenue growth, customer concentration, seasonal patterns.</w:t>
      </w:r>
    </w:p>
    <w:p w14:paraId="3F2A2D74" w14:textId="77777777" w:rsidR="00CF11C5" w:rsidRPr="0058053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3.3 Decision Framework</w:t>
      </w:r>
    </w:p>
    <w:p w14:paraId="501E8C36" w14:textId="77777777" w:rsidR="00CF11C5" w:rsidRPr="00580539" w:rsidRDefault="00000000">
      <w:pPr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Each MSME is classified as Green (Low Risk), Amber (Medium Risk), or Red (High Risk) based on composite score. Banks can set exposure limits per category.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3112"/>
        <w:gridCol w:w="3112"/>
        <w:gridCol w:w="3116"/>
      </w:tblGrid>
      <w:tr w:rsidR="00CF11C5" w:rsidRPr="00580539" w14:paraId="749A7E84" w14:textId="77777777" w:rsidTr="005805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EF5E1FD" w14:textId="77777777" w:rsidR="00CF11C5" w:rsidRPr="0058053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Category</w:t>
            </w:r>
          </w:p>
        </w:tc>
        <w:tc>
          <w:tcPr>
            <w:tcW w:w="3120" w:type="dxa"/>
          </w:tcPr>
          <w:p w14:paraId="79EB6FBD" w14:textId="77777777" w:rsidR="00CF11C5" w:rsidRPr="005805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Score Range</w:t>
            </w:r>
          </w:p>
        </w:tc>
        <w:tc>
          <w:tcPr>
            <w:tcW w:w="3120" w:type="dxa"/>
          </w:tcPr>
          <w:p w14:paraId="582A94C7" w14:textId="77777777" w:rsidR="00CF11C5" w:rsidRPr="005805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Recommendation</w:t>
            </w:r>
          </w:p>
        </w:tc>
      </w:tr>
      <w:tr w:rsidR="00CF11C5" w:rsidRPr="00580539" w14:paraId="0FF5E33D" w14:textId="77777777" w:rsidTr="005805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5F48131" w14:textId="77777777" w:rsidR="00CF11C5" w:rsidRPr="00580539" w:rsidRDefault="00CF11C5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120" w:type="dxa"/>
          </w:tcPr>
          <w:p w14:paraId="700D1CB9" w14:textId="77777777" w:rsidR="00CF11C5" w:rsidRPr="00580539" w:rsidRDefault="00CF1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120" w:type="dxa"/>
          </w:tcPr>
          <w:p w14:paraId="4213E2F0" w14:textId="77777777" w:rsidR="00CF11C5" w:rsidRPr="00580539" w:rsidRDefault="00CF1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F11C5" w:rsidRPr="00580539" w14:paraId="74B18209" w14:textId="77777777" w:rsidTr="005805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71B4AAA" w14:textId="77777777" w:rsidR="00CF11C5" w:rsidRPr="00580539" w:rsidRDefault="00CF11C5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120" w:type="dxa"/>
          </w:tcPr>
          <w:p w14:paraId="1D0C3BBE" w14:textId="77777777" w:rsidR="00CF11C5" w:rsidRPr="00580539" w:rsidRDefault="00CF11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120" w:type="dxa"/>
          </w:tcPr>
          <w:p w14:paraId="795CB5A5" w14:textId="77777777" w:rsidR="00CF11C5" w:rsidRPr="00580539" w:rsidRDefault="00CF11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F11C5" w:rsidRPr="00580539" w14:paraId="1045DAF3" w14:textId="77777777" w:rsidTr="005805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8D6804A" w14:textId="77777777" w:rsidR="00CF11C5" w:rsidRPr="00580539" w:rsidRDefault="00CF11C5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120" w:type="dxa"/>
          </w:tcPr>
          <w:p w14:paraId="38047BD0" w14:textId="77777777" w:rsidR="00CF11C5" w:rsidRPr="00580539" w:rsidRDefault="00CF1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120" w:type="dxa"/>
          </w:tcPr>
          <w:p w14:paraId="1F0EA7BE" w14:textId="77777777" w:rsidR="00CF11C5" w:rsidRPr="00580539" w:rsidRDefault="00CF1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F11C5" w:rsidRPr="00580539" w14:paraId="63F4712B" w14:textId="77777777" w:rsidTr="005805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2ED5539" w14:textId="77777777" w:rsidR="00CF11C5" w:rsidRPr="0058053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Green</w:t>
            </w:r>
          </w:p>
        </w:tc>
        <w:tc>
          <w:tcPr>
            <w:tcW w:w="3120" w:type="dxa"/>
          </w:tcPr>
          <w:p w14:paraId="45EB4758" w14:textId="77777777" w:rsidR="00CF11C5" w:rsidRPr="005805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75-100</w:t>
            </w:r>
          </w:p>
        </w:tc>
        <w:tc>
          <w:tcPr>
            <w:tcW w:w="3120" w:type="dxa"/>
          </w:tcPr>
          <w:p w14:paraId="6E1CDA6D" w14:textId="77777777" w:rsidR="00CF11C5" w:rsidRPr="005805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Approve; offer best-rate credit products</w:t>
            </w:r>
          </w:p>
        </w:tc>
      </w:tr>
      <w:tr w:rsidR="00CF11C5" w:rsidRPr="00580539" w14:paraId="6748E6D3" w14:textId="77777777" w:rsidTr="005805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3A67C47" w14:textId="77777777" w:rsidR="00CF11C5" w:rsidRPr="0058053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Amber</w:t>
            </w:r>
          </w:p>
        </w:tc>
        <w:tc>
          <w:tcPr>
            <w:tcW w:w="3120" w:type="dxa"/>
          </w:tcPr>
          <w:p w14:paraId="14FA7AB9" w14:textId="77777777" w:rsidR="00CF11C5" w:rsidRPr="005805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50-74</w:t>
            </w:r>
          </w:p>
        </w:tc>
        <w:tc>
          <w:tcPr>
            <w:tcW w:w="3120" w:type="dxa"/>
          </w:tcPr>
          <w:p w14:paraId="6842D742" w14:textId="77777777" w:rsidR="00CF11C5" w:rsidRPr="005805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Conditional approval; require additional docs or co-guarantor</w:t>
            </w:r>
          </w:p>
        </w:tc>
      </w:tr>
      <w:tr w:rsidR="00CF11C5" w:rsidRPr="00580539" w14:paraId="3426BA54" w14:textId="77777777" w:rsidTr="005805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2CC2369" w14:textId="77777777" w:rsidR="00CF11C5" w:rsidRPr="0058053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Red</w:t>
            </w:r>
          </w:p>
        </w:tc>
        <w:tc>
          <w:tcPr>
            <w:tcW w:w="3120" w:type="dxa"/>
          </w:tcPr>
          <w:p w14:paraId="1C776F87" w14:textId="77777777" w:rsidR="00CF11C5" w:rsidRPr="005805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&lt;50</w:t>
            </w:r>
          </w:p>
        </w:tc>
        <w:tc>
          <w:tcPr>
            <w:tcW w:w="3120" w:type="dxa"/>
          </w:tcPr>
          <w:p w14:paraId="2CFE559A" w14:textId="77777777" w:rsidR="00CF11C5" w:rsidRPr="005805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Decline or refer to SME specialist team</w:t>
            </w:r>
          </w:p>
        </w:tc>
      </w:tr>
    </w:tbl>
    <w:p w14:paraId="4CC709FF" w14:textId="77777777" w:rsidR="00CF11C5" w:rsidRPr="0058053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4. Technical Architecture</w:t>
      </w:r>
    </w:p>
    <w:p w14:paraId="0AD7618B" w14:textId="77777777" w:rsidR="00CF11C5" w:rsidRPr="00580539" w:rsidRDefault="00000000">
      <w:pPr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Data Ingestion &gt; Scoring Engine &gt; Decision API &gt; Reporting Dashboard</w:t>
      </w:r>
    </w:p>
    <w:p w14:paraId="03C5C62D" w14:textId="77777777" w:rsidR="00CF11C5" w:rsidRPr="0058053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4.1 Data Pipeline</w:t>
      </w:r>
    </w:p>
    <w:p w14:paraId="5550540F" w14:textId="77777777" w:rsidR="00CF11C5" w:rsidRPr="0058053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GST API (GSTN)</w:t>
      </w:r>
    </w:p>
    <w:p w14:paraId="05B5A7A2" w14:textId="77777777" w:rsidR="00CF11C5" w:rsidRPr="00580539" w:rsidRDefault="00000000">
      <w:pPr>
        <w:pStyle w:val="ListBullet2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Monthly turnover, sector classification, entity details.</w:t>
      </w:r>
    </w:p>
    <w:p w14:paraId="24EC9FB6" w14:textId="77777777" w:rsidR="00CF11C5" w:rsidRPr="0058053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UPI Analytics (NPCI)</w:t>
      </w:r>
    </w:p>
    <w:p w14:paraId="24B7C2E4" w14:textId="77777777" w:rsidR="00CF11C5" w:rsidRPr="00580539" w:rsidRDefault="00000000">
      <w:pPr>
        <w:pStyle w:val="ListBullet2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Transaction volume, frequency, counterparty analysis.</w:t>
      </w:r>
    </w:p>
    <w:p w14:paraId="38BC5A07" w14:textId="77777777" w:rsidR="00CF11C5" w:rsidRPr="0058053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EPFO Integration (EPFO Sandbox)</w:t>
      </w:r>
    </w:p>
    <w:p w14:paraId="2CD69709" w14:textId="77777777" w:rsidR="00CF11C5" w:rsidRPr="00580539" w:rsidRDefault="00000000">
      <w:pPr>
        <w:pStyle w:val="ListBullet2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Employee count, contribution frequency, compliance status.</w:t>
      </w:r>
    </w:p>
    <w:p w14:paraId="3F6CFB9A" w14:textId="77777777" w:rsidR="00CF11C5" w:rsidRPr="0058053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lastRenderedPageBreak/>
        <w:t>Bank Statements (Open Banking API)</w:t>
      </w:r>
    </w:p>
    <w:p w14:paraId="52FD19C9" w14:textId="77777777" w:rsidR="00CF11C5" w:rsidRPr="00580539" w:rsidRDefault="00000000">
      <w:pPr>
        <w:pStyle w:val="ListBullet2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Cash flow, balance trends, spending patterns.</w:t>
      </w:r>
    </w:p>
    <w:p w14:paraId="52D321DD" w14:textId="77777777" w:rsidR="00CF11C5" w:rsidRPr="0058053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4.2 Scoring Engine</w:t>
      </w:r>
    </w:p>
    <w:p w14:paraId="08C70011" w14:textId="77777777" w:rsidR="00CF11C5" w:rsidRPr="00580539" w:rsidRDefault="00000000">
      <w:pPr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Input: Historical data (12-24 months) from all sources. Output: Financial Health Score (0-100) + explainability report.</w:t>
      </w:r>
    </w:p>
    <w:p w14:paraId="555A4B6A" w14:textId="77777777" w:rsidR="00CF11C5" w:rsidRPr="0058053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Algorithm: Weighted logistic regression + feature engineering</w:t>
      </w:r>
    </w:p>
    <w:p w14:paraId="040C070A" w14:textId="77777777" w:rsidR="00CF11C5" w:rsidRPr="0058053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Training data: IDBI historical loan performance + MSME defaults</w:t>
      </w:r>
    </w:p>
    <w:p w14:paraId="5C76C2D4" w14:textId="77777777" w:rsidR="00CF11C5" w:rsidRPr="0058053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Inference latency: &lt;5 seconds per MSME</w:t>
      </w:r>
    </w:p>
    <w:p w14:paraId="531D21B2" w14:textId="77777777" w:rsidR="00CF11C5" w:rsidRPr="0058053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4.3 Decision API</w:t>
      </w:r>
    </w:p>
    <w:p w14:paraId="1FA28BF9" w14:textId="77777777" w:rsidR="00CF11C5" w:rsidRPr="00580539" w:rsidRDefault="00000000">
      <w:pPr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REST endpoint: POST /score</w:t>
      </w:r>
      <w:r w:rsidRPr="00580539">
        <w:rPr>
          <w:rFonts w:ascii="Times New Roman" w:hAnsi="Times New Roman" w:cs="Times New Roman"/>
          <w:color w:val="000000" w:themeColor="text1"/>
        </w:rPr>
        <w:br/>
        <w:t>Input: MSME ID, API keys</w:t>
      </w:r>
      <w:r w:rsidRPr="00580539">
        <w:rPr>
          <w:rFonts w:ascii="Times New Roman" w:hAnsi="Times New Roman" w:cs="Times New Roman"/>
          <w:color w:val="000000" w:themeColor="text1"/>
        </w:rPr>
        <w:br/>
        <w:t>Output: Score, category, confidence, risk factors, approved credit limit (optional)</w:t>
      </w:r>
    </w:p>
    <w:p w14:paraId="39E08EEC" w14:textId="77777777" w:rsidR="00CF11C5" w:rsidRPr="0058053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Response time: &lt;30 seconds (including data fetch + scoring)</w:t>
      </w:r>
    </w:p>
    <w:p w14:paraId="76D7C7CD" w14:textId="77777777" w:rsidR="00CF11C5" w:rsidRPr="0058053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Rate limit: 1000 reqs/min per partner</w:t>
      </w:r>
    </w:p>
    <w:p w14:paraId="0D4FECE4" w14:textId="77777777" w:rsidR="00CF11C5" w:rsidRPr="00580539" w:rsidRDefault="00CF11C5">
      <w:pPr>
        <w:rPr>
          <w:rFonts w:ascii="Times New Roman" w:hAnsi="Times New Roman" w:cs="Times New Roman"/>
          <w:color w:val="000000" w:themeColor="text1"/>
        </w:rPr>
      </w:pPr>
    </w:p>
    <w:p w14:paraId="78857A36" w14:textId="77777777" w:rsidR="00CF11C5" w:rsidRPr="0058053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6. Tech Stack &amp; Why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3114"/>
        <w:gridCol w:w="3113"/>
        <w:gridCol w:w="3113"/>
      </w:tblGrid>
      <w:tr w:rsidR="00CF11C5" w:rsidRPr="00580539" w14:paraId="0DACF59A" w14:textId="77777777" w:rsidTr="005805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3AE6F5E" w14:textId="77777777" w:rsidR="00CF11C5" w:rsidRPr="0058053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Component</w:t>
            </w:r>
          </w:p>
        </w:tc>
        <w:tc>
          <w:tcPr>
            <w:tcW w:w="3120" w:type="dxa"/>
          </w:tcPr>
          <w:p w14:paraId="45F32577" w14:textId="77777777" w:rsidR="00CF11C5" w:rsidRPr="005805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Technology</w:t>
            </w:r>
          </w:p>
        </w:tc>
        <w:tc>
          <w:tcPr>
            <w:tcW w:w="3120" w:type="dxa"/>
          </w:tcPr>
          <w:p w14:paraId="1BF1288A" w14:textId="77777777" w:rsidR="00CF11C5" w:rsidRPr="005805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Rationale</w:t>
            </w:r>
          </w:p>
        </w:tc>
      </w:tr>
      <w:tr w:rsidR="00CF11C5" w:rsidRPr="00580539" w14:paraId="22836619" w14:textId="77777777" w:rsidTr="005805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F56C2A7" w14:textId="77777777" w:rsidR="00CF11C5" w:rsidRPr="00580539" w:rsidRDefault="00CF11C5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120" w:type="dxa"/>
          </w:tcPr>
          <w:p w14:paraId="7E7652DC" w14:textId="77777777" w:rsidR="00CF11C5" w:rsidRPr="00580539" w:rsidRDefault="00CF1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120" w:type="dxa"/>
          </w:tcPr>
          <w:p w14:paraId="1C55CC18" w14:textId="77777777" w:rsidR="00CF11C5" w:rsidRPr="00580539" w:rsidRDefault="00CF1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F11C5" w:rsidRPr="00580539" w14:paraId="4230EF30" w14:textId="77777777" w:rsidTr="005805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5F09B75" w14:textId="77777777" w:rsidR="00CF11C5" w:rsidRPr="00580539" w:rsidRDefault="00CF11C5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120" w:type="dxa"/>
          </w:tcPr>
          <w:p w14:paraId="1A88B132" w14:textId="77777777" w:rsidR="00CF11C5" w:rsidRPr="00580539" w:rsidRDefault="00CF11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120" w:type="dxa"/>
          </w:tcPr>
          <w:p w14:paraId="09028EE7" w14:textId="77777777" w:rsidR="00CF11C5" w:rsidRPr="00580539" w:rsidRDefault="00CF11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F11C5" w:rsidRPr="00580539" w14:paraId="1FD25988" w14:textId="77777777" w:rsidTr="005805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A54D1E9" w14:textId="77777777" w:rsidR="00CF11C5" w:rsidRPr="00580539" w:rsidRDefault="00CF11C5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120" w:type="dxa"/>
          </w:tcPr>
          <w:p w14:paraId="5305D0CE" w14:textId="77777777" w:rsidR="00CF11C5" w:rsidRPr="00580539" w:rsidRDefault="00CF1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120" w:type="dxa"/>
          </w:tcPr>
          <w:p w14:paraId="21283DAA" w14:textId="77777777" w:rsidR="00CF11C5" w:rsidRPr="00580539" w:rsidRDefault="00CF1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F11C5" w:rsidRPr="00580539" w14:paraId="64E3DDEB" w14:textId="77777777" w:rsidTr="005805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3C187C7" w14:textId="77777777" w:rsidR="00CF11C5" w:rsidRPr="00580539" w:rsidRDefault="00CF11C5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120" w:type="dxa"/>
          </w:tcPr>
          <w:p w14:paraId="1282C12D" w14:textId="77777777" w:rsidR="00CF11C5" w:rsidRPr="00580539" w:rsidRDefault="00CF11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120" w:type="dxa"/>
          </w:tcPr>
          <w:p w14:paraId="3D3993B2" w14:textId="77777777" w:rsidR="00CF11C5" w:rsidRPr="00580539" w:rsidRDefault="00CF11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F11C5" w:rsidRPr="00580539" w14:paraId="58E91F43" w14:textId="77777777" w:rsidTr="005805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4C55A70" w14:textId="77777777" w:rsidR="00CF11C5" w:rsidRPr="0058053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Backend</w:t>
            </w:r>
          </w:p>
        </w:tc>
        <w:tc>
          <w:tcPr>
            <w:tcW w:w="3120" w:type="dxa"/>
          </w:tcPr>
          <w:p w14:paraId="722B3AE6" w14:textId="77777777" w:rsidR="00CF11C5" w:rsidRPr="005805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Python + FastAPI</w:t>
            </w:r>
          </w:p>
        </w:tc>
        <w:tc>
          <w:tcPr>
            <w:tcW w:w="3120" w:type="dxa"/>
          </w:tcPr>
          <w:p w14:paraId="7F7F7CF1" w14:textId="77777777" w:rsidR="00CF11C5" w:rsidRPr="005805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Fast, async, built for data APIs; newcityagent already uses Python</w:t>
            </w:r>
          </w:p>
        </w:tc>
      </w:tr>
      <w:tr w:rsidR="00CF11C5" w:rsidRPr="00580539" w14:paraId="1A72ABD0" w14:textId="77777777" w:rsidTr="005805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26134F8" w14:textId="77777777" w:rsidR="00CF11C5" w:rsidRPr="0058053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Data Processing</w:t>
            </w:r>
          </w:p>
        </w:tc>
        <w:tc>
          <w:tcPr>
            <w:tcW w:w="3120" w:type="dxa"/>
          </w:tcPr>
          <w:p w14:paraId="6639C996" w14:textId="77777777" w:rsidR="00CF11C5" w:rsidRPr="005805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Pandas + Polars</w:t>
            </w:r>
          </w:p>
        </w:tc>
        <w:tc>
          <w:tcPr>
            <w:tcW w:w="3120" w:type="dxa"/>
          </w:tcPr>
          <w:p w14:paraId="51F761E0" w14:textId="77777777" w:rsidR="00CF11C5" w:rsidRPr="005805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Efficient tabular data, time-series analysis</w:t>
            </w:r>
          </w:p>
        </w:tc>
      </w:tr>
      <w:tr w:rsidR="00CF11C5" w:rsidRPr="00580539" w14:paraId="62262650" w14:textId="77777777" w:rsidTr="005805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C361172" w14:textId="77777777" w:rsidR="00CF11C5" w:rsidRPr="0058053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ML</w:t>
            </w:r>
          </w:p>
        </w:tc>
        <w:tc>
          <w:tcPr>
            <w:tcW w:w="3120" w:type="dxa"/>
          </w:tcPr>
          <w:p w14:paraId="014815D0" w14:textId="77777777" w:rsidR="00CF11C5" w:rsidRPr="005805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Scikit-learn + XGBoost</w:t>
            </w:r>
          </w:p>
        </w:tc>
        <w:tc>
          <w:tcPr>
            <w:tcW w:w="3120" w:type="dxa"/>
          </w:tcPr>
          <w:p w14:paraId="45798668" w14:textId="77777777" w:rsidR="00CF11C5" w:rsidRPr="005805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Interpretable models for risk scoring; industry standard</w:t>
            </w:r>
          </w:p>
        </w:tc>
      </w:tr>
      <w:tr w:rsidR="00CF11C5" w:rsidRPr="00580539" w14:paraId="7C40BC12" w14:textId="77777777" w:rsidTr="005805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C98AAE5" w14:textId="77777777" w:rsidR="00CF11C5" w:rsidRPr="0058053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Dashboard</w:t>
            </w:r>
          </w:p>
        </w:tc>
        <w:tc>
          <w:tcPr>
            <w:tcW w:w="3120" w:type="dxa"/>
          </w:tcPr>
          <w:p w14:paraId="37E0F93F" w14:textId="77777777" w:rsidR="00CF11C5" w:rsidRPr="005805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Streamlit</w:t>
            </w:r>
          </w:p>
        </w:tc>
        <w:tc>
          <w:tcPr>
            <w:tcW w:w="3120" w:type="dxa"/>
          </w:tcPr>
          <w:p w14:paraId="4CC6A8A6" w14:textId="77777777" w:rsidR="00CF11C5" w:rsidRPr="005805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Rapid prototyping, zero-cost, easy handoff to IDBI team</w:t>
            </w:r>
          </w:p>
        </w:tc>
      </w:tr>
      <w:tr w:rsidR="00CF11C5" w:rsidRPr="00580539" w14:paraId="43D1F6E8" w14:textId="77777777" w:rsidTr="005805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A7C0196" w14:textId="77777777" w:rsidR="00CF11C5" w:rsidRPr="0058053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Deployment</w:t>
            </w:r>
          </w:p>
        </w:tc>
        <w:tc>
          <w:tcPr>
            <w:tcW w:w="3120" w:type="dxa"/>
          </w:tcPr>
          <w:p w14:paraId="6255CBDB" w14:textId="77777777" w:rsidR="00CF11C5" w:rsidRPr="005805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Docker + AWS Lambda</w:t>
            </w:r>
          </w:p>
        </w:tc>
        <w:tc>
          <w:tcPr>
            <w:tcW w:w="3120" w:type="dxa"/>
          </w:tcPr>
          <w:p w14:paraId="107A6DC6" w14:textId="77777777" w:rsidR="00CF11C5" w:rsidRPr="005805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Serverless = cost-effective, scalable, maintainable</w:t>
            </w:r>
          </w:p>
        </w:tc>
      </w:tr>
    </w:tbl>
    <w:p w14:paraId="68FA020A" w14:textId="77777777" w:rsidR="00CF11C5" w:rsidRPr="00580539" w:rsidRDefault="00CF11C5">
      <w:pPr>
        <w:rPr>
          <w:rFonts w:ascii="Times New Roman" w:hAnsi="Times New Roman" w:cs="Times New Roman"/>
          <w:color w:val="000000" w:themeColor="text1"/>
        </w:rPr>
      </w:pPr>
    </w:p>
    <w:p w14:paraId="5A2D18B7" w14:textId="77777777" w:rsidR="00CF11C5" w:rsidRPr="00580539" w:rsidRDefault="00000000">
      <w:pPr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Cost: ~0 for development (free tiers); ~5-10K per month for production inference at scale.</w:t>
      </w:r>
    </w:p>
    <w:p w14:paraId="0F1A1194" w14:textId="77777777" w:rsidR="00CF11C5" w:rsidRPr="0058053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lastRenderedPageBreak/>
        <w:t>7. Implementation Roadmap</w:t>
      </w:r>
    </w:p>
    <w:p w14:paraId="76212039" w14:textId="13A221EB" w:rsidR="00CF11C5" w:rsidRPr="0058053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 xml:space="preserve">Phase 1: Mock Data &amp; Scoring </w:t>
      </w:r>
    </w:p>
    <w:p w14:paraId="6FDE1328" w14:textId="77777777" w:rsidR="00CF11C5" w:rsidRPr="0058053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Set up data schema matching IDBI data dictionary</w:t>
      </w:r>
    </w:p>
    <w:p w14:paraId="3591C777" w14:textId="77777777" w:rsidR="00CF11C5" w:rsidRPr="0058053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Generate synthetic MSME data (turnover, GST, UPI, EPFO)</w:t>
      </w:r>
    </w:p>
    <w:p w14:paraId="349DE34B" w14:textId="77777777" w:rsidR="00CF11C5" w:rsidRPr="0058053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Implement scoring formula in Python</w:t>
      </w:r>
    </w:p>
    <w:p w14:paraId="28257D87" w14:textId="77777777" w:rsidR="00CF11C5" w:rsidRPr="0058053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Validate logic against 10 real MSME cases</w:t>
      </w:r>
    </w:p>
    <w:p w14:paraId="414D703F" w14:textId="78A25564" w:rsidR="00CF11C5" w:rsidRPr="0058053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 xml:space="preserve">Phase 2: API Integration </w:t>
      </w:r>
    </w:p>
    <w:p w14:paraId="52D7F04F" w14:textId="77777777" w:rsidR="00CF11C5" w:rsidRPr="0058053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Integrate GSTN sandbox API for turnover data</w:t>
      </w:r>
    </w:p>
    <w:p w14:paraId="412AF538" w14:textId="77777777" w:rsidR="00CF11C5" w:rsidRPr="0058053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Mock EPFO and UPI adapters (live integration post-hackathon)</w:t>
      </w:r>
    </w:p>
    <w:p w14:paraId="280E3C1D" w14:textId="77777777" w:rsidR="00CF11C5" w:rsidRPr="0058053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Build REST API with decision endpoint</w:t>
      </w:r>
    </w:p>
    <w:p w14:paraId="4524E50C" w14:textId="77777777" w:rsidR="00CF11C5" w:rsidRPr="0058053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Deploy to AWS Lambda; test &lt;30sec latency</w:t>
      </w:r>
    </w:p>
    <w:p w14:paraId="3373E643" w14:textId="7761A921" w:rsidR="00CF11C5" w:rsidRPr="0058053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 xml:space="preserve">Phase 3: Explainability &amp; Dashboard </w:t>
      </w:r>
    </w:p>
    <w:p w14:paraId="00555735" w14:textId="77777777" w:rsidR="00CF11C5" w:rsidRPr="0058053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Add reason codes to every score (e.g., "High volatility penalizes by 15 pts")</w:t>
      </w:r>
    </w:p>
    <w:p w14:paraId="64FF4EF0" w14:textId="77777777" w:rsidR="00CF11C5" w:rsidRPr="0058053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Build Streamlit dashboard for IDBI ops team</w:t>
      </w:r>
    </w:p>
    <w:p w14:paraId="3184405B" w14:textId="77777777" w:rsidR="00CF11C5" w:rsidRPr="0058053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Visualize score components, trends, audit trail</w:t>
      </w:r>
    </w:p>
    <w:p w14:paraId="39A5ABE4" w14:textId="3B67BFCE" w:rsidR="00CF11C5" w:rsidRPr="0058053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 xml:space="preserve">Phase 4: Evaluation </w:t>
      </w:r>
    </w:p>
    <w:p w14:paraId="23C01296" w14:textId="77777777" w:rsidR="00CF11C5" w:rsidRPr="0058053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IDBI provides production loan data; we validate against actual defaults</w:t>
      </w:r>
    </w:p>
    <w:p w14:paraId="1A95C648" w14:textId="77777777" w:rsidR="00CF11C5" w:rsidRPr="0058053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Calibrate thresholds (Green/Amber/Red cutoffs)</w:t>
      </w:r>
    </w:p>
    <w:p w14:paraId="7EE47E10" w14:textId="77777777" w:rsidR="00CF11C5" w:rsidRPr="0058053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Handoff documentation &amp; model cards to IDBI team</w:t>
      </w:r>
    </w:p>
    <w:p w14:paraId="1EC517B6" w14:textId="77777777" w:rsidR="00CF11C5" w:rsidRPr="00580539" w:rsidRDefault="00CF11C5">
      <w:pPr>
        <w:rPr>
          <w:rFonts w:ascii="Times New Roman" w:hAnsi="Times New Roman" w:cs="Times New Roman"/>
          <w:color w:val="000000" w:themeColor="text1"/>
        </w:rPr>
      </w:pPr>
    </w:p>
    <w:p w14:paraId="0A2B6A2D" w14:textId="77777777" w:rsidR="00CF11C5" w:rsidRPr="00580539" w:rsidRDefault="00000000">
      <w:pPr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b/>
          <w:color w:val="000000" w:themeColor="text1"/>
        </w:rPr>
        <w:t>Delivery: Working prototype by Aug 12, 2026.</w:t>
      </w:r>
    </w:p>
    <w:p w14:paraId="3E94F7A5" w14:textId="77777777" w:rsidR="00CF11C5" w:rsidRPr="0058053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8. Use Cases: Before &amp; After</w:t>
      </w:r>
    </w:p>
    <w:p w14:paraId="73ED50BA" w14:textId="77777777" w:rsidR="00CF11C5" w:rsidRPr="0058053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Use Case 1: Vegetable Vendor (Traditional Score: REJECTED)</w:t>
      </w:r>
    </w:p>
    <w:p w14:paraId="723EDCF6" w14:textId="77777777" w:rsidR="00CF11C5" w:rsidRPr="00580539" w:rsidRDefault="00000000">
      <w:pPr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Raj runs a vegetable wholesale business. No credit history, no collateral, no GST (informal). Traditional score: REJECTED.</w:t>
      </w:r>
    </w:p>
    <w:p w14:paraId="70AFD10F" w14:textId="77777777" w:rsidR="00CF11C5" w:rsidRPr="00580539" w:rsidRDefault="00CF11C5">
      <w:pPr>
        <w:rPr>
          <w:rFonts w:ascii="Times New Roman" w:hAnsi="Times New Roman" w:cs="Times New Roman"/>
          <w:color w:val="000000" w:themeColor="text1"/>
        </w:rPr>
      </w:pPr>
    </w:p>
    <w:p w14:paraId="23F42ADB" w14:textId="77777777" w:rsidR="00CF11C5" w:rsidRPr="00580539" w:rsidRDefault="00000000">
      <w:pPr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Health Card input: 18 months UPI transactions (8L per month), consistent EPFO for 2 employees, informal GST data via market association.</w:t>
      </w:r>
    </w:p>
    <w:p w14:paraId="691CD784" w14:textId="77777777" w:rsidR="00CF11C5" w:rsidRPr="00580539" w:rsidRDefault="00CF11C5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3113"/>
        <w:gridCol w:w="3113"/>
        <w:gridCol w:w="3114"/>
      </w:tblGrid>
      <w:tr w:rsidR="00CF11C5" w:rsidRPr="00580539" w14:paraId="74C08139" w14:textId="77777777" w:rsidTr="005805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284D97E" w14:textId="77777777" w:rsidR="00CF11C5" w:rsidRPr="0058053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Component</w:t>
            </w:r>
          </w:p>
        </w:tc>
        <w:tc>
          <w:tcPr>
            <w:tcW w:w="3120" w:type="dxa"/>
          </w:tcPr>
          <w:p w14:paraId="0D9877E4" w14:textId="77777777" w:rsidR="00CF11C5" w:rsidRPr="005805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Score</w:t>
            </w:r>
          </w:p>
        </w:tc>
        <w:tc>
          <w:tcPr>
            <w:tcW w:w="3120" w:type="dxa"/>
          </w:tcPr>
          <w:p w14:paraId="2D3C1363" w14:textId="77777777" w:rsidR="00CF11C5" w:rsidRPr="005805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Reasoning</w:t>
            </w:r>
          </w:p>
        </w:tc>
      </w:tr>
      <w:tr w:rsidR="00CF11C5" w:rsidRPr="00580539" w14:paraId="6696D863" w14:textId="77777777" w:rsidTr="005805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82A53C2" w14:textId="77777777" w:rsidR="00CF11C5" w:rsidRPr="0058053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Cash Flow (UPI)</w:t>
            </w:r>
          </w:p>
        </w:tc>
        <w:tc>
          <w:tcPr>
            <w:tcW w:w="3120" w:type="dxa"/>
          </w:tcPr>
          <w:p w14:paraId="2ADBEA42" w14:textId="77777777" w:rsidR="00CF11C5" w:rsidRPr="005805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85</w:t>
            </w:r>
          </w:p>
        </w:tc>
        <w:tc>
          <w:tcPr>
            <w:tcW w:w="3120" w:type="dxa"/>
          </w:tcPr>
          <w:p w14:paraId="51B6A2F8" w14:textId="77777777" w:rsidR="00CF11C5" w:rsidRPr="005805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Consistent monthly deposits, no defaults</w:t>
            </w:r>
          </w:p>
        </w:tc>
      </w:tr>
      <w:tr w:rsidR="00CF11C5" w:rsidRPr="00580539" w14:paraId="47AC6683" w14:textId="77777777" w:rsidTr="005805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3F83511" w14:textId="77777777" w:rsidR="00CF11C5" w:rsidRPr="0058053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lastRenderedPageBreak/>
              <w:t>Tax Compliance</w:t>
            </w:r>
          </w:p>
        </w:tc>
        <w:tc>
          <w:tcPr>
            <w:tcW w:w="3120" w:type="dxa"/>
          </w:tcPr>
          <w:p w14:paraId="2418A49E" w14:textId="77777777" w:rsidR="00CF11C5" w:rsidRPr="005805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70</w:t>
            </w:r>
          </w:p>
        </w:tc>
        <w:tc>
          <w:tcPr>
            <w:tcW w:w="3120" w:type="dxa"/>
          </w:tcPr>
          <w:p w14:paraId="60701A43" w14:textId="77777777" w:rsidR="00CF11C5" w:rsidRPr="005805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EPFO current, informal GST acceptable</w:t>
            </w:r>
          </w:p>
        </w:tc>
      </w:tr>
      <w:tr w:rsidR="00CF11C5" w:rsidRPr="00580539" w14:paraId="4C6A92D8" w14:textId="77777777" w:rsidTr="005805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BE59831" w14:textId="77777777" w:rsidR="00CF11C5" w:rsidRPr="0058053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Growth</w:t>
            </w:r>
          </w:p>
        </w:tc>
        <w:tc>
          <w:tcPr>
            <w:tcW w:w="3120" w:type="dxa"/>
          </w:tcPr>
          <w:p w14:paraId="720C5927" w14:textId="77777777" w:rsidR="00CF11C5" w:rsidRPr="005805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75</w:t>
            </w:r>
          </w:p>
        </w:tc>
        <w:tc>
          <w:tcPr>
            <w:tcW w:w="3120" w:type="dxa"/>
          </w:tcPr>
          <w:p w14:paraId="5EC526B3" w14:textId="77777777" w:rsidR="00CF11C5" w:rsidRPr="005805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12% YoY increase, seasonal peaks stable</w:t>
            </w:r>
          </w:p>
        </w:tc>
      </w:tr>
      <w:tr w:rsidR="00CF11C5" w:rsidRPr="00580539" w14:paraId="3E7F2605" w14:textId="77777777" w:rsidTr="005805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F903EF0" w14:textId="77777777" w:rsidR="00CF11C5" w:rsidRPr="0058053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Overall</w:t>
            </w:r>
          </w:p>
        </w:tc>
        <w:tc>
          <w:tcPr>
            <w:tcW w:w="3120" w:type="dxa"/>
          </w:tcPr>
          <w:p w14:paraId="4BCB4831" w14:textId="77777777" w:rsidR="00CF11C5" w:rsidRPr="005805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78 (GREEN)</w:t>
            </w:r>
          </w:p>
        </w:tc>
        <w:tc>
          <w:tcPr>
            <w:tcW w:w="3120" w:type="dxa"/>
          </w:tcPr>
          <w:p w14:paraId="509D52D2" w14:textId="77777777" w:rsidR="00CF11C5" w:rsidRPr="005805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APPROVED for 5L term loan @ 9.5%</w:t>
            </w:r>
          </w:p>
        </w:tc>
      </w:tr>
    </w:tbl>
    <w:p w14:paraId="2EE25E97" w14:textId="77777777" w:rsidR="00CF11C5" w:rsidRPr="00580539" w:rsidRDefault="00CF11C5">
      <w:pPr>
        <w:rPr>
          <w:rFonts w:ascii="Times New Roman" w:hAnsi="Times New Roman" w:cs="Times New Roman"/>
          <w:color w:val="000000" w:themeColor="text1"/>
        </w:rPr>
      </w:pPr>
    </w:p>
    <w:p w14:paraId="3D53995A" w14:textId="77777777" w:rsidR="00CF11C5" w:rsidRPr="0058053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Use Case 2: B2B SaaS Startup (Traditional Score: BORDERLINE)</w:t>
      </w:r>
    </w:p>
    <w:p w14:paraId="4B2EEB02" w14:textId="77777777" w:rsidR="00CF11C5" w:rsidRPr="00580539" w:rsidRDefault="00000000">
      <w:pPr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Priya runs a startup with 50L ARR in enterprise SaaS. High burn rate, unpredictable cash. Traditional score: MANUAL REVIEW.</w:t>
      </w:r>
    </w:p>
    <w:p w14:paraId="61FA9958" w14:textId="77777777" w:rsidR="00CF11C5" w:rsidRPr="00580539" w:rsidRDefault="00CF11C5">
      <w:pPr>
        <w:rPr>
          <w:rFonts w:ascii="Times New Roman" w:hAnsi="Times New Roman" w:cs="Times New Roman"/>
          <w:color w:val="000000" w:themeColor="text1"/>
        </w:rPr>
      </w:pPr>
    </w:p>
    <w:p w14:paraId="65D9BB34" w14:textId="77777777" w:rsidR="00CF11C5" w:rsidRPr="00580539" w:rsidRDefault="00000000">
      <w:pPr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Health Card input: 18 months GSTIN (consistent 40-50L per month), contract-based UPI (lumpy but predictable), strong EPFO (25 employees).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3113"/>
        <w:gridCol w:w="3113"/>
        <w:gridCol w:w="3114"/>
      </w:tblGrid>
      <w:tr w:rsidR="00CF11C5" w:rsidRPr="00580539" w14:paraId="4F63178B" w14:textId="77777777" w:rsidTr="005805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CEFABDB" w14:textId="77777777" w:rsidR="00CF11C5" w:rsidRPr="0058053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Component</w:t>
            </w:r>
          </w:p>
        </w:tc>
        <w:tc>
          <w:tcPr>
            <w:tcW w:w="3120" w:type="dxa"/>
          </w:tcPr>
          <w:p w14:paraId="41A0D4F6" w14:textId="77777777" w:rsidR="00CF11C5" w:rsidRPr="005805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Score</w:t>
            </w:r>
          </w:p>
        </w:tc>
        <w:tc>
          <w:tcPr>
            <w:tcW w:w="3120" w:type="dxa"/>
          </w:tcPr>
          <w:p w14:paraId="5216CA7E" w14:textId="77777777" w:rsidR="00CF11C5" w:rsidRPr="005805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Reasoning</w:t>
            </w:r>
          </w:p>
        </w:tc>
      </w:tr>
      <w:tr w:rsidR="00CF11C5" w:rsidRPr="00580539" w14:paraId="726581FB" w14:textId="77777777" w:rsidTr="005805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78B0C2F" w14:textId="77777777" w:rsidR="00CF11C5" w:rsidRPr="0058053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Revenue Stability</w:t>
            </w:r>
          </w:p>
        </w:tc>
        <w:tc>
          <w:tcPr>
            <w:tcW w:w="3120" w:type="dxa"/>
          </w:tcPr>
          <w:p w14:paraId="1C5F3501" w14:textId="77777777" w:rsidR="00CF11C5" w:rsidRPr="005805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65</w:t>
            </w:r>
          </w:p>
        </w:tc>
        <w:tc>
          <w:tcPr>
            <w:tcW w:w="3120" w:type="dxa"/>
          </w:tcPr>
          <w:p w14:paraId="0B81173F" w14:textId="77777777" w:rsidR="00CF11C5" w:rsidRPr="005805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High variance month-to-month, but trend is up</w:t>
            </w:r>
          </w:p>
        </w:tc>
      </w:tr>
      <w:tr w:rsidR="00CF11C5" w:rsidRPr="00580539" w14:paraId="03D3906F" w14:textId="77777777" w:rsidTr="005805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B387FEE" w14:textId="77777777" w:rsidR="00CF11C5" w:rsidRPr="0058053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Compliance</w:t>
            </w:r>
          </w:p>
        </w:tc>
        <w:tc>
          <w:tcPr>
            <w:tcW w:w="3120" w:type="dxa"/>
          </w:tcPr>
          <w:p w14:paraId="0190B025" w14:textId="77777777" w:rsidR="00CF11C5" w:rsidRPr="005805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90</w:t>
            </w:r>
          </w:p>
        </w:tc>
        <w:tc>
          <w:tcPr>
            <w:tcW w:w="3120" w:type="dxa"/>
          </w:tcPr>
          <w:p w14:paraId="26C23763" w14:textId="77777777" w:rsidR="00CF11C5" w:rsidRPr="005805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GST and EPFO perfect; strong KYC</w:t>
            </w:r>
          </w:p>
        </w:tc>
      </w:tr>
      <w:tr w:rsidR="00CF11C5" w:rsidRPr="00580539" w14:paraId="17B70834" w14:textId="77777777" w:rsidTr="005805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658AB88" w14:textId="77777777" w:rsidR="00CF11C5" w:rsidRPr="0058053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Growth</w:t>
            </w:r>
          </w:p>
        </w:tc>
        <w:tc>
          <w:tcPr>
            <w:tcW w:w="3120" w:type="dxa"/>
          </w:tcPr>
          <w:p w14:paraId="72B96140" w14:textId="77777777" w:rsidR="00CF11C5" w:rsidRPr="005805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88</w:t>
            </w:r>
          </w:p>
        </w:tc>
        <w:tc>
          <w:tcPr>
            <w:tcW w:w="3120" w:type="dxa"/>
          </w:tcPr>
          <w:p w14:paraId="4CD4B881" w14:textId="77777777" w:rsidR="00CF11C5" w:rsidRPr="005805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35% YoY, customer count growing</w:t>
            </w:r>
          </w:p>
        </w:tc>
      </w:tr>
      <w:tr w:rsidR="00CF11C5" w:rsidRPr="00580539" w14:paraId="35840708" w14:textId="77777777" w:rsidTr="005805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3C27679" w14:textId="77777777" w:rsidR="00CF11C5" w:rsidRPr="0058053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Overall</w:t>
            </w:r>
          </w:p>
        </w:tc>
        <w:tc>
          <w:tcPr>
            <w:tcW w:w="3120" w:type="dxa"/>
          </w:tcPr>
          <w:p w14:paraId="3647FA04" w14:textId="77777777" w:rsidR="00CF11C5" w:rsidRPr="005805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80 (GREEN)</w:t>
            </w:r>
          </w:p>
        </w:tc>
        <w:tc>
          <w:tcPr>
            <w:tcW w:w="3120" w:type="dxa"/>
          </w:tcPr>
          <w:p w14:paraId="024F412D" w14:textId="77777777" w:rsidR="00CF11C5" w:rsidRPr="005805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APPROVED for 10L working capital @ 8.5%</w:t>
            </w:r>
          </w:p>
        </w:tc>
      </w:tr>
    </w:tbl>
    <w:p w14:paraId="250E93C7" w14:textId="77777777" w:rsidR="00CF11C5" w:rsidRPr="0058053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9. Success Metrics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3115"/>
        <w:gridCol w:w="3112"/>
        <w:gridCol w:w="3113"/>
      </w:tblGrid>
      <w:tr w:rsidR="00CF11C5" w:rsidRPr="00580539" w14:paraId="14E3A254" w14:textId="77777777" w:rsidTr="005805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B4809EB" w14:textId="77777777" w:rsidR="00CF11C5" w:rsidRPr="0058053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Metric</w:t>
            </w:r>
          </w:p>
        </w:tc>
        <w:tc>
          <w:tcPr>
            <w:tcW w:w="3120" w:type="dxa"/>
          </w:tcPr>
          <w:p w14:paraId="55B140EE" w14:textId="77777777" w:rsidR="00CF11C5" w:rsidRPr="005805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Target</w:t>
            </w:r>
          </w:p>
        </w:tc>
        <w:tc>
          <w:tcPr>
            <w:tcW w:w="3120" w:type="dxa"/>
          </w:tcPr>
          <w:p w14:paraId="0C14CC05" w14:textId="77777777" w:rsidR="00CF11C5" w:rsidRPr="005805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How We Measure</w:t>
            </w:r>
          </w:p>
        </w:tc>
      </w:tr>
      <w:tr w:rsidR="00CF11C5" w:rsidRPr="00580539" w14:paraId="673C0786" w14:textId="77777777" w:rsidTr="005805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BD72111" w14:textId="77777777" w:rsidR="00CF11C5" w:rsidRPr="0058053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Classification Accuracy</w:t>
            </w:r>
          </w:p>
        </w:tc>
        <w:tc>
          <w:tcPr>
            <w:tcW w:w="3120" w:type="dxa"/>
          </w:tcPr>
          <w:p w14:paraId="071C7DFE" w14:textId="77777777" w:rsidR="00CF11C5" w:rsidRPr="005805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85%+</w:t>
            </w:r>
          </w:p>
        </w:tc>
        <w:tc>
          <w:tcPr>
            <w:tcW w:w="3120" w:type="dxa"/>
          </w:tcPr>
          <w:p w14:paraId="6B1A33A4" w14:textId="77777777" w:rsidR="00CF11C5" w:rsidRPr="005805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Validate against IDBI historical loan outcomes</w:t>
            </w:r>
          </w:p>
        </w:tc>
      </w:tr>
      <w:tr w:rsidR="00CF11C5" w:rsidRPr="00580539" w14:paraId="734D0EA0" w14:textId="77777777" w:rsidTr="005805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4F97DB8" w14:textId="77777777" w:rsidR="00CF11C5" w:rsidRPr="0058053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False Rejection Rate</w:t>
            </w:r>
          </w:p>
        </w:tc>
        <w:tc>
          <w:tcPr>
            <w:tcW w:w="3120" w:type="dxa"/>
          </w:tcPr>
          <w:p w14:paraId="7258ADBE" w14:textId="77777777" w:rsidR="00CF11C5" w:rsidRPr="005805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&lt;10%</w:t>
            </w:r>
          </w:p>
        </w:tc>
        <w:tc>
          <w:tcPr>
            <w:tcW w:w="3120" w:type="dxa"/>
          </w:tcPr>
          <w:p w14:paraId="4F0E512D" w14:textId="77777777" w:rsidR="00CF11C5" w:rsidRPr="005805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Score "Green" but traditional score "Red" → manual review</w:t>
            </w:r>
          </w:p>
        </w:tc>
      </w:tr>
      <w:tr w:rsidR="00CF11C5" w:rsidRPr="00580539" w14:paraId="4078BB40" w14:textId="77777777" w:rsidTr="005805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E3703D0" w14:textId="77777777" w:rsidR="00CF11C5" w:rsidRPr="0058053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Decision Latency</w:t>
            </w:r>
          </w:p>
        </w:tc>
        <w:tc>
          <w:tcPr>
            <w:tcW w:w="3120" w:type="dxa"/>
          </w:tcPr>
          <w:p w14:paraId="4F9A2DC9" w14:textId="77777777" w:rsidR="00CF11C5" w:rsidRPr="005805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&lt;30 sec</w:t>
            </w:r>
          </w:p>
        </w:tc>
        <w:tc>
          <w:tcPr>
            <w:tcW w:w="3120" w:type="dxa"/>
          </w:tcPr>
          <w:p w14:paraId="68DB4F29" w14:textId="77777777" w:rsidR="00CF11C5" w:rsidRPr="005805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API response time monitoring in production</w:t>
            </w:r>
          </w:p>
        </w:tc>
      </w:tr>
      <w:tr w:rsidR="00CF11C5" w:rsidRPr="00580539" w14:paraId="51AAE50B" w14:textId="77777777" w:rsidTr="005805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2B45A8B" w14:textId="77777777" w:rsidR="00CF11C5" w:rsidRPr="0058053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Model Explainability</w:t>
            </w:r>
          </w:p>
        </w:tc>
        <w:tc>
          <w:tcPr>
            <w:tcW w:w="3120" w:type="dxa"/>
          </w:tcPr>
          <w:p w14:paraId="0C026D9A" w14:textId="77777777" w:rsidR="00CF11C5" w:rsidRPr="005805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95%+ coverage</w:t>
            </w:r>
          </w:p>
        </w:tc>
        <w:tc>
          <w:tcPr>
            <w:tcW w:w="3120" w:type="dxa"/>
          </w:tcPr>
          <w:p w14:paraId="54335E06" w14:textId="77777777" w:rsidR="00CF11C5" w:rsidRPr="005805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Every decision has &gt;3 reason codes</w:t>
            </w:r>
          </w:p>
        </w:tc>
      </w:tr>
    </w:tbl>
    <w:p w14:paraId="2421C12C" w14:textId="77777777" w:rsidR="00CF11C5" w:rsidRPr="0058053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10. Risk Mitigation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3113"/>
        <w:gridCol w:w="3113"/>
        <w:gridCol w:w="3114"/>
      </w:tblGrid>
      <w:tr w:rsidR="00CF11C5" w:rsidRPr="00580539" w14:paraId="68B32DD9" w14:textId="77777777" w:rsidTr="005805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DFC7739" w14:textId="77777777" w:rsidR="00CF11C5" w:rsidRPr="0058053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Risk</w:t>
            </w:r>
          </w:p>
        </w:tc>
        <w:tc>
          <w:tcPr>
            <w:tcW w:w="3120" w:type="dxa"/>
          </w:tcPr>
          <w:p w14:paraId="19768F11" w14:textId="77777777" w:rsidR="00CF11C5" w:rsidRPr="005805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Impact</w:t>
            </w:r>
          </w:p>
        </w:tc>
        <w:tc>
          <w:tcPr>
            <w:tcW w:w="3120" w:type="dxa"/>
          </w:tcPr>
          <w:p w14:paraId="745B2BFB" w14:textId="77777777" w:rsidR="00CF11C5" w:rsidRPr="005805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Mitigation</w:t>
            </w:r>
          </w:p>
        </w:tc>
      </w:tr>
      <w:tr w:rsidR="00CF11C5" w:rsidRPr="00580539" w14:paraId="3B3D8B24" w14:textId="77777777" w:rsidTr="005805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CF2CCCD" w14:textId="77777777" w:rsidR="00CF11C5" w:rsidRPr="0058053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API delays (GST/EPFO)</w:t>
            </w:r>
          </w:p>
        </w:tc>
        <w:tc>
          <w:tcPr>
            <w:tcW w:w="3120" w:type="dxa"/>
          </w:tcPr>
          <w:p w14:paraId="49A7AEB0" w14:textId="77777777" w:rsidR="00CF11C5" w:rsidRPr="005805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Slow decisions, poor UX</w:t>
            </w:r>
          </w:p>
        </w:tc>
        <w:tc>
          <w:tcPr>
            <w:tcW w:w="3120" w:type="dxa"/>
          </w:tcPr>
          <w:p w14:paraId="40E56417" w14:textId="77777777" w:rsidR="00CF11C5" w:rsidRPr="005805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Cache data; fallback to last-known values; async scoring</w:t>
            </w:r>
          </w:p>
        </w:tc>
      </w:tr>
      <w:tr w:rsidR="00CF11C5" w:rsidRPr="00580539" w14:paraId="51CBCED4" w14:textId="77777777" w:rsidTr="005805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30FB42D" w14:textId="77777777" w:rsidR="00CF11C5" w:rsidRPr="0058053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Data quality issues</w:t>
            </w:r>
          </w:p>
        </w:tc>
        <w:tc>
          <w:tcPr>
            <w:tcW w:w="3120" w:type="dxa"/>
          </w:tcPr>
          <w:p w14:paraId="4C8002DB" w14:textId="77777777" w:rsidR="00CF11C5" w:rsidRPr="005805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Model drift, poor predictions</w:t>
            </w:r>
          </w:p>
        </w:tc>
        <w:tc>
          <w:tcPr>
            <w:tcW w:w="3120" w:type="dxa"/>
          </w:tcPr>
          <w:p w14:paraId="65FA6399" w14:textId="77777777" w:rsidR="00CF11C5" w:rsidRPr="005805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Validation rules; outlier detection; monthly recalibration</w:t>
            </w:r>
          </w:p>
        </w:tc>
      </w:tr>
      <w:tr w:rsidR="00CF11C5" w:rsidRPr="00580539" w14:paraId="306076C2" w14:textId="77777777" w:rsidTr="005805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2CA8A96" w14:textId="77777777" w:rsidR="00CF11C5" w:rsidRPr="0058053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Regulatory changes (GST/EPFO API)</w:t>
            </w:r>
          </w:p>
        </w:tc>
        <w:tc>
          <w:tcPr>
            <w:tcW w:w="3120" w:type="dxa"/>
          </w:tcPr>
          <w:p w14:paraId="7F3361B9" w14:textId="77777777" w:rsidR="00CF11C5" w:rsidRPr="005805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Integration breaks</w:t>
            </w:r>
          </w:p>
        </w:tc>
        <w:tc>
          <w:tcPr>
            <w:tcW w:w="3120" w:type="dxa"/>
          </w:tcPr>
          <w:p w14:paraId="7138F01D" w14:textId="77777777" w:rsidR="00CF11C5" w:rsidRPr="005805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Modular architecture; vendor diversity; 2-week buffer</w:t>
            </w:r>
          </w:p>
        </w:tc>
      </w:tr>
      <w:tr w:rsidR="00CF11C5" w:rsidRPr="00580539" w14:paraId="70D02362" w14:textId="77777777" w:rsidTr="005805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FB8AB71" w14:textId="77777777" w:rsidR="00CF11C5" w:rsidRPr="0058053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lastRenderedPageBreak/>
              <w:t>IDBI unfamiliar with new approach</w:t>
            </w:r>
          </w:p>
        </w:tc>
        <w:tc>
          <w:tcPr>
            <w:tcW w:w="3120" w:type="dxa"/>
          </w:tcPr>
          <w:p w14:paraId="6A960C61" w14:textId="77777777" w:rsidR="00CF11C5" w:rsidRPr="005805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Adoption risk</w:t>
            </w:r>
          </w:p>
        </w:tc>
        <w:tc>
          <w:tcPr>
            <w:tcW w:w="3120" w:type="dxa"/>
          </w:tcPr>
          <w:p w14:paraId="1965C8AC" w14:textId="77777777" w:rsidR="00CF11C5" w:rsidRPr="005805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80539">
              <w:rPr>
                <w:rFonts w:ascii="Times New Roman" w:hAnsi="Times New Roman" w:cs="Times New Roman"/>
                <w:color w:val="000000" w:themeColor="text1"/>
              </w:rPr>
              <w:t>Transparent scoring; detailed explainability; pilot with 1K MSMEs first</w:t>
            </w:r>
          </w:p>
        </w:tc>
      </w:tr>
    </w:tbl>
    <w:p w14:paraId="0E2DE36A" w14:textId="77777777" w:rsidR="00CB5BC7" w:rsidRDefault="00CB5BC7" w:rsidP="00CB5BC7">
      <w:pPr>
        <w:rPr>
          <w:rFonts w:ascii="Times New Roman" w:hAnsi="Times New Roman" w:cs="Times New Roman"/>
          <w:color w:val="000000" w:themeColor="text1"/>
        </w:rPr>
      </w:pPr>
    </w:p>
    <w:p w14:paraId="6615B105" w14:textId="3262AA59" w:rsidR="00CF11C5" w:rsidRPr="00580539" w:rsidRDefault="00000000" w:rsidP="00CB5BC7">
      <w:pPr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1. Next Steps &amp; Call to Action</w:t>
      </w:r>
    </w:p>
    <w:p w14:paraId="6934E933" w14:textId="77777777" w:rsidR="00CF11C5" w:rsidRPr="00580539" w:rsidRDefault="00000000">
      <w:pPr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We are ready to begin immediately. Here is our ask:</w:t>
      </w:r>
    </w:p>
    <w:p w14:paraId="2DE3484F" w14:textId="77777777" w:rsidR="00CF11C5" w:rsidRPr="00580539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Confirm MSME dataset for validation (50+ sample loans)</w:t>
      </w:r>
    </w:p>
    <w:p w14:paraId="0359BF11" w14:textId="77777777" w:rsidR="00CF11C5" w:rsidRPr="00580539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Provide GSTN &amp; EPFO sandbox credentials</w:t>
      </w:r>
    </w:p>
    <w:p w14:paraId="2503A3C7" w14:textId="77777777" w:rsidR="00CF11C5" w:rsidRPr="00580539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Weekly sync meetings (30 min) for feedback</w:t>
      </w:r>
    </w:p>
    <w:p w14:paraId="17AED067" w14:textId="77777777" w:rsidR="00CF11C5" w:rsidRPr="00580539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By Aug 12: Deliver working prototype + evaluation report</w:t>
      </w:r>
    </w:p>
    <w:p w14:paraId="287DC15B" w14:textId="77777777" w:rsidR="00CF11C5" w:rsidRPr="00580539" w:rsidRDefault="00CF11C5">
      <w:pPr>
        <w:rPr>
          <w:rFonts w:ascii="Times New Roman" w:hAnsi="Times New Roman" w:cs="Times New Roman"/>
          <w:color w:val="000000" w:themeColor="text1"/>
        </w:rPr>
      </w:pPr>
    </w:p>
    <w:p w14:paraId="7B6F93E6" w14:textId="77777777" w:rsidR="00CF11C5" w:rsidRPr="00580539" w:rsidRDefault="00000000">
      <w:pPr>
        <w:rPr>
          <w:rFonts w:ascii="Times New Roman" w:hAnsi="Times New Roman" w:cs="Times New Roman"/>
          <w:color w:val="000000" w:themeColor="text1"/>
        </w:rPr>
      </w:pPr>
      <w:r w:rsidRPr="00580539">
        <w:rPr>
          <w:rFonts w:ascii="Times New Roman" w:hAnsi="Times New Roman" w:cs="Times New Roman"/>
          <w:color w:val="000000" w:themeColor="text1"/>
        </w:rPr>
        <w:t>We believe the Financial Health Card will unlock credit for 10M+ MSMEs and position IDBI as the fintech-first lender in India. We are excited to build this together.</w:t>
      </w:r>
    </w:p>
    <w:p w14:paraId="7FAC195A" w14:textId="117A0D23" w:rsidR="00CF11C5" w:rsidRPr="00580539" w:rsidRDefault="00CF11C5">
      <w:pPr>
        <w:rPr>
          <w:rFonts w:ascii="Times New Roman" w:hAnsi="Times New Roman" w:cs="Times New Roman"/>
          <w:color w:val="000000" w:themeColor="text1"/>
        </w:rPr>
      </w:pPr>
    </w:p>
    <w:sectPr w:rsidR="00CF11C5" w:rsidRPr="0058053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5014701">
    <w:abstractNumId w:val="8"/>
  </w:num>
  <w:num w:numId="2" w16cid:durableId="2137522276">
    <w:abstractNumId w:val="6"/>
  </w:num>
  <w:num w:numId="3" w16cid:durableId="1387798434">
    <w:abstractNumId w:val="5"/>
  </w:num>
  <w:num w:numId="4" w16cid:durableId="851451091">
    <w:abstractNumId w:val="4"/>
  </w:num>
  <w:num w:numId="5" w16cid:durableId="992638809">
    <w:abstractNumId w:val="7"/>
  </w:num>
  <w:num w:numId="6" w16cid:durableId="1203519074">
    <w:abstractNumId w:val="3"/>
  </w:num>
  <w:num w:numId="7" w16cid:durableId="915166774">
    <w:abstractNumId w:val="2"/>
  </w:num>
  <w:num w:numId="8" w16cid:durableId="498928060">
    <w:abstractNumId w:val="1"/>
  </w:num>
  <w:num w:numId="9" w16cid:durableId="1917593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0539"/>
    <w:rsid w:val="00986101"/>
    <w:rsid w:val="00AA1D8D"/>
    <w:rsid w:val="00B47730"/>
    <w:rsid w:val="00CB0664"/>
    <w:rsid w:val="00CB5BC7"/>
    <w:rsid w:val="00CF11C5"/>
    <w:rsid w:val="00E72F2D"/>
    <w:rsid w:val="00ED64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BEF869"/>
  <w14:defaultImageDpi w14:val="300"/>
  <w15:docId w15:val="{C6A3E6BE-CBF2-4EE1-801A-850B5DDE3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1083</Words>
  <Characters>6175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[BTECH-035-2023-24] Tanay Baranwal</cp:lastModifiedBy>
  <cp:revision>2</cp:revision>
  <dcterms:created xsi:type="dcterms:W3CDTF">2026-07-11T07:49:00Z</dcterms:created>
  <dcterms:modified xsi:type="dcterms:W3CDTF">2026-07-11T07:49:00Z</dcterms:modified>
  <cp:category/>
</cp:coreProperties>
</file>