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Credit Assessment: Ashok Leyland Limited</w:t>
      </w:r>
    </w:p>
    <w:p>
      <w:pPr>
        <w:spacing w:after="200"/>
      </w:pPr>
      <w:r>
        <w:rPr>
          <w:rFonts w:ascii="Arial" w:hAnsi="Arial"/>
          <w:sz w:val="18"/>
        </w:rPr>
        <w:t>Independent credit view based on the FY24, FY25 and FY26 annual reports. Standalone basis, ₹ crore. This was prepared before reading any rating agency report.</w:t>
      </w:r>
    </w:p>
    <w:p>
      <w:pPr>
        <w:spacing w:after="100" w:before="240"/>
      </w:pPr>
      <w:r>
        <w:rPr>
          <w:rFonts w:ascii="Arial" w:cs="Arial" w:eastAsia="Arial" w:hAnsi="Arial"/>
          <w:b/>
          <w:bCs/>
          <w:color w:val="1F3864"/>
          <w:sz w:val="26"/>
          <w:szCs w:val="26"/>
        </w:rPr>
        <w:t xml:space="preserve">Executive summary</w:t>
      </w:r>
    </w:p>
    <w:p>
      <w:pPr>
        <w:spacing w:after="100" w:before="0"/>
      </w:pPr>
      <w:r>
        <w:rPr>
          <w:rFonts w:ascii="Arial" w:hAnsi="Arial"/>
          <w:sz w:val="18"/>
        </w:rPr>
        <w:t>Verdict: approve. Ashok Leyland is a strong borrower — it has more cash than debt, very low debt and plenty of room to pay interest — so it sits at the top of the high-safety band, with a stable outlook.</w:t>
      </w:r>
    </w:p>
    <w:p>
      <w:pPr>
        <w:spacing w:after="60" w:before="0"/>
      </w:pPr>
      <w:r>
        <w:rPr>
          <w:rFonts w:ascii="Arial" w:hAnsi="Arial"/>
          <w:sz w:val="18"/>
        </w:rPr>
        <w:t>From FY24 to FY26, revenue rose to ₹44,007 cr, EBITDA margin improved from 12.0% to 13.0%, and total debt fell from ₹2,299 cr to ₹1,195 cr. Free cash and liquid investments of ₹7,051 cr are almost six times the debt, leaving net cash of ₹5,856 cr. Debt due within one year is ₹698 cr, against ₹9,905 cr of cash and committed credit lines.</w:t>
      </w:r>
    </w:p>
    <w:p>
      <w:pPr>
        <w:spacing w:after="100" w:before="0"/>
      </w:pPr>
      <w:r>
        <w:rPr>
          <w:rFonts w:ascii="Arial" w:hAnsi="Arial"/>
          <w:sz w:val="18"/>
        </w:rPr>
        <w:t>The risks are real but manageable: truck sales can fall sharply in a downturn (20–28% in past years); M&amp;HCV share fell from 31.1% to 30.3%; and cash has been going to loss-making EV subsidiaries and, for a short time, promoter-group companies. I do not see these stopping debt repayment over the next two to three years. I would lend up to roughly ₹2,000 cr unsecured for up to five years, with limits on subsidiary funding and group deposits.</w:t>
      </w:r>
    </w:p>
    <w:p>
      <w:pPr>
        <w:spacing w:after="100" w:before="240"/>
      </w:pPr>
      <w:r>
        <w:rPr>
          <w:rFonts w:ascii="Arial" w:cs="Arial" w:eastAsia="Arial" w:hAnsi="Arial"/>
          <w:b/>
          <w:bCs/>
          <w:color w:val="1F3864"/>
          <w:sz w:val="26"/>
          <w:szCs w:val="26"/>
        </w:rPr>
        <w:t xml:space="preserve">1. Company and scope</w:t>
      </w:r>
    </w:p>
    <w:p>
      <w:pPr>
        <w:spacing w:after="100" w:before="0"/>
      </w:pPr>
      <w:r>
        <w:rPr>
          <w:rFonts w:ascii="Arial" w:hAnsi="Arial"/>
          <w:sz w:val="18"/>
        </w:rPr>
        <w:t>Ashok Leyland is the main automotive company of the Hinduja Group and India's second-largest M&amp;HCV maker. It makes trucks, buses, light vehicles, defence vehicles and engines. It has 11 plants in India and 1 in Ras Al Khaimah, UAE.</w:t>
      </w:r>
    </w:p>
    <w:p>
      <w:pPr>
        <w:spacing w:after="100" w:before="0"/>
      </w:pPr>
      <w:r>
        <w:rPr>
          <w:rFonts w:ascii="Arial" w:hAnsi="Arial"/>
          <w:sz w:val="18"/>
        </w:rPr>
        <w:t>Scope. I assessed the standalone company because the consolidated accounts include Hinduja Leyland Finance (HLF), an NBFC. Its roughly ₹63,650 cr borrowings are mainly its lending book, not debt from the truck business. Combining them makes leverage look like 3.4x equity, while the vehicle business itself is at 0.09x. I still capture group risk separately through investments and guarantees.</w:t>
      </w:r>
    </w:p>
    <w:p>
      <w:pPr>
        <w:spacing w:after="100" w:before="0"/>
      </w:pPr>
      <w:r>
        <w:rPr>
          <w:rFonts w:ascii="Arial" w:hAnsi="Arial"/>
          <w:sz w:val="18"/>
        </w:rPr>
        <w:t>Period. FY24 to FY26 (years ending 31 March). FY24 figures are the comparatives in the FY25 report and were checked against the FY24 report; no restatements were found.</w:t>
      </w:r>
    </w:p>
    <w:p>
      <w:pPr>
        <w:spacing w:after="100" w:before="240"/>
      </w:pPr>
      <w:r>
        <w:rPr>
          <w:rFonts w:ascii="Arial" w:cs="Arial" w:eastAsia="Arial" w:hAnsi="Arial"/>
          <w:b/>
          <w:bCs/>
          <w:color w:val="1F3864"/>
          <w:sz w:val="26"/>
          <w:szCs w:val="26"/>
        </w:rPr>
        <w:t xml:space="preserve">2. Data sources used</w:t>
      </w:r>
    </w:p>
    <w:p>
      <w:pPr>
        <w:spacing w:after="100" w:before="0"/>
      </w:pPr>
      <w:r>
        <w:rPr>
          <w:rFonts w:ascii="Arial" w:cs="Arial" w:eastAsia="Arial" w:hAnsi="Arial"/>
          <w:b w:val="false"/>
          <w:bCs w:val="false"/>
          <w:sz w:val="20"/>
          <w:szCs w:val="20"/>
        </w:rPr>
        <w:t xml:space="preserve">Six sources, in the order I used them:</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Annual reports FY24–FY26</w:t>
      </w:r>
      <w:r>
        <w:rPr>
          <w:rFonts w:ascii="Arial" w:cs="Arial" w:eastAsia="Arial" w:hAnsi="Arial"/>
          <w:b w:val="false"/>
          <w:bCs w:val="false"/>
          <w:sz w:val="20"/>
          <w:szCs w:val="20"/>
        </w:rPr>
        <w:t xml:space="preserve"> — P&amp;L, balance sheet and cash flow statements (FY26 pages 122–125; FY25 pages 112–115; FY24 pages 116–119).</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MD&amp;A</w:t>
      </w:r>
      <w:r>
        <w:rPr>
          <w:rFonts w:ascii="Arial" w:cs="Arial" w:eastAsia="Arial" w:hAnsi="Arial"/>
          <w:b w:val="false"/>
          <w:bCs w:val="false"/>
          <w:sz w:val="20"/>
          <w:szCs w:val="20"/>
        </w:rPr>
        <w:t xml:space="preserve"> — industry volumes, market share, management's own list of risks (FY26 pages 52–58).</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Notes to accounts</w:t>
      </w:r>
      <w:r>
        <w:rPr>
          <w:rFonts w:ascii="Arial" w:cs="Arial" w:eastAsia="Arial" w:hAnsi="Arial"/>
          <w:b w:val="false"/>
          <w:bCs w:val="false"/>
          <w:sz w:val="20"/>
          <w:szCs w:val="20"/>
        </w:rPr>
        <w:t xml:space="preserve"> — borrowings, security, repayment terms, covenants, contingent liabilities, guarantees and related-party dealings (FY26 Notes 1.16, 1.21, 3.8–3.12).</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Financial risk note (3.6)</w:t>
      </w:r>
      <w:r>
        <w:rPr>
          <w:rFonts w:ascii="Arial" w:cs="Arial" w:eastAsia="Arial" w:hAnsi="Arial"/>
          <w:b w:val="false"/>
          <w:bCs w:val="false"/>
          <w:sz w:val="20"/>
          <w:szCs w:val="20"/>
        </w:rPr>
        <w:t xml:space="preserve"> — maturity bands, undrawn lines, rate mix and currency exposure (FY26 pages 183–188).</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statements</w:t>
      </w:r>
      <w:r>
        <w:rPr>
          <w:rFonts w:ascii="Arial" w:cs="Arial" w:eastAsia="Arial" w:hAnsi="Arial"/>
          <w:b w:val="false"/>
          <w:bCs w:val="false"/>
          <w:sz w:val="20"/>
          <w:szCs w:val="20"/>
        </w:rPr>
        <w:t xml:space="preserve"> — only to size the group and justify the standalone scope (FY26 pages 220–221).</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ISB case studies ISB430 and ISB431 (2024)</w:t>
      </w:r>
      <w:r>
        <w:rPr>
          <w:rFonts w:ascii="Arial" w:cs="Arial" w:eastAsia="Arial" w:hAnsi="Arial"/>
          <w:b w:val="false"/>
          <w:bCs w:val="false"/>
          <w:sz w:val="20"/>
          <w:szCs w:val="20"/>
        </w:rPr>
        <w:t xml:space="preserve"> — the digital and aftermarket strategy, and industry sales history.</w:t>
      </w:r>
    </w:p>
    <w:p>
      <w:pPr>
        <w:spacing w:after="100" w:before="0"/>
      </w:pPr>
      <w:r>
        <w:rPr>
          <w:rFonts w:ascii="Arial" w:cs="Arial" w:eastAsia="Arial" w:hAnsi="Arial"/>
          <w:b w:val="false"/>
          <w:bCs w:val="false"/>
          <w:sz w:val="20"/>
          <w:szCs w:val="20"/>
        </w:rPr>
        <w:t xml:space="preserve">A rating agency report was read only after the judgement below was finalised, and only for the comparison in section 9.</w:t>
      </w:r>
    </w:p>
    <w:p>
      <w:pPr>
        <w:spacing w:after="100" w:before="240"/>
      </w:pPr>
      <w:r>
        <w:rPr>
          <w:rFonts w:ascii="Arial" w:cs="Arial" w:eastAsia="Arial" w:hAnsi="Arial"/>
          <w:b/>
          <w:bCs/>
          <w:color w:val="1F3864"/>
          <w:sz w:val="26"/>
          <w:szCs w:val="26"/>
        </w:rPr>
        <w:t xml:space="preserve">3. Adjustments made to reported numbers</w:t>
      </w:r>
    </w:p>
    <w:p>
      <w:pPr>
        <w:spacing w:after="100" w:before="0"/>
      </w:pPr>
      <w:r>
        <w:rPr>
          <w:rFonts w:ascii="Arial" w:hAnsi="Arial"/>
          <w:sz w:val="18"/>
        </w:rPr>
        <w:t>Three adjustments are important because they change the picture:</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Operating EBITDA excludes other income.</w:t>
      </w:r>
      <w:r>
        <w:rPr>
          <w:rFonts w:ascii="Arial" w:cs="Arial" w:eastAsia="Arial" w:hAnsi="Arial"/>
          <w:b w:val="false"/>
          <w:bCs w:val="false"/>
          <w:sz w:val="20"/>
          <w:szCs w:val="20"/>
        </w:rPr>
        <w:t xml:space="preserve"> Treasury income is not debt-servicing capacity from operations.</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Cash flow adjusted for a dividend-account timing swing.</w:t>
      </w:r>
      <w:r>
        <w:rPr>
          <w:rFonts w:ascii="Arial" w:cs="Arial" w:eastAsia="Arial" w:hAnsi="Arial"/>
          <w:b w:val="false"/>
          <w:bCs w:val="false"/>
          <w:sz w:val="20"/>
          <w:szCs w:val="20"/>
        </w:rPr>
        <w:t xml:space="preserve"> Reported CFO jumps from ₹2,503 cr to ₹7,819 cr and back to ₹4,792 cr. Most of that swing is ₹1,453 cr of interim dividend parked in a separate bank account at the end of FY24 and paid in FY25. Adjusted CFO reads ₹3,957 cr, ₹6,366 cr and ₹4,792 cr — a far truer picture.</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Cash counted net of earmarked balances.</w:t>
      </w:r>
      <w:r>
        <w:rPr>
          <w:rFonts w:ascii="Arial" w:cs="Arial" w:eastAsia="Arial" w:hAnsi="Arial"/>
          <w:b w:val="false"/>
          <w:bCs w:val="false"/>
          <w:sz w:val="20"/>
          <w:szCs w:val="20"/>
        </w:rPr>
        <w:t xml:space="preserve"> FY24 cash includes that same ₹1,453 cr, which was not available to creditors. Free cash is therefore ₹2,191 cr in FY24, not ₹3,687 cr.</w:t>
      </w:r>
    </w:p>
    <w:p>
      <w:pPr>
        <w:spacing w:after="100" w:before="0"/>
      </w:pPr>
      <w:r>
        <w:rPr>
          <w:rFonts w:ascii="Arial" w:hAnsi="Arial"/>
          <w:sz w:val="18"/>
        </w:rPr>
        <w:t>I also include lease liabilities in debt and checked the total against the company's own capital-management note. The numbers match exactly for all three years (₹2,299 cr, ₹1,482 cr, ₹1,195 cr), confirming the extraction.</w:t>
      </w:r>
    </w:p>
    <w:p>
      <w:pPr>
        <w:spacing w:after="100" w:before="240"/>
      </w:pPr>
      <w:r>
        <w:rPr>
          <w:rFonts w:ascii="Arial" w:cs="Arial" w:eastAsia="Arial" w:hAnsi="Arial"/>
          <w:b/>
          <w:bCs/>
          <w:color w:val="1F3864"/>
          <w:sz w:val="26"/>
          <w:szCs w:val="26"/>
        </w:rPr>
        <w:t xml:space="preserve">4. Financial analysis</w:t>
      </w:r>
    </w:p>
    <w:p>
      <w:pPr>
        <w:spacing w:after="100" w:before="0"/>
      </w:pPr>
      <w:r>
        <w:rPr>
          <w:rFonts w:ascii="Arial" w:hAnsi="Arial"/>
          <w:sz w:val="18"/>
        </w:rPr>
        <w:t>Scale and profitability. Revenue was almost flat in FY25 (₹38,367 cr to ₹38,753 cr) and then jumped 13.6% to ₹44,007 cr in FY26. More importantly, EBITDA margin improved every year, from 12.0% to 12.7% to 13.0%, so profit improved even without much volume growth. PAT rose from ₹2,618 cr to ₹3,566 cr, even after a one-off ₹308 cr labour-code charge in FY26. ROCE stayed near 35%.</w:t>
      </w:r>
    </w:p>
    <w:p>
      <w:pPr>
        <w:spacing w:after="100" w:before="0"/>
      </w:pPr>
      <w:r>
        <w:rPr>
          <w:rFonts w:ascii="Arial" w:hAnsi="Arial"/>
          <w:sz w:val="18"/>
        </w:rPr>
        <w:t>Leverage. Total debt including leases almost halved in two years, from ₹2,299 cr to ₹1,195 cr. Debt/equity fell 0.26x → 0.13x → 0.09x, while debt/EBITDA is 0.21x. Free cash and liquid investments rose to ₹7,051 cr, moving the company from roughly debt-neutral in FY24 to net cash of ₹5,856 cr in FY26.</w:t>
      </w:r>
    </w:p>
    <w:p>
      <w:pPr>
        <w:spacing w:after="100" w:before="0"/>
      </w:pPr>
      <w:r>
        <w:rPr>
          <w:rFonts w:ascii="Arial" w:hAnsi="Arial"/>
          <w:sz w:val="18"/>
        </w:rPr>
        <w:t>Coverage. Interest cover is 33.8x using reported finance cost and 62.8x using interest actually paid on borrowings. Cash DSCR — EBITDA after tax compared with interest, term-loan repayment and lease payments — improved from 2.9x to 9.5x. These numbers give a very large safety cushion.</w:t>
      </w:r>
    </w:p>
    <w:p>
      <w:pPr>
        <w:spacing w:after="100" w:before="0"/>
      </w:pPr>
      <w:r>
        <w:rPr>
          <w:rFonts w:ascii="Arial" w:hAnsi="Arial"/>
          <w:sz w:val="18"/>
        </w:rPr>
        <w:t>Cash flow. Adjusted CFO of ₹4,792 cr covers ₹1,050 cr of capex about 4.6x. Even after dividends, ₹1,907 cr remained in FY26. Capex is rising (0.69x of depreciation in FY24 to 1.47x in FY26), so the asset base is growing, but the company is still comfortably funding it from its own cash.</w:t>
      </w:r>
    </w:p>
    <w:p>
      <w:pPr>
        <w:spacing w:after="100" w:before="0"/>
      </w:pPr>
      <w:r>
        <w:rPr>
          <w:rFonts w:ascii="Arial" w:hAnsi="Arial"/>
          <w:sz w:val="18"/>
        </w:rPr>
        <w:t>Working capital. The cash cycle is negative at −32 days because suppliers fund part of the business: payable days are 97 versus 41 inventory days and 24 receivable days. This works well in good times but can reverse during a downturn.</w:t>
      </w:r>
    </w:p>
    <w:p>
      <w:pPr>
        <w:spacing w:after="100" w:before="240"/>
      </w:pPr>
      <w:r>
        <w:rPr>
          <w:rFonts w:ascii="Arial" w:cs="Arial" w:eastAsia="Arial" w:hAnsi="Arial"/>
          <w:b/>
          <w:bCs/>
          <w:color w:val="1F3864"/>
          <w:sz w:val="26"/>
          <w:szCs w:val="26"/>
        </w:rPr>
        <w:t xml:space="preserve">4A. Three-year ratio summary</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500"/>
        <w:gridCol w:w="1150"/>
        <w:gridCol w:w="1150"/>
        <w:gridCol w:w="1150"/>
        <w:gridCol w:w="3400"/>
      </w:tblGrid>
      <w:tr>
        <w:trPr>
          <w:tblHeader/>
        </w:trPr>
        <w:tc>
          <w:tcPr>
            <w:tcW w:type="dxa" w:w="35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Ratio</w:t>
            </w:r>
          </w:p>
        </w:tc>
        <w:tc>
          <w:tcPr>
            <w:tcW w:type="dxa" w:w="115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FY24</w:t>
            </w:r>
          </w:p>
        </w:tc>
        <w:tc>
          <w:tcPr>
            <w:tcW w:type="dxa" w:w="115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FY25</w:t>
            </w:r>
          </w:p>
        </w:tc>
        <w:tc>
          <w:tcPr>
            <w:tcW w:type="dxa" w:w="115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FY26</w:t>
            </w:r>
          </w:p>
        </w:tc>
        <w:tc>
          <w:tcPr>
            <w:tcW w:type="dxa" w:w="34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Read</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Revenue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38,367</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38,753</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44,007</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Flat in FY25, then up 13.6% in FY26</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EBITDA margin</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12.0%</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12.7%</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13.0%</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Improved every year, even when revenue was flat</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PAT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2,618</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3,303</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3,566</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FY26 includes a ₹308 cr one-off charge</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ROCE</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35%</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32%</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35%</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Stayed high</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Total debt incl. leases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2,299</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1,482</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1,195</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Almost half in two years</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Debt / equity</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0.26x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0.13x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0.09x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Matches company's own figure</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Net debt / (net cash)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108</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(4,197)</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(5,856)</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Moved clearly into net cash</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Debt / EBITDA</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0.50x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0.30x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0.21x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Very low debt</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Interest cover (EBITDA/finance cost)</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18.5x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22.7x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33.8x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Large safety cushion</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Cash DSCR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2.9x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4.5x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9.5x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Debt payments are easily covered</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Adjusted CFO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3,957</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6,366</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4,792</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After removing the dividend-account timing effect</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Capex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496</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954</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1,050</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Rising, but still funded from the business</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FCF after dividends (₹ cr)</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2,698</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3,371</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1,907</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Positive, but falling</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Current ratio</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0.96x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1.08x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1.10x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 but normal for an OEM</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Cash conversion cycle</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(7) days</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(30) days</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(32) days</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Suppliers are funding part of the business</w:t>
            </w:r>
          </w:p>
        </w:tc>
      </w:tr>
      <w:tr>
        <w:tc>
          <w:tcPr>
            <w:tcW w:type="dxa" w:w="3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Debt + guarantees / equity</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0.35x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0.22x</w:t>
            </w:r>
          </w:p>
        </w:tc>
        <w:tc>
          <w:tcPr>
            <w:tcW w:type="dxa" w:w="11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0.15x</w:t>
            </w:r>
          </w:p>
        </w:tc>
        <w:tc>
          <w:tcPr>
            <w:tcW w:type="dxa" w:w="3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Still low even after adding guarantees</w:t>
            </w:r>
          </w:p>
        </w:tc>
      </w:tr>
    </w:tbl>
    <w:p>
      <w:pPr>
        <w:spacing w:after="100" w:before="0"/>
      </w:pPr>
      <w:r>
        <w:rPr>
          <w:rFonts w:ascii="Arial" w:cs="Arial" w:eastAsia="Arial" w:hAnsi="Arial"/>
          <w:b w:val="false"/>
          <w:bCs w:val="false"/>
          <w:sz w:val="17"/>
          <w:szCs w:val="17"/>
        </w:rPr>
        <w:t xml:space="preserve">Every figure above is a live formula in the accompanying Excel workbook, traceable to a page in the annual report.</w:t>
      </w:r>
    </w:p>
    <w:p>
      <w:pPr>
        <w:spacing w:after="100" w:before="240"/>
      </w:pPr>
      <w:r>
        <w:rPr>
          <w:rFonts w:ascii="Arial" w:cs="Arial" w:eastAsia="Arial" w:hAnsi="Arial"/>
          <w:b/>
          <w:bCs/>
          <w:color w:val="1F3864"/>
          <w:sz w:val="26"/>
          <w:szCs w:val="26"/>
        </w:rPr>
        <w:t xml:space="preserve">4B. What the trend means</w:t>
      </w:r>
    </w:p>
    <w:p>
      <w:pPr>
        <w:spacing w:after="100" w:before="0"/>
      </w:pPr>
      <w:r>
        <w:rPr>
          <w:rFonts w:ascii="Arial" w:hAnsi="Arial"/>
          <w:sz w:val="18"/>
        </w:rPr>
        <w:t>Looking at all three years together shows three clear points.</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The improvement is structural, not a one-year windfall.</w:t>
      </w:r>
      <w:r>
        <w:rPr>
          <w:rFonts w:ascii="Arial" w:cs="Arial" w:eastAsia="Arial" w:hAnsi="Arial"/>
          <w:b w:val="false"/>
          <w:bCs w:val="false"/>
          <w:sz w:val="20"/>
          <w:szCs w:val="20"/>
        </w:rPr>
        <w:t xml:space="preserve"> Margin rose in FY25 on flat revenue, which can only come from cost and mix, not volume. FY26 then added operating leverage on top.</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Deleveraging was funded by operations, not by asset sales or equity.</w:t>
      </w:r>
      <w:r>
        <w:rPr>
          <w:rFonts w:ascii="Arial" w:cs="Arial" w:eastAsia="Arial" w:hAnsi="Arial"/>
          <w:b w:val="false"/>
          <w:bCs w:val="false"/>
          <w:sz w:val="20"/>
          <w:szCs w:val="20"/>
        </w:rPr>
        <w:t xml:space="preserve"> Borrowings raised over three years were ₹7,151 cr against ₹8,093 cr repaid, all absorbed within operating cash flow.</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The cash pile is new.</w:t>
      </w:r>
      <w:r>
        <w:rPr>
          <w:rFonts w:ascii="Arial" w:cs="Arial" w:eastAsia="Arial" w:hAnsi="Arial"/>
          <w:b w:val="false"/>
          <w:bCs w:val="false"/>
          <w:sz w:val="20"/>
          <w:szCs w:val="20"/>
        </w:rPr>
        <w:t xml:space="preserve"> It was built in FY25 and FY26, both strong industry years. It has not yet been tested through a downturn, which is why I treat the buffer as evidence of current strength rather than proof of resilience.</w:t>
      </w:r>
    </w:p>
    <w:p>
      <w:pPr>
        <w:spacing w:after="100" w:before="240"/>
      </w:pPr>
      <w:r>
        <w:rPr>
          <w:rFonts w:ascii="Arial" w:cs="Arial" w:eastAsia="Arial" w:hAnsi="Arial"/>
          <w:b/>
          <w:bCs/>
          <w:color w:val="1F3864"/>
          <w:sz w:val="26"/>
          <w:szCs w:val="26"/>
        </w:rPr>
        <w:t xml:space="preserve">5. Liquidity and debt maturity</w:t>
      </w:r>
    </w:p>
    <w:p>
      <w:pPr>
        <w:spacing w:after="100" w:before="0"/>
      </w:pPr>
      <w:r>
        <w:rPr>
          <w:rFonts w:ascii="Arial" w:hAnsi="Arial"/>
          <w:sz w:val="18"/>
        </w:rPr>
        <w:t>Debt is small and straightforward: bank term loans, one ₹200 cr debenture at 7.30% due 17 March 2027, a ₹150 cr short-term loan and an interest-free sales-tax loan. Average borrowing cost is 6.83%, down from 7.54% in FY24. Only ₹403 cr is floating-rate debt, so a 25 bp rate change affects profit by about ₹1 cr.</w:t>
      </w:r>
    </w:p>
    <w:p>
      <w:pPr>
        <w:spacing w:after="100" w:before="0"/>
      </w:pPr>
      <w:r>
        <w:rPr>
          <w:rFonts w:ascii="Arial" w:hAnsi="Arial"/>
          <w:sz w:val="18"/>
        </w:rPr>
        <w:t>Debt payments due within one year are ₹698 cr. Against this, the company has ₹7,051 cr of free cash and liquid investments, ₹2,854 cr of unused bank lines and a ₹2,000 cr commercial-paper option — roughly 14x coverage. All covenants were met at 31 March 2026, including coverage, leverage, net worth, promoter holding and rating requirements.</w:t>
      </w:r>
    </w:p>
    <w:p>
      <w:pPr>
        <w:spacing w:after="100" w:before="0"/>
      </w:pPr>
      <w:r>
        <w:rPr>
          <w:rFonts w:ascii="Arial" w:hAnsi="Arial"/>
          <w:sz w:val="18"/>
        </w:rPr>
        <w:t>The main liquidity warning is supplier payments, not debt. Supplier dues of ₹8,329 cr are higher than free cash. In FY24, payables fell by ₹868 cr in one year. In a sharp downturn, working capital could become tight before debt repayment becomes a problem.</w:t>
      </w:r>
    </w:p>
    <w:p>
      <w:pPr>
        <w:spacing w:after="100" w:before="240"/>
      </w:pPr>
      <w:r>
        <w:rPr>
          <w:rFonts w:ascii="Arial" w:cs="Arial" w:eastAsia="Arial" w:hAnsi="Arial"/>
          <w:b/>
          <w:bCs/>
          <w:color w:val="1F3864"/>
          <w:sz w:val="26"/>
          <w:szCs w:val="26"/>
        </w:rPr>
        <w:t xml:space="preserve">6. Business and industry risk</w:t>
      </w:r>
    </w:p>
    <w:p>
      <w:pPr>
        <w:spacing w:after="100" w:before="0"/>
      </w:pPr>
      <w:r>
        <w:rPr>
          <w:rFonts w:ascii="Arial" w:hAnsi="Arial"/>
          <w:sz w:val="18"/>
        </w:rPr>
        <w:t>Commercial vehicles go through cycles, and past downturns were severe: industry sales fell 20.2% in FY13–14 and 28.5% in FY20. FY26 was a record year at about 10.8 lakh units, helped by the GST cut on CVs from 28% to 18% in September 2025. So FY26 ratios should be viewed as strong, peak-cycle numbers.</w:t>
      </w:r>
    </w:p>
    <w:p>
      <w:pPr>
        <w:spacing w:after="100" w:before="0"/>
      </w:pPr>
      <w:r>
        <w:rPr>
          <w:rFonts w:ascii="Arial" w:hAnsi="Arial"/>
          <w:sz w:val="18"/>
        </w:rPr>
        <w:t>Even with the cycle risk, the business is strong. Ashok Leyland has about 30% of M&amp;HCV trucks and about 31–34% of buses, and reached a record LCV share. Exports rose 18.5% to 18,082 units, while aftermarket revenue reached about ₹4,450 cr, up 12%. Its service network has over 52,000 touchpoints.</w:t>
      </w:r>
    </w:p>
    <w:p>
      <w:pPr>
        <w:spacing w:after="100" w:before="0"/>
      </w:pPr>
      <w:r>
        <w:rPr>
          <w:rFonts w:ascii="Arial" w:hAnsi="Arial"/>
          <w:sz w:val="18"/>
        </w:rPr>
        <w:t>The slow fall in truck share (31.1% → 30.7% → 30.3%) needs watching, but it is not yet a major trend break. The ISB case shows that only 7–8% of a truck's lifetime ownership cost is earned when it is sold. So parts, service and data subscriptions such as iALERT (about ₹100–120 per vehicle per month, with 60,000+ customers) can make earnings more stable.</w:t>
      </w:r>
    </w:p>
    <w:p>
      <w:pPr>
        <w:spacing w:after="100" w:before="240"/>
      </w:pPr>
      <w:r>
        <w:rPr>
          <w:rFonts w:ascii="Arial" w:cs="Arial" w:eastAsia="Arial" w:hAnsi="Arial"/>
          <w:b/>
          <w:bCs/>
          <w:color w:val="1F3864"/>
          <w:sz w:val="26"/>
          <w:szCs w:val="26"/>
        </w:rPr>
        <w:t xml:space="preserve">7. Governance and group exposure</w:t>
      </w:r>
    </w:p>
    <w:p>
      <w:pPr>
        <w:spacing w:after="100" w:before="0"/>
      </w:pPr>
      <w:r>
        <w:rPr>
          <w:rFonts w:ascii="Arial" w:hAnsi="Arial"/>
          <w:sz w:val="18"/>
        </w:rPr>
        <w:t>Disclosure is detailed, audits are clean and covenants are met. Two areas still need lender attention.</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Cash moving within the group.</w:t>
      </w:r>
      <w:r>
        <w:rPr>
          <w:rFonts w:ascii="Arial" w:cs="Arial" w:eastAsia="Arial" w:hAnsi="Arial"/>
          <w:b w:val="false"/>
          <w:bCs w:val="false"/>
          <w:sz w:val="20"/>
          <w:szCs w:val="20"/>
        </w:rPr>
        <w:t xml:space="preserve"> During FY26 the company placed ₹2,390 cr of short-term deposits with other companies, including Hinduja media, realty and healthcare entities at up to ₹100 cr each. All of it was repaid and the year-end balance was nil, but cash that can travel to group firms is worth less as a creditor buffer than cash that cannot.</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Support to loss-making EV units.</w:t>
      </w:r>
      <w:r>
        <w:rPr>
          <w:rFonts w:ascii="Arial" w:cs="Arial" w:eastAsia="Arial" w:hAnsi="Arial"/>
          <w:b w:val="false"/>
          <w:bCs w:val="false"/>
          <w:sz w:val="20"/>
          <w:szCs w:val="20"/>
        </w:rPr>
        <w:t xml:space="preserve"> Guarantees for subsidiaries total ₹786 cr, mostly Switch Mobility UK at ₹633 cr, whose UK manufacturing was discontinued in FY26. The company invested ₹499 cr in FY25 and ₹371 cr in FY26, and approved roughly ₹325 cr more in August 2026. Investments in group companies now equal about half of net worth.</w:t>
      </w:r>
    </w:p>
    <w:p>
      <w:pPr>
        <w:spacing w:after="100" w:before="0"/>
      </w:pPr>
      <w:r>
        <w:rPr>
          <w:rFonts w:ascii="Arial" w:hAnsi="Arial"/>
          <w:sz w:val="18"/>
        </w:rPr>
        <w:t>If guarantees are treated like debt, gearing rises from 0.09x to 0.15x — still low. Total off-balance-sheet exposure (disputes, guarantees and capital commitments) is ₹1,589 cr, about 12% of net worth. This is manageable, but the direction of these exposures matters.</w:t>
      </w:r>
    </w:p>
    <w:p>
      <w:pPr>
        <w:spacing w:after="100" w:before="240"/>
      </w:pPr>
      <w:r>
        <w:rPr>
          <w:rFonts w:ascii="Arial" w:cs="Arial" w:eastAsia="Arial" w:hAnsi="Arial"/>
          <w:b/>
          <w:bCs/>
          <w:color w:val="1F3864"/>
          <w:sz w:val="26"/>
          <w:szCs w:val="26"/>
        </w:rPr>
        <w:t xml:space="preserve">7A. Risk summary</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5250"/>
      </w:tblGrid>
      <w:tr>
        <w:trPr>
          <w:tblHeader/>
        </w:trPr>
        <w:tc>
          <w:tcPr>
            <w:tcW w:type="dxa" w:w="22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Risk</w:t>
            </w:r>
          </w:p>
        </w:tc>
        <w:tc>
          <w:tcPr>
            <w:tcW w:type="dxa" w:w="15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Likelihood</w:t>
            </w:r>
          </w:p>
        </w:tc>
        <w:tc>
          <w:tcPr>
            <w:tcW w:type="dxa" w:w="14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Severity</w:t>
            </w:r>
          </w:p>
        </w:tc>
        <w:tc>
          <w:tcPr>
            <w:tcW w:type="dxa" w:w="525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Why, and what would change my mind</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CV downturn</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High over 3 years</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The cycle usually turns every 5–7 years. Impact is only moderate because the company starts with net cash and almost no debt to repay.</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Further EV cash calls</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High</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 to moderate</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There were three cash infusions in about 16 months. Each is small versus net worth, but the support could continue. A hard cap would reduce this risk.</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Working-capital reversal</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Supplier dues of ₹8,329 cr are above cash. ₹868 cr of payables unwound in FY24. Watch cash less supplier dues each quarter.</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Market-share loss</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Share fell 0.8 points in three years. A fall below 28% would suggest a long-term problem, not just a cycle.</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Group cash transfers</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Moderate</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 today</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₹2,390 cr moved to group firms and was returned within FY26. Risk stays low while it is fully repaid; it becomes high if a year-end balance appears.</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Refinancing</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₹698 cr is due within one year against ₹9,905 cr of cash and committed lines.</w:t>
            </w:r>
          </w:p>
        </w:tc>
      </w:tr>
      <w:tr>
        <w:tc>
          <w:tcPr>
            <w:tcW w:type="dxa" w:w="22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Interest rate / currency</w:t>
            </w:r>
          </w:p>
        </w:tc>
        <w:tc>
          <w:tcPr>
            <w:tcW w:type="dxa" w:w="15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w:t>
            </w:r>
          </w:p>
        </w:tc>
        <w:tc>
          <w:tcPr>
            <w:tcW w:type="dxa" w:w="1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Low</w:t>
            </w:r>
          </w:p>
        </w:tc>
        <w:tc>
          <w:tcPr>
            <w:tcW w:type="dxa" w:w="52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Only ₹403 cr is floating-rate debt, so a 25 bp move costs about ₹1 cr. Currency exposure is small and mostly hedged.</w:t>
            </w:r>
          </w:p>
        </w:tc>
      </w:tr>
    </w:tbl>
    <w:p>
      <w:pPr>
        <w:spacing w:after="100" w:before="240"/>
      </w:pPr>
      <w:r>
        <w:rPr>
          <w:rFonts w:ascii="Arial" w:cs="Arial" w:eastAsia="Arial" w:hAnsi="Arial"/>
          <w:b/>
          <w:bCs/>
          <w:color w:val="1F3864"/>
          <w:sz w:val="26"/>
          <w:szCs w:val="26"/>
        </w:rPr>
        <w:t xml:space="preserve">8. Stress test and judgement</w:t>
      </w:r>
    </w:p>
    <w:p>
      <w:pPr>
        <w:spacing w:after="100" w:before="0"/>
      </w:pPr>
      <w:r>
        <w:rPr>
          <w:rFonts w:ascii="Arial" w:hAnsi="Arial"/>
          <w:sz w:val="18"/>
        </w:rPr>
        <w:t>I tested FY26 using an FY20-style downturn: volumes fall 30%, EBITDA margin falls to 8%, ₹1,000 cr of payables is released, while capex and dividends continue. EBITDA falls to about ₹2,460 cr, but still covers interest by more than 25x. The company stays close to net cash for about two years before needing to borrow. Debt repayment is still not a problem in this case.</w:t>
      </w:r>
    </w:p>
    <w:p>
      <w:pPr>
        <w:spacing w:after="100" w:before="0"/>
      </w:pPr>
      <w:r>
        <w:rPr>
          <w:rFonts w:ascii="Arial" w:hAnsi="Arial"/>
          <w:sz w:val="18"/>
        </w:rPr>
        <w:t>Judgement: a strong credit, at the top of the high-safety band, with a stable outlook. On standalone numbers alone it looks AAA-equivalent; giving more weight to planned EV investment and group cash outflows brings it to AA+. Strengths are market position, net cash, strong coverage, self-funded capex and small, well-covered debt. Weaknesses are the business cycle, slowly falling truck share and cash going to group and EV entities — real risks, but none should threaten debt repayment over the next two to three years.</w:t>
      </w:r>
    </w:p>
    <w:p>
      <w:pPr>
        <w:spacing w:after="100" w:before="0"/>
      </w:pPr>
      <w:r>
        <w:rPr>
          <w:rFonts w:ascii="Arial" w:hAnsi="Arial"/>
          <w:sz w:val="18"/>
        </w:rPr>
        <w:t>Lending decision: approve, without security. Facilities up to roughly ₹2,000 cr for up to five years, at the finest pricing. Existing lenders have charges only over specific plants, so I would not take security. I would require these covenants: net debt/EBITDA ≤1.5x; debt plus guarantees/net worth ≤0.5x; a cap on new funding to subsidiaries; no inter-corporate deposits to group firms outside the vehicle business; and timely completion of the HLF merger. Monitor quarterly: M&amp;HCV share, aftermarket share of revenue, cash less supplier dues, and any new guarantee.</w:t>
      </w:r>
    </w:p>
    <w:p>
      <w:pPr>
        <w:spacing w:after="100" w:before="240"/>
      </w:pPr>
      <w:r>
        <w:rPr>
          <w:rFonts w:ascii="Arial" w:cs="Arial" w:eastAsia="Arial" w:hAnsi="Arial"/>
          <w:b/>
          <w:bCs/>
          <w:color w:val="1F3864"/>
          <w:sz w:val="26"/>
          <w:szCs w:val="26"/>
        </w:rPr>
        <w:t xml:space="preserve">9. Questions I expect, and my answers</w:t>
      </w:r>
    </w:p>
    <w:p>
      <w:pPr>
        <w:spacing w:after="100" w:before="0"/>
      </w:pPr>
      <w:r>
        <w:rPr>
          <w:rFonts w:ascii="Arial" w:hAnsi="Arial"/>
          <w:sz w:val="18"/>
        </w:rPr>
        <w:t>“FY26 is a peak year. Isn’t this rating just because of the cycle?” Partly, yes. But three points still hold: debt is ₹1,195 cr against net worth of ₹13,113 cr, near-term maturities are ₹698 cr, and FY25 margin improved even with flat revenue. The stress test in section 8 uses an FY20-style collapse and still leaves interest covered by more than 25x.</w:t>
      </w:r>
    </w:p>
    <w:p>
      <w:pPr>
        <w:spacing w:after="100" w:before="0"/>
      </w:pPr>
      <w:r>
        <w:rPr>
          <w:rFonts w:ascii="Arial" w:hAnsi="Arial"/>
          <w:sz w:val="18"/>
        </w:rPr>
        <w:t>“Why use standalone when the group has ₹63,650 cr of debt?” Because almost all of this is HLF’s lending book — normal for an NBFC — not debt of the truck business. I still include group risk: guarantees raise debt/equity from 0.09x to 0.15x, group investments are about half of net worth, and the HLF merger is a covenant.</w:t>
      </w:r>
    </w:p>
    <w:p>
      <w:pPr>
        <w:spacing w:after="100" w:before="0"/>
      </w:pPr>
      <w:r>
        <w:rPr>
          <w:rFonts w:ascii="Arial" w:hAnsi="Arial"/>
          <w:sz w:val="18"/>
        </w:rPr>
        <w:t>“You call governance adequate, yet ₹2,390 cr went to promoter-group firms.” The money was fully repaid and the year-end balance was nil, so it is a governance concern rather than a loss. That is why I make it a covenant instead of just a comment — the lender can put a limit on the risk.</w:t>
      </w:r>
    </w:p>
    <w:p>
      <w:pPr>
        <w:spacing w:after="100" w:before="0"/>
      </w:pPr>
      <w:r>
        <w:rPr>
          <w:rFonts w:ascii="Arial" w:hAnsi="Arial"/>
          <w:sz w:val="18"/>
        </w:rPr>
        <w:t>“Why lend unsecured to a cyclical manufacturer?” Because security adds little here. Existing lenders have charges only on specific plants, the company has net cash, and in a downturn the bigger issue is working capital, not collateral. Covenants and quarterly monitoring give better protection than taking a second charge on a press shop.</w:t>
      </w:r>
    </w:p>
    <w:p>
      <w:p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“What single number would change your view?”</w:t>
      </w:r>
      <w:r>
        <w:rPr>
          <w:rFonts w:ascii="Arial" w:cs="Arial" w:eastAsia="Arial" w:hAnsi="Arial"/>
          <w:b w:val="false"/>
          <w:bCs w:val="false"/>
          <w:sz w:val="20"/>
          <w:szCs w:val="20"/>
        </w:rPr>
        <w:t xml:space="preserve"> Cash less supplier dues. It is ₹−1,278 cr today and tolerable while the cycle holds. If that gap widened past roughly ₹3,000 cr while volumes were falling, I would move to a secured, shorter-tenor structure regardless of what the leverage ratios still showed.</w:t>
      </w:r>
    </w:p>
    <w:p>
      <w:pPr>
        <w:spacing w:after="100" w:before="240"/>
      </w:pPr>
      <w:r>
        <w:rPr>
          <w:rFonts w:ascii="Arial" w:cs="Arial" w:eastAsia="Arial" w:hAnsi="Arial"/>
          <w:b/>
          <w:bCs/>
          <w:color w:val="1F3864"/>
          <w:sz w:val="26"/>
          <w:szCs w:val="26"/>
        </w:rPr>
        <w:t xml:space="preserve">10. Limitations</w:t>
      </w:r>
    </w:p>
    <w:p>
      <w:pPr>
        <w:spacing w:after="100" w:before="0"/>
      </w:pPr>
      <w:r>
        <w:rPr>
          <w:rFonts w:ascii="Arial" w:hAnsi="Arial"/>
          <w:sz w:val="18"/>
        </w:rPr>
        <w:t>This assessment uses audited annual reports and public information. I have not met management or seen order books, segment-level costs or dealer inventory. Ratios use year-end numbers, so seasonal working-capital changes are not visible. The stress test is illustrative, not a full model. FY26 also covers only one year after the GST cut, so it is still unclear how long that demand boost will last.</w:t>
      </w:r>
    </w:p>
    <w:p>
      <w:pPr>
        <w:spacing w:after="100" w:before="240"/>
      </w:pPr>
      <w:r>
        <w:rPr>
          <w:rFonts w:ascii="Arial" w:cs="Arial" w:eastAsia="Arial" w:hAnsi="Arial"/>
          <w:b/>
          <w:bCs/>
          <w:color w:val="1F3864"/>
          <w:sz w:val="26"/>
          <w:szCs w:val="26"/>
        </w:rPr>
        <w:t xml:space="preserve">11. Comparison with the rating agency view</w:t>
      </w:r>
    </w:p>
    <w:p>
      <w:pPr>
        <w:spacing w:after="100" w:before="0"/>
      </w:pPr>
      <w:r>
        <w:rPr>
          <w:rFonts w:ascii="Arial" w:hAnsi="Arial"/>
          <w:sz w:val="18"/>
        </w:rPr>
        <w:t>ICRA rates the company [ICRA]AA+ (Stable) for long-term facilities and [ICRA]A1+ for short-term facilities, reaffirmed on 2 June 2026 after an upgrade from AA in 2024. My independent view and ICRA's are in the same broad band; the detailed comparison and differences are in the separate one-page note.</w:t>
      </w:r>
    </w:p>
    <w:p>
      <w:pPr>
        <w:spacing w:after="100" w:before="0"/>
      </w:pPr>
      <w:r>
        <w:rPr>
          <w:rFonts w:ascii="Arial" w:hAnsi="Arial"/>
          <w:sz w:val="18"/>
        </w:rPr>
        <w:t>The most important difference is that ICRA looks at the group and highlights planned annual capex and investment of about ₹1,800 cr, including EVs. This future spending is bigger than what is visible in the FY26 statements alone, and it is the strongest reason not to use the AAA-equivalent end of my range.</w:t>
      </w:r>
    </w:p>
    <w:p>
      <w:pPr>
        <w:spacing w:after="100" w:before="240"/>
      </w:pPr>
      <w:r>
        <w:rPr>
          <w:rFonts w:ascii="Arial" w:cs="Arial" w:eastAsia="Arial" w:hAnsi="Arial"/>
          <w:b/>
          <w:bCs/>
          <w:color w:val="1F3864"/>
          <w:sz w:val="26"/>
          <w:szCs w:val="26"/>
        </w:rPr>
        <w:t xml:space="preserve">Annexures (submitted separately)</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A. Excel workbook</w:t>
      </w:r>
      <w:r>
        <w:rPr>
          <w:rFonts w:ascii="Arial" w:cs="Arial" w:eastAsia="Arial" w:hAnsi="Arial"/>
          <w:b w:val="false"/>
          <w:bCs w:val="false"/>
          <w:sz w:val="20"/>
          <w:szCs w:val="20"/>
        </w:rPr>
        <w:t xml:space="preserve"> — three-year extracted data, about 40 ratios and full debt maturity analysis, all as live formulas with page references. Sheets: Data_Sources, Financials, Ratios, Debt_Analysis, Consolidated_View.</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B. Credit committee sheet</w:t>
      </w:r>
      <w:r>
        <w:rPr>
          <w:rFonts w:ascii="Arial" w:cs="Arial" w:eastAsia="Arial" w:hAnsi="Arial"/>
          <w:b w:val="false"/>
          <w:bCs w:val="false"/>
          <w:sz w:val="20"/>
          <w:szCs w:val="20"/>
        </w:rPr>
        <w:t xml:space="preserve"> — one-page summary of judgement and evidence across eight assessment areas.</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C. CRA comparison</w:t>
      </w:r>
      <w:r>
        <w:rPr>
          <w:rFonts w:ascii="Arial" w:cs="Arial" w:eastAsia="Arial" w:hAnsi="Arial"/>
          <w:b w:val="false"/>
          <w:bCs w:val="false"/>
          <w:sz w:val="20"/>
          <w:szCs w:val="20"/>
        </w:rPr>
        <w:t xml:space="preserve"> — one page, written after the independent view was finalised.</w:t>
      </w:r>
    </w:p>
    <w:p>
      <w:pPr>
        <w:pStyle w:val="ListParagraph"/>
        <w:numPr>
          <w:ilvl w:val="0"/>
          <w:numId w:val="1"/>
        </w:num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D. Rating-resilience improvement plan</w:t>
      </w:r>
      <w:r>
        <w:rPr>
          <w:rFonts w:ascii="Arial" w:cs="Arial" w:eastAsia="Arial" w:hAnsi="Arial"/>
          <w:b w:val="false"/>
          <w:bCs w:val="false"/>
          <w:sz w:val="20"/>
          <w:szCs w:val="20"/>
        </w:rPr>
        <w:t xml:space="preserve"> — five specific actions with rationale, expected credit effect, feasibility and side effects.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2026-09-12T08:58:35.140Z</dcterms:created>
  <dcterms:modified xsi:type="dcterms:W3CDTF">2026-09-12T08:58:35.140Z</dcterms:modified>
</cp:coreProperties>
</file>

<file path=docProps/custom.xml><?xml version="1.0" encoding="utf-8"?>
<Properties xmlns="http://schemas.openxmlformats.org/officeDocument/2006/custom-properties" xmlns:vt="http://schemas.openxmlformats.org/officeDocument/2006/docPropsVTypes"/>
</file>