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0D21C" w14:textId="1E1DEAB7" w:rsidR="00000D08" w:rsidRDefault="00000000">
      <w:pPr>
        <w:spacing w:after="80"/>
      </w:pPr>
      <w:r>
        <w:rPr>
          <w:b/>
          <w:bCs/>
          <w:color w:val="1F3864"/>
          <w:sz w:val="30"/>
          <w:szCs w:val="30"/>
        </w:rPr>
        <w:t>Rating-Resilience Improvement Plan – Ashok Leyland Ltd</w:t>
      </w:r>
    </w:p>
    <w:p w14:paraId="73C934E4" w14:textId="77777777" w:rsidR="00000D08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>Aim: make the company genuinely more creditworthy over 2–3 years. Figures are standalone ₹ crore from the FY24–FY26 annual reports and the attached Excel, unless stated otherwise.</w:t>
      </w:r>
    </w:p>
    <w:tbl>
      <w:tblPr>
        <w:tblW w:w="14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0"/>
        <w:gridCol w:w="2750"/>
        <w:gridCol w:w="2400"/>
        <w:gridCol w:w="2350"/>
        <w:gridCol w:w="1950"/>
        <w:gridCol w:w="2090"/>
      </w:tblGrid>
      <w:tr w:rsidR="00000D08" w14:paraId="5E6E98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929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EFBED" w14:textId="77777777" w:rsidR="00000D08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6"/>
              </w:rPr>
              <w:t>Current weakness</w:t>
            </w:r>
          </w:p>
        </w:tc>
        <w:tc>
          <w:tcPr>
            <w:tcW w:w="2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929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3788F" w14:textId="77777777" w:rsidR="00000D08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6"/>
              </w:rPr>
              <w:t>Proposed action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929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4C809" w14:textId="77777777" w:rsidR="00000D08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6"/>
              </w:rPr>
              <w:t>Rationale for recommendation</w:t>
            </w:r>
          </w:p>
        </w:tc>
        <w:tc>
          <w:tcPr>
            <w:tcW w:w="2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929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AE30D" w14:textId="77777777" w:rsidR="00000D08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6"/>
              </w:rPr>
              <w:t>Expected credit effect</w:t>
            </w:r>
          </w:p>
        </w:tc>
        <w:tc>
          <w:tcPr>
            <w:tcW w:w="1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929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54523" w14:textId="77777777" w:rsidR="00000D08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6"/>
              </w:rPr>
              <w:t>Feasibility</w:t>
            </w:r>
          </w:p>
        </w:tc>
        <w:tc>
          <w:tcPr>
            <w:tcW w:w="20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929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A1A45" w14:textId="77777777" w:rsidR="00000D08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6"/>
              </w:rPr>
              <w:t>Risk / side effect</w:t>
            </w:r>
          </w:p>
        </w:tc>
      </w:tr>
      <w:tr w:rsidR="00000D08" w14:paraId="0A726BE8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vAlign w:val="center"/>
          </w:tcPr>
          <w:p w14:paraId="53E2A1AB" w14:textId="77777777" w:rsidR="00000D08" w:rsidRDefault="00000000">
            <w:r>
              <w:rPr>
                <w:sz w:val="17"/>
              </w:rPr>
              <w:t>1. EV units are using cash</w:t>
            </w:r>
            <w:r>
              <w:rPr>
                <w:sz w:val="17"/>
              </w:rPr>
              <w:br/>
              <w:t xml:space="preserve">• ₹786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 guarantees (₹633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 to Switch UK)</w:t>
            </w:r>
            <w:r>
              <w:rPr>
                <w:sz w:val="17"/>
              </w:rPr>
              <w:br/>
              <w:t xml:space="preserve">• Cash invested: ₹499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 (FY25) + ₹371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 (FY26)</w:t>
            </w:r>
            <w:r>
              <w:rPr>
                <w:sz w:val="17"/>
              </w:rPr>
              <w:br/>
              <w:t xml:space="preserve">• ~₹325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 more approved in Aug-2026</w:t>
            </w:r>
            <w:r>
              <w:rPr>
                <w:sz w:val="17"/>
              </w:rPr>
              <w:br/>
              <w:t>• Switch UK factory closed in FY26</w:t>
            </w:r>
          </w:p>
        </w:tc>
        <w:tc>
          <w:tcPr>
            <w:tcW w:w="2750" w:type="dxa"/>
            <w:vAlign w:val="center"/>
          </w:tcPr>
          <w:p w14:paraId="38611203" w14:textId="77777777" w:rsidR="00000D08" w:rsidRDefault="00000000">
            <w:r>
              <w:rPr>
                <w:sz w:val="17"/>
              </w:rPr>
              <w:t>• Limit yearly support to ≤5% of net worth</w:t>
            </w:r>
            <w:r>
              <w:rPr>
                <w:sz w:val="17"/>
              </w:rPr>
              <w:br/>
              <w:t>• Give funds only when targets are met</w:t>
            </w:r>
            <w:r>
              <w:rPr>
                <w:sz w:val="17"/>
              </w:rPr>
              <w:br/>
              <w:t>• No new guarantees; let old ones end</w:t>
            </w:r>
            <w:r>
              <w:rPr>
                <w:sz w:val="17"/>
              </w:rPr>
              <w:br/>
              <w:t>• Bring outside investors into Switch India</w:t>
            </w:r>
          </w:p>
        </w:tc>
        <w:tc>
          <w:tcPr>
            <w:tcW w:w="2400" w:type="dxa"/>
            <w:vAlign w:val="center"/>
          </w:tcPr>
          <w:p w14:paraId="7EFCBE59" w14:textId="77777777" w:rsidR="00000D08" w:rsidRDefault="00000000">
            <w:r>
              <w:rPr>
                <w:sz w:val="17"/>
              </w:rPr>
              <w:t>Debt is only 0.09× equity, so support to EV subsidiaries is a major cash outflow.</w:t>
            </w:r>
          </w:p>
        </w:tc>
        <w:tc>
          <w:tcPr>
            <w:tcW w:w="2350" w:type="dxa"/>
            <w:vAlign w:val="center"/>
          </w:tcPr>
          <w:p w14:paraId="411F648D" w14:textId="77777777" w:rsidR="00000D08" w:rsidRDefault="00000000">
            <w:r>
              <w:rPr>
                <w:sz w:val="17"/>
              </w:rPr>
              <w:t>Fewer surprise cash needs; debt + guarantees/equity can move from 0.15× towards 0.09×.</w:t>
            </w:r>
          </w:p>
        </w:tc>
        <w:tc>
          <w:tcPr>
            <w:tcW w:w="1950" w:type="dxa"/>
            <w:vAlign w:val="center"/>
          </w:tcPr>
          <w:p w14:paraId="6C6157C0" w14:textId="77777777" w:rsidR="00000D08" w:rsidRDefault="00000000">
            <w:r>
              <w:rPr>
                <w:sz w:val="17"/>
              </w:rPr>
              <w:t>Medium–High</w:t>
            </w:r>
          </w:p>
        </w:tc>
        <w:tc>
          <w:tcPr>
            <w:tcW w:w="2090" w:type="dxa"/>
            <w:vAlign w:val="center"/>
          </w:tcPr>
          <w:p w14:paraId="6D705B7B" w14:textId="77777777" w:rsidR="00000D08" w:rsidRDefault="00000000">
            <w:r>
              <w:rPr>
                <w:sz w:val="17"/>
              </w:rPr>
              <w:t>EV growth may be slower; old investments may need a write-down</w:t>
            </w:r>
          </w:p>
        </w:tc>
      </w:tr>
      <w:tr w:rsidR="00000D08" w14:paraId="73131094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vAlign w:val="center"/>
          </w:tcPr>
          <w:p w14:paraId="62A25E3F" w14:textId="77777777" w:rsidR="00000D08" w:rsidRDefault="00000000">
            <w:r>
              <w:rPr>
                <w:sz w:val="17"/>
              </w:rPr>
              <w:t>2. HLF can create group-level risk</w:t>
            </w:r>
            <w:r>
              <w:rPr>
                <w:sz w:val="17"/>
              </w:rPr>
              <w:br/>
              <w:t xml:space="preserve">• Group debt ~₹63,650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 (3.4× equity) vs Ashok Leyland standalone 0.09×</w:t>
            </w:r>
            <w:r>
              <w:rPr>
                <w:sz w:val="17"/>
              </w:rPr>
              <w:br/>
              <w:t xml:space="preserve">• ₹200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 invested in HLF in FY25</w:t>
            </w:r>
            <w:r>
              <w:rPr>
                <w:sz w:val="17"/>
              </w:rPr>
              <w:br/>
              <w:t>• Group investments ≈50% of net worth</w:t>
            </w:r>
            <w:r>
              <w:rPr>
                <w:sz w:val="17"/>
              </w:rPr>
              <w:br/>
              <w:t>• HLF loan losses roughly doubled in FY26</w:t>
            </w:r>
          </w:p>
        </w:tc>
        <w:tc>
          <w:tcPr>
            <w:tcW w:w="2750" w:type="dxa"/>
            <w:vAlign w:val="center"/>
          </w:tcPr>
          <w:p w14:paraId="0A069538" w14:textId="77777777" w:rsidR="00000D08" w:rsidRDefault="00000000">
            <w:r>
              <w:rPr>
                <w:sz w:val="17"/>
              </w:rPr>
              <w:t>• Complete the HLF–NDL Ventures merger</w:t>
            </w:r>
            <w:r>
              <w:rPr>
                <w:sz w:val="17"/>
              </w:rPr>
              <w:br/>
              <w:t>• No guarantees, comfort letters or new equity for HLF</w:t>
            </w:r>
            <w:r>
              <w:rPr>
                <w:sz w:val="17"/>
              </w:rPr>
              <w:br/>
              <w:t>• Keep vehicle-finance deals at arm's length</w:t>
            </w:r>
          </w:p>
        </w:tc>
        <w:tc>
          <w:tcPr>
            <w:tcW w:w="2400" w:type="dxa"/>
            <w:vAlign w:val="center"/>
          </w:tcPr>
          <w:p w14:paraId="39974243" w14:textId="77777777" w:rsidR="00000D08" w:rsidRDefault="00000000">
            <w:r>
              <w:rPr>
                <w:sz w:val="17"/>
              </w:rPr>
              <w:t>If HLF has bad loans, they could become Ashok Leyland's problem. A cleaner separation reduces this risk.</w:t>
            </w:r>
          </w:p>
        </w:tc>
        <w:tc>
          <w:tcPr>
            <w:tcW w:w="2350" w:type="dxa"/>
            <w:vAlign w:val="center"/>
          </w:tcPr>
          <w:p w14:paraId="7AD5D1AA" w14:textId="77777777" w:rsidR="00000D08" w:rsidRDefault="00000000">
            <w:r>
              <w:rPr>
                <w:sz w:val="17"/>
              </w:rPr>
              <w:t>Lower risk of cash being needed for HLF; HLF stake could be sold for cash in stress.</w:t>
            </w:r>
          </w:p>
        </w:tc>
        <w:tc>
          <w:tcPr>
            <w:tcW w:w="1950" w:type="dxa"/>
            <w:vAlign w:val="center"/>
          </w:tcPr>
          <w:p w14:paraId="77D951FA" w14:textId="77777777" w:rsidR="00000D08" w:rsidRDefault="00000000">
            <w:r>
              <w:rPr>
                <w:sz w:val="17"/>
              </w:rPr>
              <w:t>High — merger approved by creditors/shareholders; NCLT hearing Sep-2026</w:t>
            </w:r>
          </w:p>
        </w:tc>
        <w:tc>
          <w:tcPr>
            <w:tcW w:w="2090" w:type="dxa"/>
            <w:vAlign w:val="center"/>
          </w:tcPr>
          <w:p w14:paraId="672AE153" w14:textId="77777777" w:rsidR="00000D08" w:rsidRDefault="00000000">
            <w:r>
              <w:rPr>
                <w:sz w:val="17"/>
              </w:rPr>
              <w:t>Less customer-finance support in a downturn; market may still expect group support</w:t>
            </w:r>
          </w:p>
        </w:tc>
      </w:tr>
      <w:tr w:rsidR="00000D08" w14:paraId="6F4B1E36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vAlign w:val="center"/>
          </w:tcPr>
          <w:p w14:paraId="3D6FFF64" w14:textId="77777777" w:rsidR="00000D08" w:rsidRDefault="00000000">
            <w:r>
              <w:rPr>
                <w:sz w:val="17"/>
              </w:rPr>
              <w:t>3. Loans to promoter-group companies / unclear costs</w:t>
            </w:r>
            <w:r>
              <w:rPr>
                <w:sz w:val="17"/>
              </w:rPr>
              <w:br/>
              <w:t xml:space="preserve">• ₹2,390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 short-term loans in FY26, up to ₹100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 each to Hinduja media, realty and healthcare firms (all repaid)</w:t>
            </w:r>
            <w:r>
              <w:rPr>
                <w:sz w:val="17"/>
              </w:rPr>
              <w:br/>
              <w:t>• ELV cost not yet quantified</w:t>
            </w:r>
            <w:r>
              <w:rPr>
                <w:sz w:val="17"/>
              </w:rPr>
              <w:br/>
              <w:t xml:space="preserve">• ₹308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 labour-code charge</w:t>
            </w:r>
          </w:p>
        </w:tc>
        <w:tc>
          <w:tcPr>
            <w:tcW w:w="2750" w:type="dxa"/>
            <w:vAlign w:val="center"/>
          </w:tcPr>
          <w:p w14:paraId="0CA58276" w14:textId="77777777" w:rsidR="00000D08" w:rsidRDefault="00000000">
            <w:r>
              <w:rPr>
                <w:sz w:val="17"/>
              </w:rPr>
              <w:t>• No ICDs to group companies outside vehicle business</w:t>
            </w:r>
            <w:r>
              <w:rPr>
                <w:sz w:val="17"/>
              </w:rPr>
              <w:br/>
              <w:t>• Keep surplus cash in bank FDs / top-rated debt funds</w:t>
            </w:r>
            <w:r>
              <w:rPr>
                <w:sz w:val="17"/>
              </w:rPr>
              <w:br/>
              <w:t>• Report related-party exposure every quarter</w:t>
            </w:r>
            <w:r>
              <w:rPr>
                <w:sz w:val="17"/>
              </w:rPr>
              <w:br/>
              <w:t>• Quantify ELV cost when pricing is available</w:t>
            </w:r>
          </w:p>
        </w:tc>
        <w:tc>
          <w:tcPr>
            <w:tcW w:w="2400" w:type="dxa"/>
            <w:vAlign w:val="center"/>
          </w:tcPr>
          <w:p w14:paraId="448AA842" w14:textId="77777777" w:rsidR="00000D08" w:rsidRDefault="00000000">
            <w:r>
              <w:rPr>
                <w:sz w:val="17"/>
              </w:rPr>
              <w:t>Lenders need confidence that cash will stay with the business and be available for debt.</w:t>
            </w:r>
          </w:p>
        </w:tc>
        <w:tc>
          <w:tcPr>
            <w:tcW w:w="2350" w:type="dxa"/>
            <w:vAlign w:val="center"/>
          </w:tcPr>
          <w:p w14:paraId="1665B915" w14:textId="77777777" w:rsidR="00000D08" w:rsidRDefault="00000000">
            <w:r>
              <w:rPr>
                <w:sz w:val="17"/>
              </w:rPr>
              <w:t>Cash is clearly protected; fewer unexpected profit/cash shocks.</w:t>
            </w:r>
          </w:p>
        </w:tc>
        <w:tc>
          <w:tcPr>
            <w:tcW w:w="1950" w:type="dxa"/>
            <w:vAlign w:val="center"/>
          </w:tcPr>
          <w:p w14:paraId="577A0A95" w14:textId="77777777" w:rsidR="00000D08" w:rsidRDefault="00000000">
            <w:r>
              <w:rPr>
                <w:sz w:val="17"/>
              </w:rPr>
              <w:t>High — almost no cost; ICDs were nil at year-end</w:t>
            </w:r>
          </w:p>
        </w:tc>
        <w:tc>
          <w:tcPr>
            <w:tcW w:w="2090" w:type="dxa"/>
            <w:vAlign w:val="center"/>
          </w:tcPr>
          <w:p w14:paraId="7FF4D98E" w14:textId="77777777" w:rsidR="00000D08" w:rsidRDefault="00000000">
            <w:r>
              <w:rPr>
                <w:sz w:val="17"/>
              </w:rPr>
              <w:t>Slightly lower treasury income; possible promoter pushback</w:t>
            </w:r>
          </w:p>
        </w:tc>
      </w:tr>
      <w:tr w:rsidR="00000D08" w14:paraId="26FBE29F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vAlign w:val="center"/>
          </w:tcPr>
          <w:p w14:paraId="2FD2E0C0" w14:textId="77777777" w:rsidR="00000D08" w:rsidRDefault="00000000">
            <w:r>
              <w:rPr>
                <w:sz w:val="17"/>
              </w:rPr>
              <w:t>4. Heavy dependence on the truck market</w:t>
            </w:r>
            <w:r>
              <w:rPr>
                <w:sz w:val="17"/>
              </w:rPr>
              <w:br/>
              <w:t>• M&amp;HCV share fell 31.1% → 30.7% → 30.3% (FY24–26)</w:t>
            </w:r>
            <w:r>
              <w:rPr>
                <w:sz w:val="17"/>
              </w:rPr>
              <w:br/>
              <w:t>• CV sales fell 28.5% in FY20 and 20.2% in FY13–14</w:t>
            </w:r>
            <w:r>
              <w:rPr>
                <w:sz w:val="17"/>
              </w:rPr>
              <w:br/>
              <w:t>• Only 7–8% of a truck's lifetime cost is earned at sale (ISB case)</w:t>
            </w:r>
          </w:p>
        </w:tc>
        <w:tc>
          <w:tcPr>
            <w:tcW w:w="2750" w:type="dxa"/>
            <w:vAlign w:val="center"/>
          </w:tcPr>
          <w:p w14:paraId="4804E537" w14:textId="77777777" w:rsidR="00000D08" w:rsidRDefault="00000000">
            <w:r>
              <w:rPr>
                <w:sz w:val="17"/>
              </w:rPr>
              <w:t>• Grow spare parts, exports, engines and defence</w:t>
            </w:r>
            <w:r>
              <w:rPr>
                <w:sz w:val="17"/>
              </w:rPr>
              <w:br/>
              <w:t xml:space="preserve">• Spare parts ₹4,450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 (+12%); exports 18,082 units</w:t>
            </w:r>
            <w:r>
              <w:rPr>
                <w:sz w:val="17"/>
              </w:rPr>
              <w:br/>
              <w:t xml:space="preserve">• Use </w:t>
            </w:r>
            <w:proofErr w:type="spellStart"/>
            <w:r>
              <w:rPr>
                <w:sz w:val="17"/>
              </w:rPr>
              <w:t>iALERT</w:t>
            </w:r>
            <w:proofErr w:type="spellEnd"/>
            <w:r>
              <w:rPr>
                <w:sz w:val="17"/>
              </w:rPr>
              <w:t xml:space="preserve"> for paid services: ₹100–120/vehicle/month</w:t>
            </w:r>
            <w:r>
              <w:rPr>
                <w:sz w:val="17"/>
              </w:rPr>
              <w:br/>
              <w:t>• Set clear targets for these businesses</w:t>
            </w:r>
          </w:p>
        </w:tc>
        <w:tc>
          <w:tcPr>
            <w:tcW w:w="2400" w:type="dxa"/>
            <w:vAlign w:val="center"/>
          </w:tcPr>
          <w:p w14:paraId="7EDA430C" w14:textId="77777777" w:rsidR="00000D08" w:rsidRDefault="00000000">
            <w:r>
              <w:rPr>
                <w:sz w:val="17"/>
              </w:rPr>
              <w:t>Truck sales are cyclical. Parts and services from trucks already on the road can keep earning even when new sales fall.</w:t>
            </w:r>
          </w:p>
        </w:tc>
        <w:tc>
          <w:tcPr>
            <w:tcW w:w="2350" w:type="dxa"/>
            <w:vAlign w:val="center"/>
          </w:tcPr>
          <w:p w14:paraId="164B1BEC" w14:textId="77777777" w:rsidR="00000D08" w:rsidRDefault="00000000">
            <w:r>
              <w:rPr>
                <w:sz w:val="17"/>
              </w:rPr>
              <w:t>More stable EBITDA and interest cover; stronger business profile.</w:t>
            </w:r>
          </w:p>
        </w:tc>
        <w:tc>
          <w:tcPr>
            <w:tcW w:w="1950" w:type="dxa"/>
            <w:vAlign w:val="center"/>
          </w:tcPr>
          <w:p w14:paraId="5A7AEA40" w14:textId="77777777" w:rsidR="00000D08" w:rsidRDefault="00000000">
            <w:r>
              <w:rPr>
                <w:sz w:val="17"/>
              </w:rPr>
              <w:t xml:space="preserve">Medium–High — 60,000+ customers and ~15 lakh </w:t>
            </w:r>
            <w:proofErr w:type="spellStart"/>
            <w:r>
              <w:rPr>
                <w:sz w:val="17"/>
              </w:rPr>
              <w:t>iALERT</w:t>
            </w:r>
            <w:proofErr w:type="spellEnd"/>
            <w:r>
              <w:rPr>
                <w:sz w:val="17"/>
              </w:rPr>
              <w:t xml:space="preserve"> vehicles; connectivity standard on M&amp;HCVs since 2017</w:t>
            </w:r>
          </w:p>
        </w:tc>
        <w:tc>
          <w:tcPr>
            <w:tcW w:w="2090" w:type="dxa"/>
            <w:vAlign w:val="center"/>
          </w:tcPr>
          <w:p w14:paraId="387977F6" w14:textId="77777777" w:rsidR="00000D08" w:rsidRDefault="00000000">
            <w:r>
              <w:rPr>
                <w:sz w:val="17"/>
              </w:rPr>
              <w:t>Currency/competition risk in exports; tech/data-security costs; customers may resist paying</w:t>
            </w:r>
          </w:p>
        </w:tc>
      </w:tr>
      <w:tr w:rsidR="00000D08" w14:paraId="671CE6BF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vAlign w:val="center"/>
          </w:tcPr>
          <w:p w14:paraId="2831C7D4" w14:textId="77777777" w:rsidR="00000D08" w:rsidRDefault="00000000">
            <w:r>
              <w:rPr>
                <w:sz w:val="17"/>
              </w:rPr>
              <w:t>5. High dividends + rising capex + supplier credit</w:t>
            </w:r>
            <w:r>
              <w:rPr>
                <w:sz w:val="17"/>
              </w:rPr>
              <w:br/>
              <w:t>• Dividends: 62% (FY25), 51% (FY26) of profit</w:t>
            </w:r>
            <w:r>
              <w:rPr>
                <w:sz w:val="17"/>
              </w:rPr>
              <w:br/>
              <w:t xml:space="preserve">• Cash after capex/dividends fell ₹3,371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 → ₹1,907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br/>
              <w:t xml:space="preserve">• Capex doubled to ₹1,050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 + ₹5,000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 battery plan over 7–10 years</w:t>
            </w:r>
            <w:r>
              <w:rPr>
                <w:sz w:val="17"/>
              </w:rPr>
              <w:br/>
              <w:t xml:space="preserve">• Supplier dues ₹8,329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 vs cash ₹7,051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br/>
              <w:t xml:space="preserve">• 55% of debt (₹634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) due in FY27, including ₹200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 bond in Mar-2027</w:t>
            </w:r>
          </w:p>
        </w:tc>
        <w:tc>
          <w:tcPr>
            <w:tcW w:w="2750" w:type="dxa"/>
            <w:vAlign w:val="center"/>
          </w:tcPr>
          <w:p w14:paraId="18CBD03B" w14:textId="77777777" w:rsidR="00000D08" w:rsidRDefault="00000000">
            <w:r>
              <w:rPr>
                <w:sz w:val="17"/>
              </w:rPr>
              <w:t>Set a fixed policy:</w:t>
            </w:r>
            <w:r>
              <w:rPr>
                <w:sz w:val="17"/>
              </w:rPr>
              <w:br/>
              <w:t>• Dividend: 35–50% of profit</w:t>
            </w:r>
            <w:r>
              <w:rPr>
                <w:sz w:val="17"/>
              </w:rPr>
              <w:br/>
              <w:t>• Net debt ≤1× EBITDA</w:t>
            </w:r>
            <w:r>
              <w:rPr>
                <w:sz w:val="17"/>
              </w:rPr>
              <w:br/>
              <w:t xml:space="preserve">• Keep ≥~₹3,500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 cash</w:t>
            </w:r>
            <w:r>
              <w:rPr>
                <w:sz w:val="17"/>
              </w:rPr>
              <w:br/>
              <w:t>• Repay FY27 debt early from cash</w:t>
            </w:r>
          </w:p>
        </w:tc>
        <w:tc>
          <w:tcPr>
            <w:tcW w:w="2400" w:type="dxa"/>
            <w:vAlign w:val="center"/>
          </w:tcPr>
          <w:p w14:paraId="5E003475" w14:textId="77777777" w:rsidR="00000D08" w:rsidRDefault="00000000">
            <w:r>
              <w:rPr>
                <w:sz w:val="17"/>
              </w:rPr>
              <w:t xml:space="preserve">₹5,856 </w:t>
            </w:r>
            <w:proofErr w:type="spellStart"/>
            <w:r>
              <w:rPr>
                <w:sz w:val="17"/>
              </w:rPr>
              <w:t>cr</w:t>
            </w:r>
            <w:proofErr w:type="spellEnd"/>
            <w:r>
              <w:rPr>
                <w:sz w:val="17"/>
              </w:rPr>
              <w:t xml:space="preserve"> net cash is a good-year result. If sales fall 20–30%, supplier credit may shrink while dividends and capex continue, using up cash in 1–2 years.</w:t>
            </w:r>
          </w:p>
        </w:tc>
        <w:tc>
          <w:tcPr>
            <w:tcW w:w="2350" w:type="dxa"/>
            <w:vAlign w:val="center"/>
          </w:tcPr>
          <w:p w14:paraId="48E96237" w14:textId="77777777" w:rsidR="00000D08" w:rsidRDefault="00000000">
            <w:r>
              <w:rPr>
                <w:sz w:val="17"/>
              </w:rPr>
              <w:t>Stay net-cash/low-debt in a downturn; lower refinancing risk.</w:t>
            </w:r>
          </w:p>
        </w:tc>
        <w:tc>
          <w:tcPr>
            <w:tcW w:w="1950" w:type="dxa"/>
            <w:vAlign w:val="center"/>
          </w:tcPr>
          <w:p w14:paraId="3C69BF88" w14:textId="77777777" w:rsidR="00000D08" w:rsidRDefault="00000000">
            <w:r>
              <w:rPr>
                <w:sz w:val="17"/>
              </w:rPr>
              <w:t>High — company already meets these limits</w:t>
            </w:r>
          </w:p>
        </w:tc>
        <w:tc>
          <w:tcPr>
            <w:tcW w:w="2090" w:type="dxa"/>
            <w:vAlign w:val="center"/>
          </w:tcPr>
          <w:p w14:paraId="3FE59F4B" w14:textId="77777777" w:rsidR="00000D08" w:rsidRDefault="00000000">
            <w:r>
              <w:rPr>
                <w:sz w:val="17"/>
              </w:rPr>
              <w:t>Lower dividends, including for the 50.85% promoter; too much idle cash can lower ROE (29.7% → 27.2%)</w:t>
            </w:r>
          </w:p>
        </w:tc>
      </w:tr>
    </w:tbl>
    <w:p w14:paraId="5ACD19CF" w14:textId="77777777" w:rsidR="00000D08" w:rsidRDefault="00000000">
      <w:pPr>
        <w:spacing w:before="160"/>
      </w:pPr>
      <w:r>
        <w:rPr>
          <w:i/>
          <w:iCs/>
          <w:color w:val="595959"/>
          <w:sz w:val="16"/>
          <w:szCs w:val="16"/>
        </w:rPr>
        <w:lastRenderedPageBreak/>
        <w:t xml:space="preserve">Sources: Annual Reports FY24–FY26 (Notes 1.16, 1.21, 3.6, 3.8, 3.9, 3.11; MD&amp;A); ISB cases ISB430 &amp; ISB431 (2024) on Ashok Leyland's digital strategy; company news on </w:t>
      </w:r>
      <w:proofErr w:type="spellStart"/>
      <w:r>
        <w:rPr>
          <w:i/>
          <w:iCs/>
          <w:color w:val="595959"/>
          <w:sz w:val="16"/>
          <w:szCs w:val="16"/>
        </w:rPr>
        <w:t>Optare</w:t>
      </w:r>
      <w:proofErr w:type="spellEnd"/>
      <w:r>
        <w:rPr>
          <w:i/>
          <w:iCs/>
          <w:color w:val="595959"/>
          <w:sz w:val="16"/>
          <w:szCs w:val="16"/>
        </w:rPr>
        <w:t xml:space="preserve"> (Aug-2026), CALB battery plan (Sep-2025) and HLF–NDL merger (Jul–Aug 2026). No credit-rating report was consulted.</w:t>
      </w:r>
    </w:p>
    <w:sectPr w:rsidR="00000D08">
      <w:pgSz w:w="16838" w:h="11906" w:orient="landscape"/>
      <w:pgMar w:top="600" w:right="850" w:bottom="6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5546"/>
    <w:multiLevelType w:val="hybridMultilevel"/>
    <w:tmpl w:val="71B8FA56"/>
    <w:lvl w:ilvl="0" w:tplc="698CBC92">
      <w:start w:val="1"/>
      <w:numFmt w:val="bullet"/>
      <w:lvlText w:val="●"/>
      <w:lvlJc w:val="left"/>
      <w:pPr>
        <w:ind w:left="720" w:hanging="360"/>
      </w:pPr>
    </w:lvl>
    <w:lvl w:ilvl="1" w:tplc="D278BFA8">
      <w:start w:val="1"/>
      <w:numFmt w:val="bullet"/>
      <w:lvlText w:val="○"/>
      <w:lvlJc w:val="left"/>
      <w:pPr>
        <w:ind w:left="1440" w:hanging="360"/>
      </w:pPr>
    </w:lvl>
    <w:lvl w:ilvl="2" w:tplc="2800F5F2">
      <w:start w:val="1"/>
      <w:numFmt w:val="bullet"/>
      <w:lvlText w:val="■"/>
      <w:lvlJc w:val="left"/>
      <w:pPr>
        <w:ind w:left="2160" w:hanging="360"/>
      </w:pPr>
    </w:lvl>
    <w:lvl w:ilvl="3" w:tplc="D62ABDC4">
      <w:start w:val="1"/>
      <w:numFmt w:val="bullet"/>
      <w:lvlText w:val="●"/>
      <w:lvlJc w:val="left"/>
      <w:pPr>
        <w:ind w:left="2880" w:hanging="360"/>
      </w:pPr>
    </w:lvl>
    <w:lvl w:ilvl="4" w:tplc="C14ABB7A">
      <w:start w:val="1"/>
      <w:numFmt w:val="bullet"/>
      <w:lvlText w:val="○"/>
      <w:lvlJc w:val="left"/>
      <w:pPr>
        <w:ind w:left="3600" w:hanging="360"/>
      </w:pPr>
    </w:lvl>
    <w:lvl w:ilvl="5" w:tplc="CCB4D0C2">
      <w:start w:val="1"/>
      <w:numFmt w:val="bullet"/>
      <w:lvlText w:val="■"/>
      <w:lvlJc w:val="left"/>
      <w:pPr>
        <w:ind w:left="4320" w:hanging="360"/>
      </w:pPr>
    </w:lvl>
    <w:lvl w:ilvl="6" w:tplc="55529306">
      <w:start w:val="1"/>
      <w:numFmt w:val="bullet"/>
      <w:lvlText w:val="●"/>
      <w:lvlJc w:val="left"/>
      <w:pPr>
        <w:ind w:left="5040" w:hanging="360"/>
      </w:pPr>
    </w:lvl>
    <w:lvl w:ilvl="7" w:tplc="F7B6C97C">
      <w:start w:val="1"/>
      <w:numFmt w:val="bullet"/>
      <w:lvlText w:val="●"/>
      <w:lvlJc w:val="left"/>
      <w:pPr>
        <w:ind w:left="5760" w:hanging="360"/>
      </w:pPr>
    </w:lvl>
    <w:lvl w:ilvl="8" w:tplc="48266C46">
      <w:start w:val="1"/>
      <w:numFmt w:val="bullet"/>
      <w:lvlText w:val="●"/>
      <w:lvlJc w:val="left"/>
      <w:pPr>
        <w:ind w:left="6480" w:hanging="360"/>
      </w:pPr>
    </w:lvl>
  </w:abstractNum>
  <w:num w:numId="1" w16cid:durableId="20725388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D08"/>
    <w:rsid w:val="00000D08"/>
    <w:rsid w:val="00440631"/>
    <w:rsid w:val="00E3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40337"/>
  <w15:docId w15:val="{FA15DE37-CCB3-499D-A90B-161533496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nishtha.dalal0025@outlook.com</cp:lastModifiedBy>
  <cp:revision>2</cp:revision>
  <dcterms:created xsi:type="dcterms:W3CDTF">2026-09-11T15:17:00Z</dcterms:created>
  <dcterms:modified xsi:type="dcterms:W3CDTF">2026-09-19T10:01:00Z</dcterms:modified>
</cp:coreProperties>
</file>