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5"/>
      </w:pPr>
      <w:r>
        <w:rPr>
          <w:rFonts w:ascii="Arial" w:cs="Arial" w:eastAsia="Arial" w:hAnsi="Arial"/>
          <w:b/>
          <w:bCs/>
          <w:color w:val="1F3864"/>
          <w:sz w:val="25"/>
          <w:szCs w:val="25"/>
        </w:rPr>
        <w:t xml:space="preserve">Avenue Supermarts Limited (DMart): Funding the Next Phase of Store Expansion</w:t>
      </w:r>
    </w:p>
    <w:p>
      <w:pPr>
        <w:pBdr>
          <w:bottom w:val="single" w:color="1F3864" w:sz="10" w:space="4"/>
        </w:pBdr>
        <w:spacing w:after="110"/>
      </w:pPr>
      <w:r>
        <w:rPr>
          <w:rFonts w:ascii="Arial" w:cs="Arial" w:eastAsia="Arial" w:hAnsi="Arial"/>
          <w:color w:val="404040"/>
          <w:sz w:val="16"/>
          <w:szCs w:val="16"/>
        </w:rPr>
        <w:t xml:space="preserve">Assignment 2: Non-Infrastructure Fund Raising and Market Risk  |  Short Note  |  All figures consolidated, Rs crore</w:t>
      </w:r>
    </w:p>
    <w:p>
      <w:pPr>
        <w:pStyle w:val="Heading1"/>
        <w:spacing w:after="60" w:before="130"/>
      </w:pPr>
      <w:r>
        <w:rPr>
          <w:rFonts w:ascii="Arial" w:cs="Arial" w:eastAsia="Arial" w:hAnsi="Arial"/>
          <w:b/>
          <w:bCs/>
          <w:color w:val="1F3864"/>
          <w:sz w:val="20"/>
          <w:szCs w:val="20"/>
        </w:rPr>
        <w:t xml:space="preserve">1. Company situation</w:t>
      </w:r>
    </w:p>
    <w:p>
      <w:pPr>
        <w:spacing w:after="80" w:before="0"/>
      </w:pPr>
      <w:r>
        <w:rPr>
          <w:rFonts w:ascii="Arial" w:cs="Arial" w:eastAsia="Arial" w:hAnsi="Arial"/>
          <w:b w:val="false"/>
          <w:bCs w:val="false"/>
          <w:i w:val="false"/>
          <w:iCs w:val="false"/>
          <w:color w:val="000000"/>
          <w:sz w:val="17"/>
          <w:szCs w:val="17"/>
        </w:rPr>
        <w:t xml:space="preserve">DMart runs an owned-store value retail chain on an everyday-low-cost model. Its defining financial feature is that it buys the land and builds each store rather than leasing, converting rent into upfront capital and making the business permanently capital-hungry. It reached 500 stores and 20.58 million sq ft by March 2026, adding 85 stores in FY2026.</w:t>
      </w:r>
    </w:p>
    <w:p>
      <w:pPr>
        <w:spacing w:after="80" w:before="0"/>
      </w:pPr>
      <w:r>
        <w:rPr>
          <w:rFonts w:ascii="Arial" w:cs="Arial" w:eastAsia="Arial" w:hAnsi="Arial"/>
          <w:b w:val="false"/>
          <w:bCs w:val="false"/>
          <w:i w:val="false"/>
          <w:iCs w:val="false"/>
          <w:color w:val="000000"/>
          <w:sz w:val="17"/>
          <w:szCs w:val="17"/>
        </w:rPr>
        <w:t xml:space="preserve">That growth has outgrown internal funding. FY2026 operating cash flow was Rs 3,467 crore against capex of Rs 4,113 crore, leaving free cash flow of negative Rs 647 crore; FY2025 was negative Rs 960 crore. Two consecutive deficits mean retained profit alone can no longer fund the store programme. The requirement is approximately Rs 1,000 crore.</w:t>
      </w:r>
    </w:p>
    <w:p>
      <w:pPr>
        <w:spacing w:after="80" w:before="0"/>
      </w:pPr>
      <w:r>
        <w:rPr>
          <w:rFonts w:ascii="Arial" w:cs="Arial" w:eastAsia="Arial" w:hAnsi="Arial"/>
          <w:b/>
          <w:bCs/>
          <w:i w:val="false"/>
          <w:iCs w:val="false"/>
          <w:color w:val="000000"/>
          <w:sz w:val="17"/>
          <w:szCs w:val="17"/>
        </w:rPr>
        <w:t xml:space="preserve">The company has already acted. On 11 July 2026 the Board approved NCDs of up to Rs 1,000 crore on private placement, and on 31 August 2026 CRISIL assigned AAA/Stable to that instrument. No allotment filing had been published as at 15 September 2026, so the issue is approved and rated but not yet placed.</w:t>
      </w:r>
    </w:p>
    <w:p>
      <w:pPr>
        <w:pStyle w:val="Heading1"/>
        <w:spacing w:after="60" w:before="130"/>
      </w:pPr>
      <w:r>
        <w:rPr>
          <w:rFonts w:ascii="Arial" w:cs="Arial" w:eastAsia="Arial" w:hAnsi="Arial"/>
          <w:b/>
          <w:bCs/>
          <w:color w:val="1F3864"/>
          <w:sz w:val="20"/>
          <w:szCs w:val="20"/>
        </w:rPr>
        <w:t xml:space="preserve">2. Funding route comparison (Block C)</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250"/>
        <w:gridCol w:w="1450"/>
        <w:gridCol w:w="900"/>
        <w:gridCol w:w="900"/>
        <w:gridCol w:w="1300"/>
        <w:gridCol w:w="1650"/>
        <w:gridCol w:w="1400"/>
        <w:gridCol w:w="1356"/>
      </w:tblGrid>
      <w:tr>
        <w:trPr>
          <w:tblHeader/>
        </w:trPr>
        <w:tc>
          <w:tcPr>
            <w:tcW w:type="dxa" w:w="1250"/>
            <w:shd w:fill="1F3864" w:color="auto" w:val="clear"/>
            <w:tcMar>
              <w:top w:type="dxa" w:w="45"/>
              <w:left w:type="dxa" w:w="55"/>
              <w:bottom w:type="dxa" w:w="45"/>
              <w:right w:type="dxa" w:w="55"/>
            </w:tcMar>
            <w:vAlign w:val="top"/>
          </w:tcPr>
          <w:p>
            <w:pPr>
              <w:spacing w:after="12" w:before="12"/>
            </w:pPr>
            <w:r>
              <w:rPr>
                <w:rFonts w:ascii="Arial" w:cs="Arial" w:eastAsia="Arial" w:hAnsi="Arial"/>
                <w:b/>
                <w:bCs/>
                <w:i w:val="false"/>
                <w:iCs w:val="false"/>
                <w:color w:val="FFFFFF"/>
                <w:sz w:val="14"/>
                <w:szCs w:val="14"/>
              </w:rPr>
              <w:t xml:space="preserve">Route</w:t>
            </w:r>
          </w:p>
        </w:tc>
        <w:tc>
          <w:tcPr>
            <w:tcW w:type="dxa" w:w="1450"/>
            <w:shd w:fill="1F3864" w:color="auto" w:val="clear"/>
            <w:tcMar>
              <w:top w:type="dxa" w:w="45"/>
              <w:left w:type="dxa" w:w="55"/>
              <w:bottom w:type="dxa" w:w="45"/>
              <w:right w:type="dxa" w:w="55"/>
            </w:tcMar>
            <w:vAlign w:val="top"/>
          </w:tcPr>
          <w:p>
            <w:pPr>
              <w:spacing w:after="12" w:before="12"/>
            </w:pPr>
            <w:r>
              <w:rPr>
                <w:rFonts w:ascii="Arial" w:cs="Arial" w:eastAsia="Arial" w:hAnsi="Arial"/>
                <w:b/>
                <w:bCs/>
                <w:i w:val="false"/>
                <w:iCs w:val="false"/>
                <w:color w:val="FFFFFF"/>
                <w:sz w:val="14"/>
                <w:szCs w:val="14"/>
              </w:rPr>
              <w:t xml:space="preserve">Cost</w:t>
            </w:r>
          </w:p>
        </w:tc>
        <w:tc>
          <w:tcPr>
            <w:tcW w:type="dxa" w:w="900"/>
            <w:shd w:fill="1F3864" w:color="auto" w:val="clear"/>
            <w:tcMar>
              <w:top w:type="dxa" w:w="45"/>
              <w:left w:type="dxa" w:w="55"/>
              <w:bottom w:type="dxa" w:w="45"/>
              <w:right w:type="dxa" w:w="55"/>
            </w:tcMar>
            <w:vAlign w:val="top"/>
          </w:tcPr>
          <w:p>
            <w:pPr>
              <w:spacing w:after="12" w:before="12"/>
            </w:pPr>
            <w:r>
              <w:rPr>
                <w:rFonts w:ascii="Arial" w:cs="Arial" w:eastAsia="Arial" w:hAnsi="Arial"/>
                <w:b/>
                <w:bCs/>
                <w:i w:val="false"/>
                <w:iCs w:val="false"/>
                <w:color w:val="FFFFFF"/>
                <w:sz w:val="14"/>
                <w:szCs w:val="14"/>
              </w:rPr>
              <w:t xml:space="preserve">Dilution</w:t>
            </w:r>
          </w:p>
        </w:tc>
        <w:tc>
          <w:tcPr>
            <w:tcW w:type="dxa" w:w="900"/>
            <w:shd w:fill="1F3864" w:color="auto" w:val="clear"/>
            <w:tcMar>
              <w:top w:type="dxa" w:w="45"/>
              <w:left w:type="dxa" w:w="55"/>
              <w:bottom w:type="dxa" w:w="45"/>
              <w:right w:type="dxa" w:w="55"/>
            </w:tcMar>
            <w:vAlign w:val="top"/>
          </w:tcPr>
          <w:p>
            <w:pPr>
              <w:spacing w:after="12" w:before="12"/>
            </w:pPr>
            <w:r>
              <w:rPr>
                <w:rFonts w:ascii="Arial" w:cs="Arial" w:eastAsia="Arial" w:hAnsi="Arial"/>
                <w:b/>
                <w:bCs/>
                <w:i w:val="false"/>
                <w:iCs w:val="false"/>
                <w:color w:val="FFFFFF"/>
                <w:sz w:val="14"/>
                <w:szCs w:val="14"/>
              </w:rPr>
              <w:t xml:space="preserve">Speed</w:t>
            </w:r>
          </w:p>
        </w:tc>
        <w:tc>
          <w:tcPr>
            <w:tcW w:type="dxa" w:w="1300"/>
            <w:shd w:fill="1F3864" w:color="auto" w:val="clear"/>
            <w:tcMar>
              <w:top w:type="dxa" w:w="45"/>
              <w:left w:type="dxa" w:w="55"/>
              <w:bottom w:type="dxa" w:w="45"/>
              <w:right w:type="dxa" w:w="55"/>
            </w:tcMar>
            <w:vAlign w:val="top"/>
          </w:tcPr>
          <w:p>
            <w:pPr>
              <w:spacing w:after="12" w:before="12"/>
            </w:pPr>
            <w:r>
              <w:rPr>
                <w:rFonts w:ascii="Arial" w:cs="Arial" w:eastAsia="Arial" w:hAnsi="Arial"/>
                <w:b/>
                <w:bCs/>
                <w:i w:val="false"/>
                <w:iCs w:val="false"/>
                <w:color w:val="FFFFFF"/>
                <w:sz w:val="14"/>
                <w:szCs w:val="14"/>
              </w:rPr>
              <w:t xml:space="preserve">Control Impact</w:t>
            </w:r>
          </w:p>
        </w:tc>
        <w:tc>
          <w:tcPr>
            <w:tcW w:type="dxa" w:w="1650"/>
            <w:shd w:fill="1F3864" w:color="auto" w:val="clear"/>
            <w:tcMar>
              <w:top w:type="dxa" w:w="45"/>
              <w:left w:type="dxa" w:w="55"/>
              <w:bottom w:type="dxa" w:w="45"/>
              <w:right w:type="dxa" w:w="55"/>
            </w:tcMar>
            <w:vAlign w:val="top"/>
          </w:tcPr>
          <w:p>
            <w:pPr>
              <w:spacing w:after="12" w:before="12"/>
            </w:pPr>
            <w:r>
              <w:rPr>
                <w:rFonts w:ascii="Arial" w:cs="Arial" w:eastAsia="Arial" w:hAnsi="Arial"/>
                <w:b/>
                <w:bCs/>
                <w:i w:val="false"/>
                <w:iCs w:val="false"/>
                <w:color w:val="FFFFFF"/>
                <w:sz w:val="14"/>
                <w:szCs w:val="14"/>
              </w:rPr>
              <w:t xml:space="preserve">Rating Impact</w:t>
            </w:r>
          </w:p>
        </w:tc>
        <w:tc>
          <w:tcPr>
            <w:tcW w:type="dxa" w:w="1400"/>
            <w:shd w:fill="1F3864" w:color="auto" w:val="clear"/>
            <w:tcMar>
              <w:top w:type="dxa" w:w="45"/>
              <w:left w:type="dxa" w:w="55"/>
              <w:bottom w:type="dxa" w:w="45"/>
              <w:right w:type="dxa" w:w="55"/>
            </w:tcMar>
            <w:vAlign w:val="top"/>
          </w:tcPr>
          <w:p>
            <w:pPr>
              <w:spacing w:after="12" w:before="12"/>
            </w:pPr>
            <w:r>
              <w:rPr>
                <w:rFonts w:ascii="Arial" w:cs="Arial" w:eastAsia="Arial" w:hAnsi="Arial"/>
                <w:b/>
                <w:bCs/>
                <w:i w:val="false"/>
                <w:iCs w:val="false"/>
                <w:color w:val="FFFFFF"/>
                <w:sz w:val="14"/>
                <w:szCs w:val="14"/>
              </w:rPr>
              <w:t xml:space="preserve">Market Perception</w:t>
            </w:r>
          </w:p>
        </w:tc>
        <w:tc>
          <w:tcPr>
            <w:tcW w:type="dxa" w:w="1356"/>
            <w:shd w:fill="1F3864" w:color="auto" w:val="clear"/>
            <w:tcMar>
              <w:top w:type="dxa" w:w="45"/>
              <w:left w:type="dxa" w:w="55"/>
              <w:bottom w:type="dxa" w:w="45"/>
              <w:right w:type="dxa" w:w="55"/>
            </w:tcMar>
            <w:vAlign w:val="top"/>
          </w:tcPr>
          <w:p>
            <w:pPr>
              <w:spacing w:after="12" w:before="12"/>
            </w:pPr>
            <w:r>
              <w:rPr>
                <w:rFonts w:ascii="Arial" w:cs="Arial" w:eastAsia="Arial" w:hAnsi="Arial"/>
                <w:b/>
                <w:bCs/>
                <w:i w:val="false"/>
                <w:iCs w:val="false"/>
                <w:color w:val="FFFFFF"/>
                <w:sz w:val="14"/>
                <w:szCs w:val="14"/>
              </w:rPr>
              <w:t xml:space="preserve">Suitability</w:t>
            </w:r>
          </w:p>
        </w:tc>
      </w:tr>
      <w:tr>
        <w:tc>
          <w:tcPr>
            <w:tcW w:type="dxa" w:w="1250"/>
            <w:shd w:fill="E2EFDA" w:color="auto" w:val="clear"/>
            <w:tcMar>
              <w:top w:type="dxa" w:w="45"/>
              <w:left w:type="dxa" w:w="55"/>
              <w:bottom w:type="dxa" w:w="45"/>
              <w:right w:type="dxa" w:w="55"/>
            </w:tcMar>
            <w:vAlign w:val="top"/>
          </w:tcPr>
          <w:p>
            <w:pPr>
              <w:spacing w:after="12" w:before="12"/>
            </w:pPr>
            <w:r>
              <w:rPr>
                <w:rFonts w:ascii="Arial" w:cs="Arial" w:eastAsia="Arial" w:hAnsi="Arial"/>
                <w:b/>
                <w:bCs/>
                <w:i w:val="false"/>
                <w:iCs w:val="false"/>
                <w:color w:val="000000"/>
                <w:sz w:val="13"/>
                <w:szCs w:val="13"/>
              </w:rPr>
              <w:t xml:space="preserve">1. NCD (bond)</w:t>
            </w:r>
          </w:p>
          <w:p>
            <w:pPr>
              <w:spacing w:after="12" w:before="26"/>
            </w:pPr>
            <w:r>
              <w:rPr>
                <w:rFonts w:ascii="Arial" w:cs="Arial" w:eastAsia="Arial" w:hAnsi="Arial"/>
                <w:b/>
                <w:bCs/>
                <w:i w:val="false"/>
                <w:iCs w:val="false"/>
                <w:color w:val="000000"/>
                <w:sz w:val="13"/>
                <w:szCs w:val="13"/>
              </w:rPr>
              <w:t xml:space="preserve">Rs 1,000 Cr</w:t>
            </w:r>
          </w:p>
          <w:p>
            <w:pPr>
              <w:spacing w:after="12" w:before="26"/>
            </w:pPr>
            <w:r>
              <w:rPr>
                <w:rFonts w:ascii="Arial" w:cs="Arial" w:eastAsia="Arial" w:hAnsi="Arial"/>
                <w:b/>
                <w:bCs/>
                <w:i w:val="false"/>
                <w:iCs w:val="false"/>
                <w:color w:val="000000"/>
                <w:sz w:val="13"/>
                <w:szCs w:val="13"/>
              </w:rPr>
              <w:t xml:space="preserve">SELECTED</w:t>
            </w:r>
          </w:p>
        </w:tc>
        <w:tc>
          <w:tcPr>
            <w:tcW w:type="dxa" w:w="1450"/>
            <w:shd w:fill="E2EFDA" w:color="auto" w:val="clear"/>
            <w:tcMar>
              <w:top w:type="dxa" w:w="45"/>
              <w:left w:type="dxa" w:w="55"/>
              <w:bottom w:type="dxa" w:w="45"/>
              <w:right w:type="dxa" w:w="55"/>
            </w:tcMar>
            <w:vAlign w:val="top"/>
          </w:tcPr>
          <w:p>
            <w:pPr>
              <w:spacing w:after="12" w:before="12"/>
            </w:pPr>
            <w:r>
              <w:rPr>
                <w:rFonts w:ascii="Arial" w:cs="Arial" w:eastAsia="Arial" w:hAnsi="Arial"/>
                <w:b w:val="false"/>
                <w:bCs w:val="false"/>
                <w:i w:val="false"/>
                <w:iCs w:val="false"/>
                <w:color w:val="000000"/>
                <w:sz w:val="13"/>
                <w:szCs w:val="13"/>
              </w:rPr>
              <w:t xml:space="preserve">7.25-7.60% fixed</w:t>
            </w:r>
          </w:p>
          <w:p>
            <w:pPr>
              <w:spacing w:after="12" w:before="26"/>
            </w:pPr>
            <w:r>
              <w:rPr>
                <w:rFonts w:ascii="Arial" w:cs="Arial" w:eastAsia="Arial" w:hAnsi="Arial"/>
                <w:b w:val="false"/>
                <w:bCs w:val="false"/>
                <w:i w:val="false"/>
                <w:iCs w:val="false"/>
                <w:color w:val="000000"/>
                <w:sz w:val="13"/>
                <w:szCs w:val="13"/>
              </w:rPr>
              <w:t xml:space="preserve">5.4-5.7% post-tax</w:t>
            </w:r>
          </w:p>
        </w:tc>
        <w:tc>
          <w:tcPr>
            <w:tcW w:type="dxa" w:w="900"/>
            <w:shd w:fill="E2EFDA" w:color="auto" w:val="clear"/>
            <w:tcMar>
              <w:top w:type="dxa" w:w="45"/>
              <w:left w:type="dxa" w:w="55"/>
              <w:bottom w:type="dxa" w:w="45"/>
              <w:right w:type="dxa" w:w="55"/>
            </w:tcMar>
            <w:vAlign w:val="top"/>
          </w:tcPr>
          <w:p>
            <w:pPr>
              <w:spacing w:after="12" w:before="12"/>
            </w:pPr>
            <w:r>
              <w:rPr>
                <w:rFonts w:ascii="Arial" w:cs="Arial" w:eastAsia="Arial" w:hAnsi="Arial"/>
                <w:b w:val="false"/>
                <w:bCs w:val="false"/>
                <w:i w:val="false"/>
                <w:iCs w:val="false"/>
                <w:color w:val="000000"/>
                <w:sz w:val="13"/>
                <w:szCs w:val="13"/>
              </w:rPr>
              <w:t xml:space="preserve">None</w:t>
            </w:r>
          </w:p>
        </w:tc>
        <w:tc>
          <w:tcPr>
            <w:tcW w:type="dxa" w:w="900"/>
            <w:shd w:fill="E2EFDA" w:color="auto" w:val="clear"/>
            <w:tcMar>
              <w:top w:type="dxa" w:w="45"/>
              <w:left w:type="dxa" w:w="55"/>
              <w:bottom w:type="dxa" w:w="45"/>
              <w:right w:type="dxa" w:w="55"/>
            </w:tcMar>
            <w:vAlign w:val="top"/>
          </w:tcPr>
          <w:p>
            <w:pPr>
              <w:spacing w:after="12" w:before="12"/>
            </w:pPr>
            <w:r>
              <w:rPr>
                <w:rFonts w:ascii="Arial" w:cs="Arial" w:eastAsia="Arial" w:hAnsi="Arial"/>
                <w:b w:val="false"/>
                <w:bCs w:val="false"/>
                <w:i w:val="false"/>
                <w:iCs w:val="false"/>
                <w:color w:val="000000"/>
                <w:sz w:val="13"/>
                <w:szCs w:val="13"/>
              </w:rPr>
              <w:t xml:space="preserve">4-8 weeks</w:t>
            </w:r>
          </w:p>
        </w:tc>
        <w:tc>
          <w:tcPr>
            <w:tcW w:type="dxa" w:w="1300"/>
            <w:shd w:fill="E2EFDA" w:color="auto" w:val="clear"/>
            <w:tcMar>
              <w:top w:type="dxa" w:w="45"/>
              <w:left w:type="dxa" w:w="55"/>
              <w:bottom w:type="dxa" w:w="45"/>
              <w:right w:type="dxa" w:w="55"/>
            </w:tcMar>
            <w:vAlign w:val="top"/>
          </w:tcPr>
          <w:p>
            <w:pPr>
              <w:spacing w:after="12" w:before="12"/>
            </w:pPr>
            <w:r>
              <w:rPr>
                <w:rFonts w:ascii="Arial" w:cs="Arial" w:eastAsia="Arial" w:hAnsi="Arial"/>
                <w:b w:val="false"/>
                <w:bCs w:val="false"/>
                <w:i w:val="false"/>
                <w:iCs w:val="false"/>
                <w:color w:val="000000"/>
                <w:sz w:val="13"/>
                <w:szCs w:val="13"/>
              </w:rPr>
              <w:t xml:space="preserve">Minimal. No votes, no board seat.</w:t>
            </w:r>
          </w:p>
        </w:tc>
        <w:tc>
          <w:tcPr>
            <w:tcW w:type="dxa" w:w="1650"/>
            <w:shd w:fill="E2EFDA" w:color="auto" w:val="clear"/>
            <w:tcMar>
              <w:top w:type="dxa" w:w="45"/>
              <w:left w:type="dxa" w:w="55"/>
              <w:bottom w:type="dxa" w:w="45"/>
              <w:right w:type="dxa" w:w="55"/>
            </w:tcMar>
            <w:vAlign w:val="top"/>
          </w:tcPr>
          <w:p>
            <w:pPr>
              <w:spacing w:after="12" w:before="12"/>
            </w:pPr>
            <w:r>
              <w:rPr>
                <w:rFonts w:ascii="Arial" w:cs="Arial" w:eastAsia="Arial" w:hAnsi="Arial"/>
                <w:b w:val="false"/>
                <w:bCs w:val="false"/>
                <w:i w:val="false"/>
                <w:iCs w:val="false"/>
                <w:color w:val="000000"/>
                <w:sz w:val="13"/>
                <w:szCs w:val="13"/>
              </w:rPr>
              <w:t xml:space="preserve">Neutral. Already rated AAA. Gearing 0.10x to 0.14x vs 0.20x trigger.</w:t>
            </w:r>
          </w:p>
        </w:tc>
        <w:tc>
          <w:tcPr>
            <w:tcW w:type="dxa" w:w="1400"/>
            <w:shd w:fill="E2EFDA" w:color="auto" w:val="clear"/>
            <w:tcMar>
              <w:top w:type="dxa" w:w="45"/>
              <w:left w:type="dxa" w:w="55"/>
              <w:bottom w:type="dxa" w:w="45"/>
              <w:right w:type="dxa" w:w="55"/>
            </w:tcMar>
            <w:vAlign w:val="top"/>
          </w:tcPr>
          <w:p>
            <w:pPr>
              <w:spacing w:after="12" w:before="12"/>
            </w:pPr>
            <w:r>
              <w:rPr>
                <w:rFonts w:ascii="Arial" w:cs="Arial" w:eastAsia="Arial" w:hAnsi="Arial"/>
                <w:b w:val="false"/>
                <w:bCs w:val="false"/>
                <w:i w:val="false"/>
                <w:iCs w:val="false"/>
                <w:color w:val="000000"/>
                <w:sz w:val="13"/>
                <w:szCs w:val="13"/>
              </w:rPr>
              <w:t xml:space="preserve">Positive. Confident use of unused capacity.</w:t>
            </w:r>
          </w:p>
        </w:tc>
        <w:tc>
          <w:tcPr>
            <w:tcW w:type="dxa" w:w="1356"/>
            <w:shd w:fill="E2EFDA" w:color="auto" w:val="clear"/>
            <w:tcMar>
              <w:top w:type="dxa" w:w="45"/>
              <w:left w:type="dxa" w:w="55"/>
              <w:bottom w:type="dxa" w:w="45"/>
              <w:right w:type="dxa" w:w="55"/>
            </w:tcMar>
            <w:vAlign w:val="top"/>
          </w:tcPr>
          <w:p>
            <w:pPr>
              <w:spacing w:after="12" w:before="12"/>
            </w:pPr>
            <w:r>
              <w:rPr>
                <w:rFonts w:ascii="Arial" w:cs="Arial" w:eastAsia="Arial" w:hAnsi="Arial"/>
                <w:b/>
                <w:bCs/>
                <w:i w:val="false"/>
                <w:iCs w:val="false"/>
                <w:color w:val="000000"/>
                <w:sz w:val="13"/>
                <w:szCs w:val="13"/>
              </w:rPr>
              <w:t xml:space="preserve">HIGH</w:t>
            </w:r>
          </w:p>
          <w:p>
            <w:pPr>
              <w:spacing w:after="12" w:before="26"/>
            </w:pPr>
            <w:r>
              <w:rPr>
                <w:rFonts w:ascii="Arial" w:cs="Arial" w:eastAsia="Arial" w:hAnsi="Arial"/>
                <w:b/>
                <w:bCs/>
                <w:i w:val="false"/>
                <w:iCs w:val="false"/>
                <w:color w:val="000000"/>
                <w:sz w:val="13"/>
                <w:szCs w:val="13"/>
              </w:rPr>
              <w:t xml:space="preserve">Tenor matches the asset.</w:t>
            </w:r>
          </w:p>
        </w:tc>
      </w:tr>
      <w:tr>
        <w:tc>
          <w:tcPr>
            <w:tcW w:type="dxa" w:w="1250"/>
            <w:tcMar>
              <w:top w:type="dxa" w:w="45"/>
              <w:left w:type="dxa" w:w="55"/>
              <w:bottom w:type="dxa" w:w="45"/>
              <w:right w:type="dxa" w:w="55"/>
            </w:tcMar>
            <w:vAlign w:val="top"/>
          </w:tcPr>
          <w:p>
            <w:pPr>
              <w:spacing w:after="12" w:before="12"/>
            </w:pPr>
            <w:r>
              <w:rPr>
                <w:rFonts w:ascii="Arial" w:cs="Arial" w:eastAsia="Arial" w:hAnsi="Arial"/>
                <w:b/>
                <w:bCs/>
                <w:i w:val="false"/>
                <w:iCs w:val="false"/>
                <w:color w:val="000000"/>
                <w:sz w:val="13"/>
                <w:szCs w:val="13"/>
              </w:rPr>
              <w:t xml:space="preserve">2. Bank term loan</w:t>
            </w:r>
          </w:p>
        </w:tc>
        <w:tc>
          <w:tcPr>
            <w:tcW w:type="dxa" w:w="1450"/>
            <w:tcMar>
              <w:top w:type="dxa" w:w="45"/>
              <w:left w:type="dxa" w:w="55"/>
              <w:bottom w:type="dxa" w:w="45"/>
              <w:right w:type="dxa" w:w="55"/>
            </w:tcMar>
            <w:vAlign w:val="top"/>
          </w:tcPr>
          <w:p>
            <w:pPr>
              <w:spacing w:after="12" w:before="12"/>
            </w:pPr>
            <w:r>
              <w:rPr>
                <w:rFonts w:ascii="Arial" w:cs="Arial" w:eastAsia="Arial" w:hAnsi="Arial"/>
                <w:b w:val="false"/>
                <w:bCs w:val="false"/>
                <w:i w:val="false"/>
                <w:iCs w:val="false"/>
                <w:color w:val="000000"/>
                <w:sz w:val="13"/>
                <w:szCs w:val="13"/>
              </w:rPr>
              <w:t xml:space="preserve">7.75-8.50% floating</w:t>
            </w:r>
          </w:p>
          <w:p>
            <w:pPr>
              <w:spacing w:after="12" w:before="26"/>
            </w:pPr>
            <w:r>
              <w:rPr>
                <w:rFonts w:ascii="Arial" w:cs="Arial" w:eastAsia="Arial" w:hAnsi="Arial"/>
                <w:b w:val="false"/>
                <w:bCs w:val="false"/>
                <w:i w:val="false"/>
                <w:iCs w:val="false"/>
                <w:color w:val="000000"/>
                <w:sz w:val="13"/>
                <w:szCs w:val="13"/>
              </w:rPr>
              <w:t xml:space="preserve">5.8-6.4% post-tax</w:t>
            </w:r>
          </w:p>
        </w:tc>
        <w:tc>
          <w:tcPr>
            <w:tcW w:type="dxa" w:w="900"/>
            <w:tcMar>
              <w:top w:type="dxa" w:w="45"/>
              <w:left w:type="dxa" w:w="55"/>
              <w:bottom w:type="dxa" w:w="45"/>
              <w:right w:type="dxa" w:w="55"/>
            </w:tcMar>
            <w:vAlign w:val="top"/>
          </w:tcPr>
          <w:p>
            <w:pPr>
              <w:spacing w:after="12" w:before="12"/>
            </w:pPr>
            <w:r>
              <w:rPr>
                <w:rFonts w:ascii="Arial" w:cs="Arial" w:eastAsia="Arial" w:hAnsi="Arial"/>
                <w:b w:val="false"/>
                <w:bCs w:val="false"/>
                <w:i w:val="false"/>
                <w:iCs w:val="false"/>
                <w:color w:val="000000"/>
                <w:sz w:val="13"/>
                <w:szCs w:val="13"/>
              </w:rPr>
              <w:t xml:space="preserve">None</w:t>
            </w:r>
          </w:p>
        </w:tc>
        <w:tc>
          <w:tcPr>
            <w:tcW w:type="dxa" w:w="900"/>
            <w:tcMar>
              <w:top w:type="dxa" w:w="45"/>
              <w:left w:type="dxa" w:w="55"/>
              <w:bottom w:type="dxa" w:w="45"/>
              <w:right w:type="dxa" w:w="55"/>
            </w:tcMar>
            <w:vAlign w:val="top"/>
          </w:tcPr>
          <w:p>
            <w:pPr>
              <w:spacing w:after="12" w:before="12"/>
            </w:pPr>
            <w:r>
              <w:rPr>
                <w:rFonts w:ascii="Arial" w:cs="Arial" w:eastAsia="Arial" w:hAnsi="Arial"/>
                <w:b w:val="false"/>
                <w:bCs w:val="false"/>
                <w:i w:val="false"/>
                <w:iCs w:val="false"/>
                <w:color w:val="000000"/>
                <w:sz w:val="13"/>
                <w:szCs w:val="13"/>
              </w:rPr>
              <w:t xml:space="preserve">2-4 weeks</w:t>
            </w:r>
          </w:p>
        </w:tc>
        <w:tc>
          <w:tcPr>
            <w:tcW w:type="dxa" w:w="1300"/>
            <w:tcMar>
              <w:top w:type="dxa" w:w="45"/>
              <w:left w:type="dxa" w:w="55"/>
              <w:bottom w:type="dxa" w:w="45"/>
              <w:right w:type="dxa" w:w="55"/>
            </w:tcMar>
            <w:vAlign w:val="top"/>
          </w:tcPr>
          <w:p>
            <w:pPr>
              <w:spacing w:after="12" w:before="12"/>
            </w:pPr>
            <w:r>
              <w:rPr>
                <w:rFonts w:ascii="Arial" w:cs="Arial" w:eastAsia="Arial" w:hAnsi="Arial"/>
                <w:b w:val="false"/>
                <w:bCs w:val="false"/>
                <w:i w:val="false"/>
                <w:iCs w:val="false"/>
                <w:color w:val="000000"/>
                <w:sz w:val="13"/>
                <w:szCs w:val="13"/>
              </w:rPr>
              <w:t xml:space="preserve">Covenants, end-use monitoring, possible security.</w:t>
            </w:r>
          </w:p>
        </w:tc>
        <w:tc>
          <w:tcPr>
            <w:tcW w:type="dxa" w:w="1650"/>
            <w:tcMar>
              <w:top w:type="dxa" w:w="45"/>
              <w:left w:type="dxa" w:w="55"/>
              <w:bottom w:type="dxa" w:w="45"/>
              <w:right w:type="dxa" w:w="55"/>
            </w:tcMar>
            <w:vAlign w:val="top"/>
          </w:tcPr>
          <w:p>
            <w:pPr>
              <w:spacing w:after="12" w:before="12"/>
            </w:pPr>
            <w:r>
              <w:rPr>
                <w:rFonts w:ascii="Arial" w:cs="Arial" w:eastAsia="Arial" w:hAnsi="Arial"/>
                <w:b w:val="false"/>
                <w:bCs w:val="false"/>
                <w:i w:val="false"/>
                <w:iCs w:val="false"/>
                <w:color w:val="000000"/>
                <w:sz w:val="13"/>
                <w:szCs w:val="13"/>
              </w:rPr>
              <w:t xml:space="preserve">Neutral. Same gearing effect as the bond.</w:t>
            </w:r>
          </w:p>
        </w:tc>
        <w:tc>
          <w:tcPr>
            <w:tcW w:type="dxa" w:w="1400"/>
            <w:tcMar>
              <w:top w:type="dxa" w:w="45"/>
              <w:left w:type="dxa" w:w="55"/>
              <w:bottom w:type="dxa" w:w="45"/>
              <w:right w:type="dxa" w:w="55"/>
            </w:tcMar>
            <w:vAlign w:val="top"/>
          </w:tcPr>
          <w:p>
            <w:pPr>
              <w:spacing w:after="12" w:before="12"/>
            </w:pPr>
            <w:r>
              <w:rPr>
                <w:rFonts w:ascii="Arial" w:cs="Arial" w:eastAsia="Arial" w:hAnsi="Arial"/>
                <w:b w:val="false"/>
                <w:bCs w:val="false"/>
                <w:i w:val="false"/>
                <w:iCs w:val="false"/>
                <w:color w:val="000000"/>
                <w:sz w:val="13"/>
                <w:szCs w:val="13"/>
              </w:rPr>
              <w:t xml:space="preserve">Neutral. Bilateral, no public benchmark.</w:t>
            </w:r>
          </w:p>
        </w:tc>
        <w:tc>
          <w:tcPr>
            <w:tcW w:type="dxa" w:w="1356"/>
            <w:tcMar>
              <w:top w:type="dxa" w:w="45"/>
              <w:left w:type="dxa" w:w="55"/>
              <w:bottom w:type="dxa" w:w="45"/>
              <w:right w:type="dxa" w:w="55"/>
            </w:tcMar>
            <w:vAlign w:val="top"/>
          </w:tcPr>
          <w:p>
            <w:pPr>
              <w:spacing w:after="12" w:before="12"/>
            </w:pPr>
            <w:r>
              <w:rPr>
                <w:rFonts w:ascii="Arial" w:cs="Arial" w:eastAsia="Arial" w:hAnsi="Arial"/>
                <w:b/>
                <w:bCs/>
                <w:i w:val="false"/>
                <w:iCs w:val="false"/>
                <w:color w:val="000000"/>
                <w:sz w:val="13"/>
                <w:szCs w:val="13"/>
              </w:rPr>
              <w:t xml:space="preserve">MEDIUM</w:t>
            </w:r>
          </w:p>
          <w:p>
            <w:pPr>
              <w:spacing w:after="12" w:before="26"/>
            </w:pPr>
            <w:r>
              <w:rPr>
                <w:rFonts w:ascii="Arial" w:cs="Arial" w:eastAsia="Arial" w:hAnsi="Arial"/>
                <w:b/>
                <w:bCs/>
                <w:i w:val="false"/>
                <w:iCs w:val="false"/>
                <w:color w:val="000000"/>
                <w:sz w:val="13"/>
                <w:szCs w:val="13"/>
              </w:rPr>
              <w:t xml:space="preserve">Fallback; dearer and tighter.</w:t>
            </w:r>
          </w:p>
        </w:tc>
      </w:tr>
      <w:tr>
        <w:tc>
          <w:tcPr>
            <w:tcW w:type="dxa" w:w="1250"/>
            <w:shd w:fill="F2F2F2" w:color="auto" w:val="clear"/>
            <w:tcMar>
              <w:top w:type="dxa" w:w="45"/>
              <w:left w:type="dxa" w:w="55"/>
              <w:bottom w:type="dxa" w:w="45"/>
              <w:right w:type="dxa" w:w="55"/>
            </w:tcMar>
            <w:vAlign w:val="top"/>
          </w:tcPr>
          <w:p>
            <w:pPr>
              <w:spacing w:after="12" w:before="12"/>
            </w:pPr>
            <w:r>
              <w:rPr>
                <w:rFonts w:ascii="Arial" w:cs="Arial" w:eastAsia="Arial" w:hAnsi="Arial"/>
                <w:b/>
                <w:bCs/>
                <w:i w:val="false"/>
                <w:iCs w:val="false"/>
                <w:color w:val="000000"/>
                <w:sz w:val="13"/>
                <w:szCs w:val="13"/>
              </w:rPr>
              <w:t xml:space="preserve">3. Commercial paper</w:t>
            </w:r>
          </w:p>
          <w:p>
            <w:pPr>
              <w:spacing w:after="12" w:before="26"/>
            </w:pPr>
            <w:r>
              <w:rPr>
                <w:rFonts w:ascii="Arial" w:cs="Arial" w:eastAsia="Arial" w:hAnsi="Arial"/>
                <w:b/>
                <w:bCs/>
                <w:i w:val="false"/>
                <w:iCs w:val="false"/>
                <w:color w:val="000000"/>
                <w:sz w:val="13"/>
                <w:szCs w:val="13"/>
              </w:rPr>
              <w:t xml:space="preserve">ICRA A1+</w:t>
            </w:r>
          </w:p>
        </w:tc>
        <w:tc>
          <w:tcPr>
            <w:tcW w:type="dxa" w:w="1450"/>
            <w:shd w:fill="F2F2F2" w:color="auto" w:val="clear"/>
            <w:tcMar>
              <w:top w:type="dxa" w:w="45"/>
              <w:left w:type="dxa" w:w="55"/>
              <w:bottom w:type="dxa" w:w="45"/>
              <w:right w:type="dxa" w:w="55"/>
            </w:tcMar>
            <w:vAlign w:val="top"/>
          </w:tcPr>
          <w:p>
            <w:pPr>
              <w:spacing w:after="12" w:before="12"/>
            </w:pPr>
            <w:r>
              <w:rPr>
                <w:rFonts w:ascii="Arial" w:cs="Arial" w:eastAsia="Arial" w:hAnsi="Arial"/>
                <w:b w:val="false"/>
                <w:bCs w:val="false"/>
                <w:i w:val="false"/>
                <w:iCs w:val="false"/>
                <w:color w:val="000000"/>
                <w:sz w:val="13"/>
                <w:szCs w:val="13"/>
              </w:rPr>
              <w:t xml:space="preserve">6.40-7.18% actual</w:t>
            </w:r>
          </w:p>
          <w:p>
            <w:pPr>
              <w:spacing w:after="12" w:before="26"/>
            </w:pPr>
            <w:r>
              <w:rPr>
                <w:rFonts w:ascii="Arial" w:cs="Arial" w:eastAsia="Arial" w:hAnsi="Arial"/>
                <w:b w:val="false"/>
                <w:bCs w:val="false"/>
                <w:i w:val="false"/>
                <w:iCs w:val="false"/>
                <w:color w:val="000000"/>
                <w:sz w:val="13"/>
                <w:szCs w:val="13"/>
              </w:rPr>
              <w:t xml:space="preserve">4.8-5.4% post-tax</w:t>
            </w:r>
          </w:p>
        </w:tc>
        <w:tc>
          <w:tcPr>
            <w:tcW w:type="dxa" w:w="900"/>
            <w:shd w:fill="F2F2F2" w:color="auto" w:val="clear"/>
            <w:tcMar>
              <w:top w:type="dxa" w:w="45"/>
              <w:left w:type="dxa" w:w="55"/>
              <w:bottom w:type="dxa" w:w="45"/>
              <w:right w:type="dxa" w:w="55"/>
            </w:tcMar>
            <w:vAlign w:val="top"/>
          </w:tcPr>
          <w:p>
            <w:pPr>
              <w:spacing w:after="12" w:before="12"/>
            </w:pPr>
            <w:r>
              <w:rPr>
                <w:rFonts w:ascii="Arial" w:cs="Arial" w:eastAsia="Arial" w:hAnsi="Arial"/>
                <w:b w:val="false"/>
                <w:bCs w:val="false"/>
                <w:i w:val="false"/>
                <w:iCs w:val="false"/>
                <w:color w:val="000000"/>
                <w:sz w:val="13"/>
                <w:szCs w:val="13"/>
              </w:rPr>
              <w:t xml:space="preserve">None</w:t>
            </w:r>
          </w:p>
        </w:tc>
        <w:tc>
          <w:tcPr>
            <w:tcW w:type="dxa" w:w="900"/>
            <w:shd w:fill="F2F2F2" w:color="auto" w:val="clear"/>
            <w:tcMar>
              <w:top w:type="dxa" w:w="45"/>
              <w:left w:type="dxa" w:w="55"/>
              <w:bottom w:type="dxa" w:w="45"/>
              <w:right w:type="dxa" w:w="55"/>
            </w:tcMar>
            <w:vAlign w:val="top"/>
          </w:tcPr>
          <w:p>
            <w:pPr>
              <w:spacing w:after="12" w:before="12"/>
            </w:pPr>
            <w:r>
              <w:rPr>
                <w:rFonts w:ascii="Arial" w:cs="Arial" w:eastAsia="Arial" w:hAnsi="Arial"/>
                <w:b w:val="false"/>
                <w:bCs w:val="false"/>
                <w:i w:val="false"/>
                <w:iCs w:val="false"/>
                <w:color w:val="000000"/>
                <w:sz w:val="13"/>
                <w:szCs w:val="13"/>
              </w:rPr>
              <w:t xml:space="preserve">Days</w:t>
            </w:r>
          </w:p>
        </w:tc>
        <w:tc>
          <w:tcPr>
            <w:tcW w:type="dxa" w:w="1300"/>
            <w:shd w:fill="F2F2F2" w:color="auto" w:val="clear"/>
            <w:tcMar>
              <w:top w:type="dxa" w:w="45"/>
              <w:left w:type="dxa" w:w="55"/>
              <w:bottom w:type="dxa" w:w="45"/>
              <w:right w:type="dxa" w:w="55"/>
            </w:tcMar>
            <w:vAlign w:val="top"/>
          </w:tcPr>
          <w:p>
            <w:pPr>
              <w:spacing w:after="12" w:before="12"/>
            </w:pPr>
            <w:r>
              <w:rPr>
                <w:rFonts w:ascii="Arial" w:cs="Arial" w:eastAsia="Arial" w:hAnsi="Arial"/>
                <w:b w:val="false"/>
                <w:bCs w:val="false"/>
                <w:i w:val="false"/>
                <w:iCs w:val="false"/>
                <w:color w:val="000000"/>
                <w:sz w:val="13"/>
                <w:szCs w:val="13"/>
              </w:rPr>
              <w:t xml:space="preserve">None. No covenants or security.</w:t>
            </w:r>
          </w:p>
        </w:tc>
        <w:tc>
          <w:tcPr>
            <w:tcW w:type="dxa" w:w="1650"/>
            <w:shd w:fill="F2F2F2" w:color="auto" w:val="clear"/>
            <w:tcMar>
              <w:top w:type="dxa" w:w="45"/>
              <w:left w:type="dxa" w:w="55"/>
              <w:bottom w:type="dxa" w:w="45"/>
              <w:right w:type="dxa" w:w="55"/>
            </w:tcMar>
            <w:vAlign w:val="top"/>
          </w:tcPr>
          <w:p>
            <w:pPr>
              <w:spacing w:after="12" w:before="12"/>
            </w:pPr>
            <w:r>
              <w:rPr>
                <w:rFonts w:ascii="Arial" w:cs="Arial" w:eastAsia="Arial" w:hAnsi="Arial"/>
                <w:b w:val="false"/>
                <w:bCs w:val="false"/>
                <w:i w:val="false"/>
                <w:iCs w:val="false"/>
                <w:color w:val="000000"/>
                <w:sz w:val="13"/>
                <w:szCs w:val="13"/>
              </w:rPr>
              <w:t xml:space="preserve">Negative for stores. 90-day paper against 20-year assets.</w:t>
            </w:r>
          </w:p>
        </w:tc>
        <w:tc>
          <w:tcPr>
            <w:tcW w:type="dxa" w:w="1400"/>
            <w:shd w:fill="F2F2F2" w:color="auto" w:val="clear"/>
            <w:tcMar>
              <w:top w:type="dxa" w:w="45"/>
              <w:left w:type="dxa" w:w="55"/>
              <w:bottom w:type="dxa" w:w="45"/>
              <w:right w:type="dxa" w:w="55"/>
            </w:tcMar>
            <w:vAlign w:val="top"/>
          </w:tcPr>
          <w:p>
            <w:pPr>
              <w:spacing w:after="12" w:before="12"/>
            </w:pPr>
            <w:r>
              <w:rPr>
                <w:rFonts w:ascii="Arial" w:cs="Arial" w:eastAsia="Arial" w:hAnsi="Arial"/>
                <w:b w:val="false"/>
                <w:bCs w:val="false"/>
                <w:i w:val="false"/>
                <w:iCs w:val="false"/>
                <w:color w:val="000000"/>
                <w:sz w:val="13"/>
                <w:szCs w:val="13"/>
              </w:rPr>
              <w:t xml:space="preserve">Poor if visibly funding stores; reads as a shortcut.</w:t>
            </w:r>
          </w:p>
        </w:tc>
        <w:tc>
          <w:tcPr>
            <w:tcW w:type="dxa" w:w="1356"/>
            <w:shd w:fill="F2F2F2" w:color="auto" w:val="clear"/>
            <w:tcMar>
              <w:top w:type="dxa" w:w="45"/>
              <w:left w:type="dxa" w:w="55"/>
              <w:bottom w:type="dxa" w:w="45"/>
              <w:right w:type="dxa" w:w="55"/>
            </w:tcMar>
            <w:vAlign w:val="top"/>
          </w:tcPr>
          <w:p>
            <w:pPr>
              <w:spacing w:after="12" w:before="12"/>
            </w:pPr>
            <w:r>
              <w:rPr>
                <w:rFonts w:ascii="Arial" w:cs="Arial" w:eastAsia="Arial" w:hAnsi="Arial"/>
                <w:b/>
                <w:bCs/>
                <w:i w:val="false"/>
                <w:iCs w:val="false"/>
                <w:color w:val="000000"/>
                <w:sz w:val="13"/>
                <w:szCs w:val="13"/>
              </w:rPr>
              <w:t xml:space="preserve">LOW</w:t>
            </w:r>
          </w:p>
          <w:p>
            <w:pPr>
              <w:spacing w:after="12" w:before="26"/>
            </w:pPr>
            <w:r>
              <w:rPr>
                <w:rFonts w:ascii="Arial" w:cs="Arial" w:eastAsia="Arial" w:hAnsi="Arial"/>
                <w:b/>
                <w:bCs/>
                <w:i w:val="false"/>
                <w:iCs w:val="false"/>
                <w:color w:val="000000"/>
                <w:sz w:val="13"/>
                <w:szCs w:val="13"/>
              </w:rPr>
              <w:t xml:space="preserve">Wrong tenor entirely.</w:t>
            </w:r>
          </w:p>
        </w:tc>
      </w:tr>
      <w:tr>
        <w:tc>
          <w:tcPr>
            <w:tcW w:type="dxa" w:w="1250"/>
            <w:tcMar>
              <w:top w:type="dxa" w:w="45"/>
              <w:left w:type="dxa" w:w="55"/>
              <w:bottom w:type="dxa" w:w="45"/>
              <w:right w:type="dxa" w:w="55"/>
            </w:tcMar>
            <w:vAlign w:val="top"/>
          </w:tcPr>
          <w:p>
            <w:pPr>
              <w:spacing w:after="12" w:before="12"/>
            </w:pPr>
            <w:r>
              <w:rPr>
                <w:rFonts w:ascii="Arial" w:cs="Arial" w:eastAsia="Arial" w:hAnsi="Arial"/>
                <w:b/>
                <w:bCs/>
                <w:i w:val="false"/>
                <w:iCs w:val="false"/>
                <w:color w:val="000000"/>
                <w:sz w:val="13"/>
                <w:szCs w:val="13"/>
              </w:rPr>
              <w:t xml:space="preserve">4. QIP (equity)</w:t>
            </w:r>
          </w:p>
        </w:tc>
        <w:tc>
          <w:tcPr>
            <w:tcW w:type="dxa" w:w="1450"/>
            <w:tcMar>
              <w:top w:type="dxa" w:w="45"/>
              <w:left w:type="dxa" w:w="55"/>
              <w:bottom w:type="dxa" w:w="45"/>
              <w:right w:type="dxa" w:w="55"/>
            </w:tcMar>
            <w:vAlign w:val="top"/>
          </w:tcPr>
          <w:p>
            <w:pPr>
              <w:spacing w:after="12" w:before="12"/>
            </w:pPr>
            <w:r>
              <w:rPr>
                <w:rFonts w:ascii="Arial" w:cs="Arial" w:eastAsia="Arial" w:hAnsi="Arial"/>
                <w:b w:val="false"/>
                <w:bCs w:val="false"/>
                <w:i w:val="false"/>
                <w:iCs w:val="false"/>
                <w:color w:val="000000"/>
                <w:sz w:val="13"/>
                <w:szCs w:val="13"/>
              </w:rPr>
              <w:t xml:space="preserve">11-12% plus 2-3% fees</w:t>
            </w:r>
          </w:p>
          <w:p>
            <w:pPr>
              <w:spacing w:after="12" w:before="26"/>
            </w:pPr>
            <w:r>
              <w:rPr>
                <w:rFonts w:ascii="Arial" w:cs="Arial" w:eastAsia="Arial" w:hAnsi="Arial"/>
                <w:b w:val="false"/>
                <w:bCs w:val="false"/>
                <w:i w:val="false"/>
                <w:iCs w:val="false"/>
                <w:color w:val="000000"/>
                <w:sz w:val="13"/>
                <w:szCs w:val="13"/>
              </w:rPr>
              <w:t xml:space="preserve">No tax shield</w:t>
            </w:r>
          </w:p>
        </w:tc>
        <w:tc>
          <w:tcPr>
            <w:tcW w:type="dxa" w:w="900"/>
            <w:shd w:fill="FCE4D6" w:color="auto" w:val="clear"/>
            <w:tcMar>
              <w:top w:type="dxa" w:w="45"/>
              <w:left w:type="dxa" w:w="55"/>
              <w:bottom w:type="dxa" w:w="45"/>
              <w:right w:type="dxa" w:w="55"/>
            </w:tcMar>
            <w:vAlign w:val="top"/>
          </w:tcPr>
          <w:p>
            <w:pPr>
              <w:spacing w:after="12" w:before="12"/>
            </w:pPr>
            <w:r>
              <w:rPr>
                <w:rFonts w:ascii="Arial" w:cs="Arial" w:eastAsia="Arial" w:hAnsi="Arial"/>
                <w:b w:val="false"/>
                <w:bCs w:val="false"/>
                <w:i w:val="false"/>
                <w:iCs w:val="false"/>
                <w:color w:val="000000"/>
                <w:sz w:val="13"/>
                <w:szCs w:val="13"/>
              </w:rPr>
              <w:t xml:space="preserve">0.42%</w:t>
            </w:r>
          </w:p>
          <w:p>
            <w:pPr>
              <w:spacing w:after="12" w:before="26"/>
            </w:pPr>
            <w:r>
              <w:rPr>
                <w:rFonts w:ascii="Arial" w:cs="Arial" w:eastAsia="Arial" w:hAnsi="Arial"/>
                <w:b w:val="false"/>
                <w:bCs w:val="false"/>
                <w:i w:val="false"/>
                <w:iCs w:val="false"/>
                <w:color w:val="000000"/>
                <w:sz w:val="13"/>
                <w:szCs w:val="13"/>
              </w:rPr>
              <w:t xml:space="preserve">74.48% to 74.17%</w:t>
            </w:r>
          </w:p>
        </w:tc>
        <w:tc>
          <w:tcPr>
            <w:tcW w:type="dxa" w:w="900"/>
            <w:tcMar>
              <w:top w:type="dxa" w:w="45"/>
              <w:left w:type="dxa" w:w="55"/>
              <w:bottom w:type="dxa" w:w="45"/>
              <w:right w:type="dxa" w:w="55"/>
            </w:tcMar>
            <w:vAlign w:val="top"/>
          </w:tcPr>
          <w:p>
            <w:pPr>
              <w:spacing w:after="12" w:before="12"/>
            </w:pPr>
            <w:r>
              <w:rPr>
                <w:rFonts w:ascii="Arial" w:cs="Arial" w:eastAsia="Arial" w:hAnsi="Arial"/>
                <w:b w:val="false"/>
                <w:bCs w:val="false"/>
                <w:i w:val="false"/>
                <w:iCs w:val="false"/>
                <w:color w:val="000000"/>
                <w:sz w:val="13"/>
                <w:szCs w:val="13"/>
              </w:rPr>
              <w:t xml:space="preserve">3-6 weeks</w:t>
            </w:r>
          </w:p>
        </w:tc>
        <w:tc>
          <w:tcPr>
            <w:tcW w:type="dxa" w:w="1300"/>
            <w:tcMar>
              <w:top w:type="dxa" w:w="45"/>
              <w:left w:type="dxa" w:w="55"/>
              <w:bottom w:type="dxa" w:w="45"/>
              <w:right w:type="dxa" w:w="55"/>
            </w:tcMar>
            <w:vAlign w:val="top"/>
          </w:tcPr>
          <w:p>
            <w:pPr>
              <w:spacing w:after="12" w:before="12"/>
            </w:pPr>
            <w:r>
              <w:rPr>
                <w:rFonts w:ascii="Arial" w:cs="Arial" w:eastAsia="Arial" w:hAnsi="Arial"/>
                <w:b w:val="false"/>
                <w:bCs w:val="false"/>
                <w:i w:val="false"/>
                <w:iCs w:val="false"/>
                <w:color w:val="000000"/>
                <w:sz w:val="13"/>
                <w:szCs w:val="13"/>
              </w:rPr>
              <w:t xml:space="preserve">Permanent loss of stake; irreversible.</w:t>
            </w:r>
          </w:p>
        </w:tc>
        <w:tc>
          <w:tcPr>
            <w:tcW w:type="dxa" w:w="1650"/>
            <w:tcMar>
              <w:top w:type="dxa" w:w="45"/>
              <w:left w:type="dxa" w:w="55"/>
              <w:bottom w:type="dxa" w:w="45"/>
              <w:right w:type="dxa" w:w="55"/>
            </w:tcMar>
            <w:vAlign w:val="top"/>
          </w:tcPr>
          <w:p>
            <w:pPr>
              <w:spacing w:after="12" w:before="12"/>
            </w:pPr>
            <w:r>
              <w:rPr>
                <w:rFonts w:ascii="Arial" w:cs="Arial" w:eastAsia="Arial" w:hAnsi="Arial"/>
                <w:b w:val="false"/>
                <w:bCs w:val="false"/>
                <w:i w:val="false"/>
                <w:iCs w:val="false"/>
                <w:color w:val="000000"/>
                <w:sz w:val="13"/>
                <w:szCs w:val="13"/>
              </w:rPr>
              <w:t xml:space="preserve">Positive, but DMart is already AAA so nothing to gain.</w:t>
            </w:r>
          </w:p>
        </w:tc>
        <w:tc>
          <w:tcPr>
            <w:tcW w:type="dxa" w:w="1400"/>
            <w:shd w:fill="FCE4D6" w:color="auto" w:val="clear"/>
            <w:tcMar>
              <w:top w:type="dxa" w:w="45"/>
              <w:left w:type="dxa" w:w="55"/>
              <w:bottom w:type="dxa" w:w="45"/>
              <w:right w:type="dxa" w:w="55"/>
            </w:tcMar>
            <w:vAlign w:val="top"/>
          </w:tcPr>
          <w:p>
            <w:pPr>
              <w:spacing w:after="12" w:before="12"/>
            </w:pPr>
            <w:r>
              <w:rPr>
                <w:rFonts w:ascii="Arial" w:cs="Arial" w:eastAsia="Arial" w:hAnsi="Arial"/>
                <w:b w:val="false"/>
                <w:bCs w:val="false"/>
                <w:i w:val="false"/>
                <w:iCs w:val="false"/>
                <w:color w:val="000000"/>
                <w:sz w:val="13"/>
                <w:szCs w:val="13"/>
              </w:rPr>
              <w:t xml:space="preserve">Negative. Rs 3,688 vs 52-week low of Rs 3,529.</w:t>
            </w:r>
          </w:p>
        </w:tc>
        <w:tc>
          <w:tcPr>
            <w:tcW w:type="dxa" w:w="1356"/>
            <w:tcMar>
              <w:top w:type="dxa" w:w="45"/>
              <w:left w:type="dxa" w:w="55"/>
              <w:bottom w:type="dxa" w:w="45"/>
              <w:right w:type="dxa" w:w="55"/>
            </w:tcMar>
            <w:vAlign w:val="top"/>
          </w:tcPr>
          <w:p>
            <w:pPr>
              <w:spacing w:after="12" w:before="12"/>
            </w:pPr>
            <w:r>
              <w:rPr>
                <w:rFonts w:ascii="Arial" w:cs="Arial" w:eastAsia="Arial" w:hAnsi="Arial"/>
                <w:b/>
                <w:bCs/>
                <w:i w:val="false"/>
                <w:iCs w:val="false"/>
                <w:color w:val="000000"/>
                <w:sz w:val="13"/>
                <w:szCs w:val="13"/>
              </w:rPr>
              <w:t xml:space="preserve">LOW</w:t>
            </w:r>
          </w:p>
          <w:p>
            <w:pPr>
              <w:spacing w:after="12" w:before="26"/>
            </w:pPr>
            <w:r>
              <w:rPr>
                <w:rFonts w:ascii="Arial" w:cs="Arial" w:eastAsia="Arial" w:hAnsi="Arial"/>
                <w:b/>
                <w:bCs/>
                <w:i w:val="false"/>
                <w:iCs w:val="false"/>
                <w:color w:val="000000"/>
                <w:sz w:val="13"/>
                <w:szCs w:val="13"/>
              </w:rPr>
              <w:t xml:space="preserve">Wrong size, wrong moment.</w:t>
            </w:r>
          </w:p>
        </w:tc>
      </w:tr>
    </w:tbl>
    <w:p>
      <w:pPr>
        <w:spacing w:after="80" w:before="60"/>
      </w:pPr>
      <w:r>
        <w:rPr>
          <w:rFonts w:ascii="Arial" w:cs="Arial" w:eastAsia="Arial" w:hAnsi="Arial"/>
          <w:b w:val="false"/>
          <w:bCs w:val="false"/>
          <w:i w:val="false"/>
          <w:iCs w:val="false"/>
          <w:color w:val="000000"/>
          <w:sz w:val="15"/>
          <w:szCs w:val="15"/>
        </w:rPr>
        <w:t xml:space="preserve">Weighted scores across cost, tenor, rating impact, dilution, speed, control and perception: NCD 4.30, term loan 3.80, commercial paper 3.10, QIP 2.90. Commercial paper is cheapest but disqualified by tenor - DMart redeemed Rs 300 crore on 7 September 2026 and reissued the same amount on 8 September, so funding a 20-year store this way means repeating that roughly 80 times. Also rejected: external commercial borrowing (no natural rupee hedge), sale and leaseback (owning low-cost land is the source of the cost advantage), and securitisation, which is not suitable because trade receivables are Rs 149 crore, under one day of sales, with no loan book.</w:t>
      </w:r>
    </w:p>
    <w:p>
      <w:pPr>
        <w:pStyle w:val="Heading1"/>
        <w:spacing w:after="60" w:before="130"/>
      </w:pPr>
      <w:r>
        <w:rPr>
          <w:rFonts w:ascii="Arial" w:cs="Arial" w:eastAsia="Arial" w:hAnsi="Arial"/>
          <w:b/>
          <w:bCs/>
          <w:color w:val="1F3864"/>
          <w:sz w:val="20"/>
          <w:szCs w:val="20"/>
        </w:rPr>
        <w:t xml:space="preserve">3. Market / rating risk assessment (Block D)</w:t>
      </w:r>
    </w:p>
    <w:p>
      <w:pPr>
        <w:spacing w:after="80" w:before="0"/>
      </w:pPr>
      <w:r>
        <w:rPr>
          <w:rFonts w:ascii="Arial" w:cs="Arial" w:eastAsia="Arial" w:hAnsi="Arial"/>
          <w:b/>
          <w:bCs/>
          <w:i w:val="false"/>
          <w:iCs w:val="false"/>
          <w:color w:val="000000"/>
          <w:sz w:val="16"/>
          <w:szCs w:val="16"/>
        </w:rPr>
        <w:t xml:space="preserve">CRISIL publishes an explicit downgrade trigger: gearing above 0.20 times, sustained. The bond takes gearing to roughly 0.14x, about 70% of the way, leaving around Rs 1,467 crore of capacity. CRISIL reaffirmed AAA on the instrument in August 2026 knowing the plan, so 0.14x is clearly acceptable.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500"/>
        <w:gridCol w:w="7706"/>
      </w:tblGrid>
      <w:tr>
        <w:trPr>
          <w:tblHeader/>
        </w:trPr>
        <w:tc>
          <w:tcPr>
            <w:tcW w:type="dxa" w:w="2500"/>
            <w:shd w:fill="1F3864" w:color="auto" w:val="clear"/>
            <w:tcMar>
              <w:top w:type="dxa" w:w="45"/>
              <w:left w:type="dxa" w:w="55"/>
              <w:bottom w:type="dxa" w:w="45"/>
              <w:right w:type="dxa" w:w="55"/>
            </w:tcMar>
            <w:vAlign w:val="top"/>
          </w:tcPr>
          <w:p>
            <w:pPr>
              <w:spacing w:after="12" w:before="12"/>
            </w:pPr>
            <w:r>
              <w:rPr>
                <w:rFonts w:ascii="Arial" w:cs="Arial" w:eastAsia="Arial" w:hAnsi="Arial"/>
                <w:b/>
                <w:bCs/>
                <w:i w:val="false"/>
                <w:iCs w:val="false"/>
                <w:color w:val="FFFFFF"/>
                <w:sz w:val="15"/>
                <w:szCs w:val="15"/>
              </w:rPr>
              <w:t xml:space="preserve">Risk Factor</w:t>
            </w:r>
          </w:p>
        </w:tc>
        <w:tc>
          <w:tcPr>
            <w:tcW w:type="dxa" w:w="7706"/>
            <w:shd w:fill="1F3864" w:color="auto" w:val="clear"/>
            <w:tcMar>
              <w:top w:type="dxa" w:w="45"/>
              <w:left w:type="dxa" w:w="55"/>
              <w:bottom w:type="dxa" w:w="45"/>
              <w:right w:type="dxa" w:w="55"/>
            </w:tcMar>
            <w:vAlign w:val="top"/>
          </w:tcPr>
          <w:p>
            <w:pPr>
              <w:spacing w:after="12" w:before="12"/>
            </w:pPr>
            <w:r>
              <w:rPr>
                <w:rFonts w:ascii="Arial" w:cs="Arial" w:eastAsia="Arial" w:hAnsi="Arial"/>
                <w:b/>
                <w:bCs/>
                <w:i w:val="false"/>
                <w:iCs w:val="false"/>
                <w:color w:val="FFFFFF"/>
                <w:sz w:val="15"/>
                <w:szCs w:val="15"/>
              </w:rPr>
              <w:t xml:space="preserve">Market / Lender Interpretation</w:t>
            </w:r>
          </w:p>
        </w:tc>
      </w:tr>
      <w:tr>
        <w:tc>
          <w:tcPr>
            <w:tcW w:type="dxa" w:w="2500"/>
            <w:shd w:fill="FFF2CC" w:color="auto" w:val="clear"/>
            <w:tcMar>
              <w:top w:type="dxa" w:w="45"/>
              <w:left w:type="dxa" w:w="55"/>
              <w:bottom w:type="dxa" w:w="45"/>
              <w:right w:type="dxa" w:w="55"/>
            </w:tcMar>
            <w:vAlign w:val="top"/>
          </w:tcPr>
          <w:p>
            <w:pPr>
              <w:spacing w:after="12" w:before="12"/>
            </w:pPr>
            <w:r>
              <w:rPr>
                <w:rFonts w:ascii="Arial" w:cs="Arial" w:eastAsia="Arial" w:hAnsi="Arial"/>
                <w:b/>
                <w:bCs/>
                <w:i w:val="false"/>
                <w:iCs w:val="false"/>
                <w:color w:val="000000"/>
                <w:sz w:val="14"/>
                <w:szCs w:val="14"/>
              </w:rPr>
              <w:t xml:space="preserve">Debt-equity</w:t>
            </w:r>
          </w:p>
        </w:tc>
        <w:tc>
          <w:tcPr>
            <w:tcW w:type="dxa" w:w="7706"/>
            <w:shd w:fill="FFF2CC" w:color="auto" w:val="clear"/>
            <w:tcMar>
              <w:top w:type="dxa" w:w="45"/>
              <w:left w:type="dxa" w:w="55"/>
              <w:bottom w:type="dxa" w:w="45"/>
              <w:right w:type="dxa" w:w="55"/>
            </w:tcMar>
            <w:vAlign w:val="top"/>
          </w:tcPr>
          <w:p>
            <w:pPr>
              <w:spacing w:after="12" w:before="12"/>
            </w:pPr>
            <w:r>
              <w:rPr>
                <w:rFonts w:ascii="Arial" w:cs="Arial" w:eastAsia="Arial" w:hAnsi="Arial"/>
                <w:b w:val="false"/>
                <w:bCs w:val="false"/>
                <w:i w:val="false"/>
                <w:iCs w:val="false"/>
                <w:color w:val="000000"/>
                <w:sz w:val="14"/>
                <w:szCs w:val="14"/>
              </w:rPr>
              <w:t xml:space="preserve">0.03x (FY24), 0.04x (FY25), 0.10x (FY26), about 0.14x after the bond. The level is fine; the speed is what a lender notices. CRISIL's published downgrade trigger is gearing above 0.20x sustained, so the bond uses roughly 40% of the remaining headroom and leaves about Rs 1,467 crore. Nothing blocks this raise; the next one faces harder scrutiny.</w:t>
            </w:r>
          </w:p>
        </w:tc>
      </w:tr>
      <w:tr>
        <w:tc>
          <w:tcPr>
            <w:tcW w:type="dxa" w:w="2500"/>
            <w:shd w:fill="E2EFDA" w:color="auto" w:val="clear"/>
            <w:tcMar>
              <w:top w:type="dxa" w:w="45"/>
              <w:left w:type="dxa" w:w="55"/>
              <w:bottom w:type="dxa" w:w="45"/>
              <w:right w:type="dxa" w:w="55"/>
            </w:tcMar>
            <w:vAlign w:val="top"/>
          </w:tcPr>
          <w:p>
            <w:pPr>
              <w:spacing w:after="12" w:before="12"/>
            </w:pPr>
            <w:r>
              <w:rPr>
                <w:rFonts w:ascii="Arial" w:cs="Arial" w:eastAsia="Arial" w:hAnsi="Arial"/>
                <w:b/>
                <w:bCs/>
                <w:i w:val="false"/>
                <w:iCs w:val="false"/>
                <w:color w:val="000000"/>
                <w:sz w:val="14"/>
                <w:szCs w:val="14"/>
              </w:rPr>
              <w:t xml:space="preserve">Net debt / EBITDA</w:t>
            </w:r>
          </w:p>
        </w:tc>
        <w:tc>
          <w:tcPr>
            <w:tcW w:type="dxa" w:w="7706"/>
            <w:shd w:fill="E2EFDA" w:color="auto" w:val="clear"/>
            <w:tcMar>
              <w:top w:type="dxa" w:w="45"/>
              <w:left w:type="dxa" w:w="55"/>
              <w:bottom w:type="dxa" w:w="45"/>
              <w:right w:type="dxa" w:w="55"/>
            </w:tcMar>
            <w:vAlign w:val="top"/>
          </w:tcPr>
          <w:p>
            <w:pPr>
              <w:spacing w:after="12" w:before="12"/>
            </w:pPr>
            <w:r>
              <w:rPr>
                <w:rFonts w:ascii="Arial" w:cs="Arial" w:eastAsia="Arial" w:hAnsi="Arial"/>
                <w:b w:val="false"/>
                <w:bCs w:val="false"/>
                <w:i w:val="false"/>
                <w:iCs w:val="false"/>
                <w:color w:val="000000"/>
                <w:sz w:val="14"/>
                <w:szCs w:val="14"/>
              </w:rPr>
              <w:t xml:space="preserve">Net cash in FY2024, 0.10x in FY2025, 0.41x in FY2026, about 0.60x after the bond. Under 3.0x is the normal investment-grade zone for a retailer. The company has crossed a symbolic line, though: it no longer holds more cash than debt.</w:t>
            </w:r>
          </w:p>
        </w:tc>
      </w:tr>
      <w:tr>
        <w:tc>
          <w:tcPr>
            <w:tcW w:type="dxa" w:w="2500"/>
            <w:shd w:fill="E2EFDA" w:color="auto" w:val="clear"/>
            <w:tcMar>
              <w:top w:type="dxa" w:w="45"/>
              <w:left w:type="dxa" w:w="55"/>
              <w:bottom w:type="dxa" w:w="45"/>
              <w:right w:type="dxa" w:w="55"/>
            </w:tcMar>
            <w:vAlign w:val="top"/>
          </w:tcPr>
          <w:p>
            <w:pPr>
              <w:spacing w:after="12" w:before="12"/>
            </w:pPr>
            <w:r>
              <w:rPr>
                <w:rFonts w:ascii="Arial" w:cs="Arial" w:eastAsia="Arial" w:hAnsi="Arial"/>
                <w:b/>
                <w:bCs/>
                <w:i w:val="false"/>
                <w:iCs w:val="false"/>
                <w:color w:val="000000"/>
                <w:sz w:val="14"/>
                <w:szCs w:val="14"/>
              </w:rPr>
              <w:t xml:space="preserve">Interest coverage</w:t>
            </w:r>
          </w:p>
        </w:tc>
        <w:tc>
          <w:tcPr>
            <w:tcW w:type="dxa" w:w="7706"/>
            <w:shd w:fill="E2EFDA" w:color="auto" w:val="clear"/>
            <w:tcMar>
              <w:top w:type="dxa" w:w="45"/>
              <w:left w:type="dxa" w:w="55"/>
              <w:bottom w:type="dxa" w:w="45"/>
              <w:right w:type="dxa" w:w="55"/>
            </w:tcMar>
            <w:vAlign w:val="top"/>
          </w:tcPr>
          <w:p>
            <w:pPr>
              <w:spacing w:after="12" w:before="12"/>
            </w:pPr>
            <w:r>
              <w:rPr>
                <w:rFonts w:ascii="Arial" w:cs="Arial" w:eastAsia="Arial" w:hAnsi="Arial"/>
                <w:b w:val="false"/>
                <w:bCs w:val="false"/>
                <w:i w:val="false"/>
                <w:iCs w:val="false"/>
                <w:color w:val="000000"/>
                <w:sz w:val="14"/>
                <w:szCs w:val="14"/>
              </w:rPr>
              <w:t xml:space="preserve">29 times in FY2026, roughly 19 times after the bond; the company's own disclosed figure for Q1 FY27 is 21.65x. The fall from 58x is arithmetic, since the interest bill grows from almost nothing. Debt servicing does not constrain capacity; gearing does.</w:t>
            </w:r>
          </w:p>
        </w:tc>
      </w:tr>
      <w:tr>
        <w:tc>
          <w:tcPr>
            <w:tcW w:type="dxa" w:w="2500"/>
            <w:shd w:fill="FFF2CC" w:color="auto" w:val="clear"/>
            <w:tcMar>
              <w:top w:type="dxa" w:w="45"/>
              <w:left w:type="dxa" w:w="55"/>
              <w:bottom w:type="dxa" w:w="45"/>
              <w:right w:type="dxa" w:w="55"/>
            </w:tcMar>
            <w:vAlign w:val="top"/>
          </w:tcPr>
          <w:p>
            <w:pPr>
              <w:spacing w:after="12" w:before="12"/>
            </w:pPr>
            <w:r>
              <w:rPr>
                <w:rFonts w:ascii="Arial" w:cs="Arial" w:eastAsia="Arial" w:hAnsi="Arial"/>
                <w:b/>
                <w:bCs/>
                <w:i w:val="false"/>
                <w:iCs w:val="false"/>
                <w:color w:val="000000"/>
                <w:sz w:val="14"/>
                <w:szCs w:val="14"/>
              </w:rPr>
              <w:t xml:space="preserve">Cash flow from operations</w:t>
            </w:r>
          </w:p>
        </w:tc>
        <w:tc>
          <w:tcPr>
            <w:tcW w:type="dxa" w:w="7706"/>
            <w:shd w:fill="FFF2CC" w:color="auto" w:val="clear"/>
            <w:tcMar>
              <w:top w:type="dxa" w:w="45"/>
              <w:left w:type="dxa" w:w="55"/>
              <w:bottom w:type="dxa" w:w="45"/>
              <w:right w:type="dxa" w:w="55"/>
            </w:tcMar>
            <w:vAlign w:val="top"/>
          </w:tcPr>
          <w:p>
            <w:pPr>
              <w:spacing w:after="12" w:before="12"/>
            </w:pPr>
            <w:r>
              <w:rPr>
                <w:rFonts w:ascii="Arial" w:cs="Arial" w:eastAsia="Arial" w:hAnsi="Arial"/>
                <w:b w:val="false"/>
                <w:bCs w:val="false"/>
                <w:i w:val="false"/>
                <w:iCs w:val="false"/>
                <w:color w:val="000000"/>
                <w:sz w:val="14"/>
                <w:szCs w:val="14"/>
              </w:rPr>
              <w:t xml:space="preserve">Rs 3,467 crore against capex of Rs 4,113 crore, so free cash flow was negative Rs 647 crore after negative Rs 960 crore in FY2025. Conversion is healthy at about two-thirds of EBITDA, which is what makes a thin-margin retailer financeable. But CRISIL's rationale assumed internal accrual would cover capex with low dependence on borrowing, and that assumption has broken.</w:t>
            </w:r>
          </w:p>
        </w:tc>
      </w:tr>
      <w:tr>
        <w:tc>
          <w:tcPr>
            <w:tcW w:type="dxa" w:w="2500"/>
            <w:shd w:fill="FFF2CC" w:color="auto" w:val="clear"/>
            <w:tcMar>
              <w:top w:type="dxa" w:w="45"/>
              <w:left w:type="dxa" w:w="55"/>
              <w:bottom w:type="dxa" w:w="45"/>
              <w:right w:type="dxa" w:w="55"/>
            </w:tcMar>
            <w:vAlign w:val="top"/>
          </w:tcPr>
          <w:p>
            <w:pPr>
              <w:spacing w:after="12" w:before="12"/>
            </w:pPr>
            <w:r>
              <w:rPr>
                <w:rFonts w:ascii="Arial" w:cs="Arial" w:eastAsia="Arial" w:hAnsi="Arial"/>
                <w:b/>
                <w:bCs/>
                <w:i w:val="false"/>
                <w:iCs w:val="false"/>
                <w:color w:val="000000"/>
                <w:sz w:val="14"/>
                <w:szCs w:val="14"/>
              </w:rPr>
              <w:t xml:space="preserve">EBITDA margin</w:t>
            </w:r>
          </w:p>
        </w:tc>
        <w:tc>
          <w:tcPr>
            <w:tcW w:type="dxa" w:w="7706"/>
            <w:shd w:fill="FFF2CC" w:color="auto" w:val="clear"/>
            <w:tcMar>
              <w:top w:type="dxa" w:w="45"/>
              <w:left w:type="dxa" w:w="55"/>
              <w:bottom w:type="dxa" w:w="45"/>
              <w:right w:type="dxa" w:w="55"/>
            </w:tcMar>
            <w:vAlign w:val="top"/>
          </w:tcPr>
          <w:p>
            <w:pPr>
              <w:spacing w:after="12" w:before="12"/>
            </w:pPr>
            <w:r>
              <w:rPr>
                <w:rFonts w:ascii="Arial" w:cs="Arial" w:eastAsia="Arial" w:hAnsi="Arial"/>
                <w:b w:val="false"/>
                <w:bCs w:val="false"/>
                <w:i w:val="false"/>
                <w:iCs w:val="false"/>
                <w:color w:val="000000"/>
                <w:sz w:val="14"/>
                <w:szCs w:val="14"/>
              </w:rPr>
              <w:t xml:space="preserve">8.08% (FY24) to 7.56% (FY25) to 7.54% (FY26). Thin margins are normal in deep-discount grocery, so the level is not the issue; the steady erosion is. Newer stores below full productivity, a shift to lower-margin food and FMCG, and a 33% rise in employee costs are squeezing it. Revenue per square foot fell for the first time and like-for-like growth has halved since FY2023 to 8.1%.</w:t>
            </w:r>
          </w:p>
        </w:tc>
      </w:tr>
      <w:tr>
        <w:tc>
          <w:tcPr>
            <w:tcW w:type="dxa" w:w="2500"/>
            <w:shd w:fill="FCE4D6" w:color="auto" w:val="clear"/>
            <w:tcMar>
              <w:top w:type="dxa" w:w="45"/>
              <w:left w:type="dxa" w:w="55"/>
              <w:bottom w:type="dxa" w:w="45"/>
              <w:right w:type="dxa" w:w="55"/>
            </w:tcMar>
            <w:vAlign w:val="top"/>
          </w:tcPr>
          <w:p>
            <w:pPr>
              <w:spacing w:after="12" w:before="12"/>
            </w:pPr>
            <w:r>
              <w:rPr>
                <w:rFonts w:ascii="Arial" w:cs="Arial" w:eastAsia="Arial" w:hAnsi="Arial"/>
                <w:b/>
                <w:bCs/>
                <w:i w:val="false"/>
                <w:iCs w:val="false"/>
                <w:color w:val="000000"/>
                <w:sz w:val="14"/>
                <w:szCs w:val="14"/>
              </w:rPr>
              <w:t xml:space="preserve">Sector outlook</w:t>
            </w:r>
          </w:p>
        </w:tc>
        <w:tc>
          <w:tcPr>
            <w:tcW w:type="dxa" w:w="7706"/>
            <w:shd w:fill="FCE4D6" w:color="auto" w:val="clear"/>
            <w:tcMar>
              <w:top w:type="dxa" w:w="45"/>
              <w:left w:type="dxa" w:w="55"/>
              <w:bottom w:type="dxa" w:w="45"/>
              <w:right w:type="dxa" w:w="55"/>
            </w:tcMar>
            <w:vAlign w:val="top"/>
          </w:tcPr>
          <w:p>
            <w:pPr>
              <w:spacing w:after="12" w:before="12"/>
            </w:pPr>
            <w:r>
              <w:rPr>
                <w:rFonts w:ascii="Arial" w:cs="Arial" w:eastAsia="Arial" w:hAnsi="Arial"/>
                <w:b w:val="false"/>
                <w:bCs w:val="false"/>
                <w:i w:val="false"/>
                <w:iCs w:val="false"/>
                <w:color w:val="000000"/>
                <w:sz w:val="14"/>
                <w:szCs w:val="14"/>
              </w:rPr>
              <w:t xml:space="preserve">The principal risk. Organised grocery is only about 6% of the Indian market, so the opportunity is real, but quick commerce is growing aggressively in DMart's core categories. DMart Ready has never been profitable in seven years, losing about Rs 1,235 crore cumulatively and Rs 307 crore in FY2026, and has retreated from 24 cities to 11. Cutting losses is sensible but means there is no profitable online answer yet. The shares are down about 19%.</w:t>
            </w:r>
          </w:p>
        </w:tc>
      </w:tr>
      <w:tr>
        <w:tc>
          <w:tcPr>
            <w:tcW w:type="dxa" w:w="2500"/>
            <w:shd w:fill="E2EFDA" w:color="auto" w:val="clear"/>
            <w:tcMar>
              <w:top w:type="dxa" w:w="45"/>
              <w:left w:type="dxa" w:w="55"/>
              <w:bottom w:type="dxa" w:w="45"/>
              <w:right w:type="dxa" w:w="55"/>
            </w:tcMar>
            <w:vAlign w:val="top"/>
          </w:tcPr>
          <w:p>
            <w:pPr>
              <w:spacing w:after="12" w:before="12"/>
            </w:pPr>
            <w:r>
              <w:rPr>
                <w:rFonts w:ascii="Arial" w:cs="Arial" w:eastAsia="Arial" w:hAnsi="Arial"/>
                <w:b/>
                <w:bCs/>
                <w:i w:val="false"/>
                <w:iCs w:val="false"/>
                <w:color w:val="000000"/>
                <w:sz w:val="14"/>
                <w:szCs w:val="14"/>
              </w:rPr>
              <w:t xml:space="preserve">Governance / promoter confidence</w:t>
            </w:r>
          </w:p>
        </w:tc>
        <w:tc>
          <w:tcPr>
            <w:tcW w:type="dxa" w:w="7706"/>
            <w:shd w:fill="E2EFDA" w:color="auto" w:val="clear"/>
            <w:tcMar>
              <w:top w:type="dxa" w:w="45"/>
              <w:left w:type="dxa" w:w="55"/>
              <w:bottom w:type="dxa" w:w="45"/>
              <w:right w:type="dxa" w:w="55"/>
            </w:tcMar>
            <w:vAlign w:val="top"/>
          </w:tcPr>
          <w:p>
            <w:pPr>
              <w:spacing w:after="12" w:before="12"/>
            </w:pPr>
            <w:r>
              <w:rPr>
                <w:rFonts w:ascii="Arial" w:cs="Arial" w:eastAsia="Arial" w:hAnsi="Arial"/>
                <w:b w:val="false"/>
                <w:bCs w:val="false"/>
                <w:i w:val="false"/>
                <w:iCs w:val="false"/>
                <w:color w:val="000000"/>
                <w:sz w:val="14"/>
                <w:szCs w:val="14"/>
              </w:rPr>
              <w:t xml:space="preserve">The strongest factor. Promoters hold 74.48% and have not sold down, and not a single promoter share is pledged or encumbered, which is among the first things an Indian lender checks. CRISIL cites a 44% independent board, 33% women directors and separated chairman and CEO roles. SES assigned an unsolicited ESG rating of 69.5 for FY2026.</w:t>
            </w:r>
          </w:p>
        </w:tc>
      </w:tr>
    </w:tbl>
    <w:p>
      <w:pPr>
        <w:spacing w:after="80" w:before="55"/>
      </w:pPr>
      <w:r>
        <w:rPr>
          <w:rFonts w:ascii="Arial" w:cs="Arial" w:eastAsia="Arial" w:hAnsi="Arial"/>
          <w:b/>
          <w:bCs/>
          <w:i w:val="false"/>
          <w:iCs w:val="false"/>
          <w:color w:val="000000"/>
          <w:sz w:val="16"/>
          <w:szCs w:val="16"/>
        </w:rPr>
        <w:t xml:space="preserve">The risk does not sit in the balance sheet. It sits in the income statement and the sector.</w:t>
      </w:r>
    </w:p>
    <w:p>
      <w:pPr>
        <w:pStyle w:val="Heading1"/>
        <w:spacing w:after="60" w:before="130"/>
      </w:pPr>
      <w:r>
        <w:rPr>
          <w:rFonts w:ascii="Arial" w:cs="Arial" w:eastAsia="Arial" w:hAnsi="Arial"/>
          <w:b/>
          <w:bCs/>
          <w:color w:val="1F3864"/>
          <w:sz w:val="20"/>
          <w:szCs w:val="20"/>
        </w:rPr>
        <w:t xml:space="preserve">4. Investment banking role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800"/>
        <w:gridCol w:w="8406"/>
      </w:tblGrid>
      <w:tr>
        <w:trPr>
          <w:tblHeader/>
        </w:trPr>
        <w:tc>
          <w:tcPr>
            <w:tcW w:type="dxa" w:w="1800"/>
            <w:shd w:fill="1F3864" w:color="auto" w:val="clear"/>
            <w:tcMar>
              <w:top w:type="dxa" w:w="45"/>
              <w:left w:type="dxa" w:w="55"/>
              <w:bottom w:type="dxa" w:w="45"/>
              <w:right w:type="dxa" w:w="55"/>
            </w:tcMar>
            <w:vAlign w:val="top"/>
          </w:tcPr>
          <w:p>
            <w:pPr>
              <w:spacing w:after="12" w:before="12"/>
            </w:pPr>
            <w:r>
              <w:rPr>
                <w:rFonts w:ascii="Arial" w:cs="Arial" w:eastAsia="Arial" w:hAnsi="Arial"/>
                <w:b/>
                <w:bCs/>
                <w:i w:val="false"/>
                <w:iCs w:val="false"/>
                <w:color w:val="FFFFFF"/>
                <w:sz w:val="15"/>
                <w:szCs w:val="15"/>
              </w:rPr>
              <w:t xml:space="preserve">Role</w:t>
            </w:r>
          </w:p>
        </w:tc>
        <w:tc>
          <w:tcPr>
            <w:tcW w:type="dxa" w:w="8406"/>
            <w:shd w:fill="1F3864" w:color="auto" w:val="clear"/>
            <w:tcMar>
              <w:top w:type="dxa" w:w="45"/>
              <w:left w:type="dxa" w:w="55"/>
              <w:bottom w:type="dxa" w:w="45"/>
              <w:right w:type="dxa" w:w="55"/>
            </w:tcMar>
            <w:vAlign w:val="top"/>
          </w:tcPr>
          <w:p>
            <w:pPr>
              <w:spacing w:after="12" w:before="12"/>
            </w:pPr>
            <w:r>
              <w:rPr>
                <w:rFonts w:ascii="Arial" w:cs="Arial" w:eastAsia="Arial" w:hAnsi="Arial"/>
                <w:b/>
                <w:bCs/>
                <w:i w:val="false"/>
                <w:iCs w:val="false"/>
                <w:color w:val="FFFFFF"/>
                <w:sz w:val="15"/>
                <w:szCs w:val="15"/>
              </w:rPr>
              <w:t xml:space="preserve">What the bank would do on this mandate</w:t>
            </w:r>
          </w:p>
        </w:tc>
      </w:tr>
      <w:tr>
        <w:tc>
          <w:tcPr>
            <w:tcW w:type="dxa" w:w="1800"/>
            <w:shd w:fill="D9E2F3" w:color="auto" w:val="clear"/>
            <w:tcMar>
              <w:top w:type="dxa" w:w="45"/>
              <w:left w:type="dxa" w:w="55"/>
              <w:bottom w:type="dxa" w:w="45"/>
              <w:right w:type="dxa" w:w="55"/>
            </w:tcMar>
            <w:vAlign w:val="top"/>
          </w:tcPr>
          <w:p>
            <w:pPr>
              <w:spacing w:after="12" w:before="12"/>
            </w:pPr>
            <w:r>
              <w:rPr>
                <w:rFonts w:ascii="Arial" w:cs="Arial" w:eastAsia="Arial" w:hAnsi="Arial"/>
                <w:b/>
                <w:bCs/>
                <w:i w:val="false"/>
                <w:iCs w:val="false"/>
                <w:color w:val="000000"/>
                <w:sz w:val="14"/>
                <w:szCs w:val="14"/>
              </w:rPr>
              <w:t xml:space="preserve">Structuring</w:t>
            </w:r>
          </w:p>
        </w:tc>
        <w:tc>
          <w:tcPr>
            <w:tcW w:type="dxa" w:w="8406"/>
            <w:shd w:fill="D9E2F3" w:color="auto" w:val="clear"/>
            <w:tcMar>
              <w:top w:type="dxa" w:w="45"/>
              <w:left w:type="dxa" w:w="55"/>
              <w:bottom w:type="dxa" w:w="45"/>
              <w:right w:type="dxa" w:w="55"/>
            </w:tcMar>
            <w:vAlign w:val="top"/>
          </w:tcPr>
          <w:p>
            <w:pPr>
              <w:spacing w:after="12" w:before="12"/>
            </w:pPr>
            <w:r>
              <w:rPr>
                <w:rFonts w:ascii="Arial" w:cs="Arial" w:eastAsia="Arial" w:hAnsi="Arial"/>
                <w:b w:val="false"/>
                <w:bCs w:val="false"/>
                <w:i w:val="false"/>
                <w:iCs w:val="false"/>
                <w:color w:val="000000"/>
                <w:sz w:val="14"/>
                <w:szCs w:val="14"/>
              </w:rPr>
              <w:t xml:space="preserve">A plain senior unsecured fixed-rate NCD, listed on BSE, privately placed under the SEBI NCS Regulations, with a debenture trustee and the electronic bidding platform used for allotment.</w:t>
            </w:r>
          </w:p>
          <w:p>
            <w:pPr>
              <w:spacing w:after="12" w:before="26"/>
            </w:pPr>
            <w:r>
              <w:rPr>
                <w:rFonts w:ascii="Arial" w:cs="Arial" w:eastAsia="Arial" w:hAnsi="Arial"/>
                <w:b w:val="false"/>
                <w:bCs w:val="false"/>
                <w:i w:val="false"/>
                <w:iCs w:val="false"/>
                <w:color w:val="000000"/>
                <w:sz w:val="14"/>
                <w:szCs w:val="14"/>
              </w:rPr>
              <w:t xml:space="preserve">Keep it unsecured: for a AAA issuer, security would signal weakness, encumber the store property and complicate future raises for little pricing gain. Split into two or three tranches, say 3-year and 5-year, so pricing is not locked to one point on the curve and maturities do not fall together. Bullet repayment, no conversion feature, no credit enhancement needed at AAA.</w:t>
            </w:r>
          </w:p>
        </w:tc>
      </w:tr>
      <w:tr>
        <w:tc>
          <w:tcPr>
            <w:tcW w:type="dxa" w:w="1800"/>
            <w:tcMar>
              <w:top w:type="dxa" w:w="45"/>
              <w:left w:type="dxa" w:w="55"/>
              <w:bottom w:type="dxa" w:w="45"/>
              <w:right w:type="dxa" w:w="55"/>
            </w:tcMar>
            <w:vAlign w:val="top"/>
          </w:tcPr>
          <w:p>
            <w:pPr>
              <w:spacing w:after="12" w:before="12"/>
            </w:pPr>
            <w:r>
              <w:rPr>
                <w:rFonts w:ascii="Arial" w:cs="Arial" w:eastAsia="Arial" w:hAnsi="Arial"/>
                <w:b/>
                <w:bCs/>
                <w:i w:val="false"/>
                <w:iCs w:val="false"/>
                <w:color w:val="000000"/>
                <w:sz w:val="14"/>
                <w:szCs w:val="14"/>
              </w:rPr>
              <w:t xml:space="preserve">Valuation and pricing</w:t>
            </w:r>
          </w:p>
        </w:tc>
        <w:tc>
          <w:tcPr>
            <w:tcW w:type="dxa" w:w="8406"/>
            <w:tcMar>
              <w:top w:type="dxa" w:w="45"/>
              <w:left w:type="dxa" w:w="55"/>
              <w:bottom w:type="dxa" w:w="45"/>
              <w:right w:type="dxa" w:w="55"/>
            </w:tcMar>
            <w:vAlign w:val="top"/>
          </w:tcPr>
          <w:p>
            <w:pPr>
              <w:spacing w:after="12" w:before="12"/>
            </w:pPr>
            <w:r>
              <w:rPr>
                <w:rFonts w:ascii="Arial" w:cs="Arial" w:eastAsia="Arial" w:hAnsi="Arial"/>
                <w:b w:val="false"/>
                <w:bCs w:val="false"/>
                <w:i w:val="false"/>
                <w:iCs w:val="false"/>
                <w:color w:val="000000"/>
                <w:sz w:val="14"/>
                <w:szCs w:val="14"/>
              </w:rPr>
              <w:t xml:space="preserve">Price off the government curve. With the 10-year G-Sec near 6.96% and repo at 5.25%, a 3 to 5 year AAA corporate clears at roughly 40 to 70 basis points over the sovereign: an indicative coupon of 7.25% to 7.60%, or about 5.4% to 5.7% post-tax.</w:t>
            </w:r>
          </w:p>
          <w:p>
            <w:pPr>
              <w:spacing w:after="12" w:before="26"/>
            </w:pPr>
            <w:r>
              <w:rPr>
                <w:rFonts w:ascii="Arial" w:cs="Arial" w:eastAsia="Arial" w:hAnsi="Arial"/>
                <w:b w:val="false"/>
                <w:bCs w:val="false"/>
                <w:i w:val="false"/>
                <w:iCs w:val="false"/>
                <w:color w:val="000000"/>
                <w:sz w:val="14"/>
                <w:szCs w:val="14"/>
              </w:rPr>
              <w:t xml:space="preserve">The bank defends that spread using DMart's own evidence: interest cover of 29 times, gearing of 0.10x against a 0.20x trigger, and an ICRA A1+ commercial paper programme that cleared at 6.40% for 90-day money in September 2026. The gap between 6.40% and roughly 7.4% is the term premium investors are being asked to accept, and is the central negotiation.</w:t>
            </w:r>
          </w:p>
        </w:tc>
      </w:tr>
      <w:tr>
        <w:tc>
          <w:tcPr>
            <w:tcW w:type="dxa" w:w="1800"/>
            <w:shd w:fill="D9E2F3" w:color="auto" w:val="clear"/>
            <w:tcMar>
              <w:top w:type="dxa" w:w="45"/>
              <w:left w:type="dxa" w:w="55"/>
              <w:bottom w:type="dxa" w:w="45"/>
              <w:right w:type="dxa" w:w="55"/>
            </w:tcMar>
            <w:vAlign w:val="top"/>
          </w:tcPr>
          <w:p>
            <w:pPr>
              <w:spacing w:after="12" w:before="12"/>
            </w:pPr>
            <w:r>
              <w:rPr>
                <w:rFonts w:ascii="Arial" w:cs="Arial" w:eastAsia="Arial" w:hAnsi="Arial"/>
                <w:b/>
                <w:bCs/>
                <w:i w:val="false"/>
                <w:iCs w:val="false"/>
                <w:color w:val="000000"/>
                <w:sz w:val="14"/>
                <w:szCs w:val="14"/>
              </w:rPr>
              <w:t xml:space="preserve">Investor targeting</w:t>
            </w:r>
          </w:p>
        </w:tc>
        <w:tc>
          <w:tcPr>
            <w:tcW w:type="dxa" w:w="8406"/>
            <w:shd w:fill="D9E2F3" w:color="auto" w:val="clear"/>
            <w:tcMar>
              <w:top w:type="dxa" w:w="45"/>
              <w:left w:type="dxa" w:w="55"/>
              <w:bottom w:type="dxa" w:w="45"/>
              <w:right w:type="dxa" w:w="55"/>
            </w:tcMar>
            <w:vAlign w:val="top"/>
          </w:tcPr>
          <w:p>
            <w:pPr>
              <w:spacing w:after="12" w:before="12"/>
            </w:pPr>
            <w:r>
              <w:rPr>
                <w:rFonts w:ascii="Arial" w:cs="Arial" w:eastAsia="Arial" w:hAnsi="Arial"/>
                <w:b w:val="false"/>
                <w:bCs w:val="false"/>
                <w:i w:val="false"/>
                <w:iCs w:val="false"/>
                <w:color w:val="000000"/>
                <w:sz w:val="14"/>
                <w:szCs w:val="14"/>
              </w:rPr>
              <w:t xml:space="preserve">Institutions needing high-grade rupee paper. Insurance companies and pension funds anchor the 5-year tranche, since they match long liabilities and are restricted to top-rated bonds; mutual fund corporate bond and short-duration schemes take the 3-year; bank treasuries take size at AAA.</w:t>
            </w:r>
          </w:p>
          <w:p>
            <w:pPr>
              <w:spacing w:after="12" w:before="26"/>
            </w:pPr>
            <w:r>
              <w:rPr>
                <w:rFonts w:ascii="Arial" w:cs="Arial" w:eastAsia="Arial" w:hAnsi="Arial"/>
                <w:b w:val="false"/>
                <w:bCs w:val="false"/>
                <w:i w:val="false"/>
                <w:iCs w:val="false"/>
                <w:color w:val="000000"/>
                <w:sz w:val="14"/>
                <w:szCs w:val="14"/>
              </w:rPr>
              <w:t xml:space="preserve">ICICI Prudential, SBI Mutual Fund and Nippon India are already equity holders and met management in July 2026, so their debt desks are warm introductions. FPIs can participate through the corporate debt route, with ample room: only 9.28% of the 49% foreign ownership limit is used. Retail is not a target, since private placement is institutional by design.</w:t>
            </w:r>
          </w:p>
        </w:tc>
      </w:tr>
    </w:tbl>
    <w:p>
      <w:pPr>
        <w:pStyle w:val="Heading1"/>
        <w:spacing w:after="60" w:before="130"/>
      </w:pPr>
      <w:r>
        <w:rPr>
          <w:rFonts w:ascii="Arial" w:cs="Arial" w:eastAsia="Arial" w:hAnsi="Arial"/>
          <w:b/>
          <w:bCs/>
          <w:color w:val="1F3864"/>
          <w:sz w:val="20"/>
          <w:szCs w:val="20"/>
        </w:rPr>
        <w:t xml:space="preserve">5. Recommendation</w:t>
      </w:r>
    </w:p>
    <w:p>
      <w:pPr>
        <w:spacing w:after="80" w:before="0"/>
      </w:pPr>
      <w:r>
        <w:rPr>
          <w:rFonts w:ascii="Arial" w:cs="Arial" w:eastAsia="Arial" w:hAnsi="Arial"/>
          <w:b/>
          <w:bCs/>
          <w:i w:val="false"/>
          <w:iCs w:val="false"/>
          <w:color w:val="000000"/>
          <w:sz w:val="18"/>
          <w:szCs w:val="18"/>
        </w:rPr>
        <w:t xml:space="preserve">Raise Rs 1,000 crore through the approved and AAA-rated NCD, at a fixed coupon of approximately 7.25% to 7.60% over 3 to 5 years, in two or three tranches.</w:t>
      </w:r>
    </w:p>
    <w:p>
      <w:pPr>
        <w:spacing w:after="80" w:before="0"/>
      </w:pPr>
      <w:r>
        <w:rPr>
          <w:rFonts w:ascii="Arial" w:cs="Arial" w:eastAsia="Arial" w:hAnsi="Arial"/>
          <w:b w:val="false"/>
          <w:bCs w:val="false"/>
          <w:i w:val="false"/>
          <w:iCs w:val="false"/>
          <w:color w:val="000000"/>
          <w:sz w:val="17"/>
          <w:szCs w:val="17"/>
        </w:rPr>
        <w:t xml:space="preserve">It is the cheapest capital whose tenor matches a 20-year owned store, it costs no ownership at a moment when the share price sits near its 52-week low, and the rating agency has already confirmed the company can carry it at AAA. Equity is twice as expensive for a 0.42% dilution at the wrong price; commercial paper would mean refinancing a 20-year asset every 90 days.</w:t>
      </w:r>
    </w:p>
    <w:p>
      <w:pPr>
        <w:spacing w:after="80" w:before="0"/>
      </w:pPr>
      <w:r>
        <w:rPr>
          <w:rFonts w:ascii="Arial" w:cs="Arial" w:eastAsia="Arial" w:hAnsi="Arial"/>
          <w:b w:val="false"/>
          <w:bCs w:val="false"/>
          <w:i w:val="false"/>
          <w:iCs w:val="false"/>
          <w:color w:val="000000"/>
          <w:sz w:val="17"/>
          <w:szCs w:val="17"/>
        </w:rPr>
        <w:t xml:space="preserve">Four conditions attach: size the issue to the actual annual funding gap rather than to available capacity; stagger the tranches so the coupon is not set at a single point on the curve; apply part of the proceeds to retiring the Rs 380 crore overdraft and ending the commercial paper rollover, which is credit-positive on its own; and hold gearing below 0.15x, keeping a deliberate buffer beneath CRISIL's 0.20x trigger, so the raise after this one remains a choice rather than a necessity.</w:t>
      </w:r>
    </w:p>
    <w:sectPr>
      <w:pgSz w:w="11906" w:h="16838" w:orient="portrait"/>
      <w:pgMar w:top="620" w:right="900" w:bottom="56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DMart - Short Note</dc:title>
  <dc:creator>Assignment 2</dc:creator>
  <cp:lastModifiedBy>Un-named</cp:lastModifiedBy>
  <cp:revision>1</cp:revision>
  <dcterms:created xsi:type="dcterms:W3CDTF">2026-09-17T19:34:05.654Z</dcterms:created>
  <dcterms:modified xsi:type="dcterms:W3CDTF">2026-09-17T19:34:05.662Z</dcterms:modified>
</cp:coreProperties>
</file>

<file path=docProps/custom.xml><?xml version="1.0" encoding="utf-8"?>
<Properties xmlns="http://schemas.openxmlformats.org/officeDocument/2006/custom-properties" xmlns:vt="http://schemas.openxmlformats.org/officeDocument/2006/docPropsVTypes"/>
</file>