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28"/>
          <w:szCs w:val="28"/>
        </w:rPr>
        <w:t xml:space="preserve">Comparison with the Credit Rating Agency View</w:t>
      </w:r>
    </w:p>
    <w:p>
      <w:pPr>
        <w:spacing w:after="180"/>
      </w:pPr>
      <w:r>
        <w:rPr>
          <w:rFonts w:ascii="Arial" w:hAnsi="Arial"/>
          <w:sz w:val="18"/>
        </w:rPr>
        <w:t>Read only after my independent assessment was complete. Source: ICRA rating rationale for Ashok Leyland Limited, 2 June 2026.</w:t>
      </w:r>
    </w:p>
    <w:p>
      <w:pPr>
        <w:spacing w:after="100" w:before="0"/>
      </w:pPr>
      <w:r>
        <w:rPr>
          <w:rFonts w:ascii="Arial" w:cs="Arial" w:eastAsia="Arial" w:hAnsi="Arial"/>
          <w:b w:val="false"/>
          <w:bCs w:val="false"/>
          <w:sz w:val="20"/>
          <w:szCs w:val="20"/>
        </w:rPr>
        <w:t xml:space="preserve"/>
      </w:r>
      <w:r>
        <w:rPr>
          <w:rFonts w:ascii="Arial" w:cs="Arial" w:eastAsia="Arial" w:hAnsi="Arial"/>
          <w:b/>
          <w:bCs/>
          <w:sz w:val="20"/>
          <w:szCs w:val="20"/>
        </w:rPr>
        <w:t xml:space="preserve">The agency's rating.</w:t>
      </w:r>
      <w:r>
        <w:rPr>
          <w:rFonts w:ascii="Arial" w:cs="Arial" w:eastAsia="Arial" w:hAnsi="Arial"/>
          <w:b w:val="false"/>
          <w:bCs w:val="false"/>
          <w:sz w:val="20"/>
          <w:szCs w:val="20"/>
        </w:rPr>
        <w:t xml:space="preserve"> ICRA reaffirmed [ICRA]AA+ (Stable) on the ₹200 cr debenture, term loans and long-term bank facilities, and [ICRA]A1+ on the ₹2,000 cr commercial paper programme, across ₹7,479 cr of rated debt. The long-term rating was upgraded from AA to AA+ in September 2024 and has been stable since. ICRA calls liquidity 'Strong' and applies no parent or group support.</w:t>
      </w:r>
    </w:p>
    <w:p>
      <w:pPr>
        <w:spacing w:after="100" w:before="180"/>
      </w:pPr>
      <w:r>
        <w:rPr>
          <w:rFonts w:ascii="Arial" w:cs="Arial" w:eastAsia="Arial" w:hAnsi="Arial"/>
          <w:b/>
          <w:bCs/>
          <w:color w:val="1F3864"/>
          <w:sz w:val="22"/>
          <w:szCs w:val="22"/>
        </w:rPr>
        <w:t xml:space="preserve">Where we agree</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4050"/>
      </w:tblGrid>
      <w:tr>
        <w:trPr>
          <w:tblHeader/>
        </w:trPr>
        <w:tc>
          <w:tcPr>
            <w:tcW w:type="dxa" w:w="2400"/>
            <w:tcBorders>
              <w:top w:val="single" w:color="9CA3AF" w:sz="4"/>
              <w:left w:val="single" w:color="9CA3AF" w:sz="4"/>
              <w:bottom w:val="single" w:color="9CA3AF" w:sz="4"/>
              <w:right w:val="single" w:color="9CA3AF" w:sz="4"/>
            </w:tcBorders>
            <w:shd w:fill="1F3864" w:color="auto" w:val="clear"/>
            <w:tcMar>
              <w:top w:type="dxa" w:w="50"/>
              <w:left w:type="dxa" w:w="80"/>
              <w:bottom w:type="dxa" w:w="50"/>
              <w:right w:type="dxa" w:w="80"/>
            </w:tcMar>
            <w:vAlign w:val="center"/>
          </w:tcPr>
          <w:p>
            <w:r>
              <w:rPr>
                <w:rFonts w:ascii="Arial" w:hAnsi="Arial"/>
                <w:sz w:val="18"/>
              </w:rPr>
              <w:t>Point</w:t>
            </w:r>
          </w:p>
        </w:tc>
        <w:tc>
          <w:tcPr>
            <w:tcW w:type="dxa" w:w="3900"/>
            <w:tcBorders>
              <w:top w:val="single" w:color="9CA3AF" w:sz="4"/>
              <w:left w:val="single" w:color="9CA3AF" w:sz="4"/>
              <w:bottom w:val="single" w:color="9CA3AF" w:sz="4"/>
              <w:right w:val="single" w:color="9CA3AF" w:sz="4"/>
            </w:tcBorders>
            <w:shd w:fill="1F3864" w:color="auto" w:val="clear"/>
            <w:tcMar>
              <w:top w:type="dxa" w:w="50"/>
              <w:left w:type="dxa" w:w="80"/>
              <w:bottom w:type="dxa" w:w="50"/>
              <w:right w:type="dxa" w:w="80"/>
            </w:tcMar>
            <w:vAlign w:val="center"/>
          </w:tcPr>
          <w:p>
            <w:r>
              <w:rPr>
                <w:rFonts w:ascii="Arial" w:hAnsi="Arial"/>
                <w:sz w:val="18"/>
              </w:rPr>
              <w:t>My view</w:t>
            </w:r>
          </w:p>
        </w:tc>
        <w:tc>
          <w:tcPr>
            <w:tcW w:type="dxa" w:w="4050"/>
            <w:tcBorders>
              <w:top w:val="single" w:color="9CA3AF" w:sz="4"/>
              <w:left w:val="single" w:color="9CA3AF" w:sz="4"/>
              <w:bottom w:val="single" w:color="9CA3AF" w:sz="4"/>
              <w:right w:val="single" w:color="9CA3AF" w:sz="4"/>
            </w:tcBorders>
            <w:shd w:fill="1F3864" w:color="auto" w:val="clear"/>
            <w:tcMar>
              <w:top w:type="dxa" w:w="50"/>
              <w:left w:type="dxa" w:w="80"/>
              <w:bottom w:type="dxa" w:w="50"/>
              <w:right w:type="dxa" w:w="80"/>
            </w:tcMar>
            <w:vAlign w:val="center"/>
          </w:tcPr>
          <w:p>
            <w:r>
              <w:rPr>
                <w:rFonts w:ascii="Arial" w:hAnsi="Arial"/>
                <w:sz w:val="18"/>
              </w:rPr>
              <w:t>ICRA</w:t>
            </w:r>
          </w:p>
        </w:tc>
      </w:tr>
      <w:tr>
        <w:tc>
          <w:tcPr>
            <w:tcW w:type="dxa" w:w="24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Market position</w:t>
            </w:r>
          </w:p>
        </w:tc>
        <w:tc>
          <w:tcPr>
            <w:tcW w:type="dxa" w:w="39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Strong. No. 2 in M&amp;HCV; leader in buses.</w:t>
            </w:r>
          </w:p>
        </w:tc>
        <w:tc>
          <w:tcPr>
            <w:tcW w:type="dxa" w:w="40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Second largest; M&amp;HCV share 30.0%, LCV 12.3%, bus 31.5% in FY26.</w:t>
            </w:r>
          </w:p>
        </w:tc>
      </w:tr>
      <w:tr>
        <w:tc>
          <w:tcPr>
            <w:tcW w:type="dxa" w:w="24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Margins</w:t>
            </w:r>
          </w:p>
        </w:tc>
        <w:tc>
          <w:tcPr>
            <w:tcW w:type="dxa" w:w="39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EBITDA margin improved 12.0% → 13.0%.</w:t>
            </w:r>
          </w:p>
        </w:tc>
        <w:tc>
          <w:tcPr>
            <w:tcW w:type="dxa" w:w="40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Steady improvement from lower costs, better product mix and operating leverage.</w:t>
            </w:r>
          </w:p>
        </w:tc>
      </w:tr>
      <w:tr>
        <w:tc>
          <w:tcPr>
            <w:tcW w:type="dxa" w:w="24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Leverage</w:t>
            </w:r>
          </w:p>
        </w:tc>
        <w:tc>
          <w:tcPr>
            <w:tcW w:type="dxa" w:w="39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Net cash ₹5,856 cr; debt/EBITDA 0.21x.</w:t>
            </w:r>
          </w:p>
        </w:tc>
        <w:tc>
          <w:tcPr>
            <w:tcW w:type="dxa" w:w="40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Net gearing −0.4x; total debt/OPBDIT 0.3x.</w:t>
            </w:r>
          </w:p>
        </w:tc>
      </w:tr>
      <w:tr>
        <w:tc>
          <w:tcPr>
            <w:tcW w:type="dxa" w:w="24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Liquidity</w:t>
            </w:r>
          </w:p>
        </w:tc>
        <w:tc>
          <w:tcPr>
            <w:tcW w:type="dxa" w:w="39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Strong; near-term debt covered ~14x.</w:t>
            </w:r>
          </w:p>
        </w:tc>
        <w:tc>
          <w:tcPr>
            <w:tcW w:type="dxa" w:w="40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Strong; FY27 repayments of ₹676 cr against large cash and credit lines.</w:t>
            </w:r>
          </w:p>
        </w:tc>
      </w:tr>
      <w:tr>
        <w:tc>
          <w:tcPr>
            <w:tcW w:type="dxa" w:w="24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Main risk</w:t>
            </w:r>
          </w:p>
        </w:tc>
        <w:tc>
          <w:tcPr>
            <w:tcW w:type="dxa" w:w="39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Cyclical CV market.</w:t>
            </w:r>
          </w:p>
        </w:tc>
        <w:tc>
          <w:tcPr>
            <w:tcW w:type="dxa" w:w="40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Cyclical market and competition; ~85% of revenue comes from CVs.</w:t>
            </w:r>
          </w:p>
        </w:tc>
      </w:tr>
      <w:tr>
        <w:tc>
          <w:tcPr>
            <w:tcW w:type="dxa" w:w="24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Group/EV drag</w:t>
            </w:r>
          </w:p>
        </w:tc>
        <w:tc>
          <w:tcPr>
            <w:tcW w:type="dxa" w:w="390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Cash going to loss-making EV units.</w:t>
            </w:r>
          </w:p>
        </w:tc>
        <w:tc>
          <w:tcPr>
            <w:tcW w:type="dxa" w:w="4050"/>
            <w:tcBorders>
              <w:top w:val="single" w:color="9CA3AF" w:sz="4"/>
              <w:left w:val="single" w:color="9CA3AF" w:sz="4"/>
              <w:bottom w:val="single" w:color="9CA3AF" w:sz="4"/>
              <w:right w:val="single" w:color="9CA3AF" w:sz="4"/>
            </w:tcBorders>
            <w:tcMar>
              <w:top w:type="dxa" w:w="50"/>
              <w:left w:type="dxa" w:w="80"/>
              <w:bottom w:type="dxa" w:w="50"/>
              <w:right w:type="dxa" w:w="80"/>
            </w:tcMar>
            <w:vAlign w:val="center"/>
          </w:tcPr>
          <w:p>
            <w:r>
              <w:rPr>
                <w:rFonts w:ascii="Arial" w:hAnsi="Arial"/>
                <w:sz w:val="18"/>
              </w:rPr>
              <w:t>Weak performance of some investee companies.</w:t>
            </w:r>
          </w:p>
        </w:tc>
      </w:tr>
    </w:tbl>
    <w:p>
      <w:pPr>
        <w:spacing w:after="100" w:before="180"/>
      </w:pPr>
      <w:r>
        <w:rPr>
          <w:rFonts w:ascii="Arial" w:cs="Arial" w:eastAsia="Arial" w:hAnsi="Arial"/>
          <w:b/>
          <w:bCs/>
          <w:color w:val="1F3864"/>
          <w:sz w:val="22"/>
          <w:szCs w:val="22"/>
        </w:rPr>
        <w:t xml:space="preserve">Where we differ, and what I take from it</w:t>
      </w:r>
    </w:p>
    <w:p>
      <w:pPr>
        <w:spacing w:after="100" w:before="0"/>
      </w:pPr>
      <w:r>
        <w:rPr>
          <w:rFonts w:ascii="Arial" w:hAnsi="Arial"/>
          <w:sz w:val="18"/>
        </w:rPr>
        <w:t>1. I gave too little weight to future spending. ICRA points to planned annual capex and investment of about ₹1,800 cr, including EVs, partly funded by debt. FY26 actual capex was ₹1,050 cr, but future commitments are larger. This is the strongest reason for AA+ rather than a higher rating, and my analysis focused too much on past spending.</w:t>
      </w:r>
    </w:p>
    <w:p>
      <w:pPr>
        <w:spacing w:after="100" w:before="0"/>
      </w:pPr>
      <w:r>
        <w:rPr>
          <w:rFonts w:ascii="Arial" w:hAnsi="Arial"/>
          <w:sz w:val="18"/>
        </w:rPr>
        <w:t>2. Basis of analysis. I used standalone figures and looked at group exposure separately. ICRA consolidates the group, then removes the NBFC for ratio calculations, but still considers possible funding support to HLF. ICRA therefore captures group risk more directly, while my approach shows the core vehicle business more clearly. Both approaches are reasonable, but ICRA's is more conservative and, after reviewing it, better suited to this group.</w:t>
      </w:r>
    </w:p>
    <w:p>
      <w:pPr>
        <w:spacing w:after="100" w:before="0"/>
      </w:pPr>
      <w:r>
        <w:rPr>
          <w:rFonts w:ascii="Arial" w:hAnsi="Arial"/>
          <w:sz w:val="18"/>
        </w:rPr>
        <w:t>3. Interest cover. I calculated 33.8x using reported finance cost. ICRA reports 22.7x for FY25, exactly matching my 22.7x figure, which confirms the data extraction. The FY26 difference is because of timing — ICRA's table covers 9M FY26 — not because we used different methods.</w:t>
      </w:r>
    </w:p>
    <w:p>
      <w:pPr>
        <w:spacing w:after="100" w:before="0"/>
      </w:pPr>
      <w:r>
        <w:rPr>
          <w:rFonts w:ascii="Arial" w:hAnsi="Arial"/>
          <w:sz w:val="18"/>
        </w:rPr>
        <w:t>4. Exposure I highlighted that ICRA does not stress. The ₹2,390 cr of inter-corporate deposits to promoter-group firms during FY26 is not listed as a specific rating driver. However, ICRA's negative triggers do cover group investments and dividend payouts. I would make this an explicit covenant rather than just something to watch.</w:t>
      </w:r>
    </w:p>
    <w:p>
      <w:pPr>
        <w:spacing w:after="100" w:before="180"/>
      </w:pPr>
      <w:r>
        <w:rPr>
          <w:rFonts w:ascii="Arial" w:cs="Arial" w:eastAsia="Arial" w:hAnsi="Arial"/>
          <w:b/>
          <w:bCs/>
          <w:color w:val="1F3864"/>
          <w:sz w:val="22"/>
          <w:szCs w:val="22"/>
        </w:rPr>
        <w:t xml:space="preserve">Conclusion</w:t>
      </w:r>
    </w:p>
    <w:p>
      <w:pPr>
        <w:spacing w:after="100" w:before="0"/>
      </w:pPr>
      <w:r>
        <w:rPr>
          <w:rFonts w:ascii="Arial" w:hAnsi="Arial"/>
          <w:sz w:val="18"/>
        </w:rPr>
        <w:t>My independent view — strong credit, top of the high-safety band, stable outlook and unsecured lending — is broadly in line with ICRA's AA+ (Stable) / A1+ view. The main reasoning is also similar. I had said the standalone numbers looked AAA-equivalent, but ICRA's forward view of EV capex and group funding is the stronger argument, and I accept it. This does not change the lending decision, but it changes the covenants: limiting funding to subsidiaries is not just sensible, it is essential.</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2026-09-12T08:58:35.298Z</dcterms:created>
  <dcterms:modified xsi:type="dcterms:W3CDTF">2026-09-12T08:58:35.298Z</dcterms:modified>
</cp:coreProperties>
</file>

<file path=docProps/custom.xml><?xml version="1.0" encoding="utf-8"?>
<Properties xmlns="http://schemas.openxmlformats.org/officeDocument/2006/custom-properties" xmlns:vt="http://schemas.openxmlformats.org/officeDocument/2006/docPropsVTypes"/>
</file>