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B16A" w14:textId="178A036A" w:rsidR="00871D8D" w:rsidRPr="00CB75CB" w:rsidRDefault="00000000">
      <w:pPr>
        <w:spacing w:after="40"/>
        <w:jc w:val="center"/>
        <w:rPr>
          <w:sz w:val="24"/>
          <w:szCs w:val="24"/>
        </w:rPr>
      </w:pPr>
      <w:r w:rsidRPr="00CB75CB">
        <w:rPr>
          <w:rFonts w:ascii="Arial" w:hAnsi="Arial"/>
          <w:b/>
          <w:sz w:val="24"/>
          <w:szCs w:val="24"/>
        </w:rPr>
        <w:t xml:space="preserve"> Credit Committee Sheet – Ashok Leyland Limited</w:t>
      </w:r>
    </w:p>
    <w:p w14:paraId="4D19F843" w14:textId="77777777" w:rsidR="00871D8D" w:rsidRDefault="00000000">
      <w:pPr>
        <w:spacing w:after="40"/>
        <w:jc w:val="center"/>
      </w:pPr>
      <w:r>
        <w:rPr>
          <w:rFonts w:ascii="Arial" w:hAnsi="Arial"/>
          <w:sz w:val="15"/>
        </w:rPr>
        <w:t>Basis: Standalone financials, FY24–FY26, ₹ crore. Sources: Annual Reports FY24, FY25 and FY26 (page numbers as printed), plus the attached ratio workbook. No credit-rating report was consulted.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5" w:type="dxa"/>
          <w:left w:w="45" w:type="dxa"/>
          <w:bottom w:w="45" w:type="dxa"/>
          <w:right w:w="45" w:type="dxa"/>
        </w:tblCellMar>
        <w:tblLook w:val="04A0" w:firstRow="1" w:lastRow="0" w:firstColumn="1" w:lastColumn="0" w:noHBand="0" w:noVBand="1"/>
      </w:tblPr>
      <w:tblGrid>
        <w:gridCol w:w="1728"/>
        <w:gridCol w:w="4680"/>
        <w:gridCol w:w="9432"/>
      </w:tblGrid>
      <w:tr w:rsidR="00871D8D" w14:paraId="54BBCF19" w14:textId="77777777">
        <w:trPr>
          <w:cantSplit/>
          <w:jc w:val="center"/>
        </w:trPr>
        <w:tc>
          <w:tcPr>
            <w:tcW w:w="1728" w:type="dxa"/>
          </w:tcPr>
          <w:p w14:paraId="78560A7D" w14:textId="77777777" w:rsidR="00871D8D" w:rsidRPr="00CB75CB" w:rsidRDefault="00000000">
            <w:pPr>
              <w:spacing w:after="20" w:line="216" w:lineRule="auto"/>
              <w:jc w:val="center"/>
            </w:pPr>
            <w:r w:rsidRPr="00CB75CB">
              <w:rPr>
                <w:rFonts w:ascii="Arial" w:hAnsi="Arial"/>
                <w:b/>
              </w:rPr>
              <w:t>Assessment area</w:t>
            </w:r>
          </w:p>
        </w:tc>
        <w:tc>
          <w:tcPr>
            <w:tcW w:w="4680" w:type="dxa"/>
          </w:tcPr>
          <w:p w14:paraId="17DD49AF" w14:textId="77777777" w:rsidR="00871D8D" w:rsidRPr="00CB75CB" w:rsidRDefault="00000000">
            <w:pPr>
              <w:spacing w:after="20" w:line="216" w:lineRule="auto"/>
              <w:jc w:val="center"/>
            </w:pPr>
            <w:r w:rsidRPr="00CB75CB">
              <w:rPr>
                <w:rFonts w:ascii="Arial" w:hAnsi="Arial"/>
                <w:b/>
              </w:rPr>
              <w:t>Our view</w:t>
            </w:r>
          </w:p>
        </w:tc>
        <w:tc>
          <w:tcPr>
            <w:tcW w:w="9432" w:type="dxa"/>
          </w:tcPr>
          <w:p w14:paraId="1F60842F" w14:textId="77777777" w:rsidR="00871D8D" w:rsidRPr="00CB75CB" w:rsidRDefault="00000000">
            <w:pPr>
              <w:spacing w:after="20" w:line="216" w:lineRule="auto"/>
              <w:jc w:val="center"/>
            </w:pPr>
            <w:r w:rsidRPr="00CB75CB">
              <w:rPr>
                <w:rFonts w:ascii="Arial" w:hAnsi="Arial"/>
                <w:b/>
              </w:rPr>
              <w:t>Key evidence / numbers</w:t>
            </w:r>
          </w:p>
        </w:tc>
      </w:tr>
      <w:tr w:rsidR="00871D8D" w14:paraId="7FE85665" w14:textId="77777777">
        <w:trPr>
          <w:cantSplit/>
          <w:jc w:val="center"/>
        </w:trPr>
        <w:tc>
          <w:tcPr>
            <w:tcW w:w="1728" w:type="dxa"/>
          </w:tcPr>
          <w:p w14:paraId="4404CB9F" w14:textId="77777777" w:rsidR="00871D8D" w:rsidRPr="00CB75CB" w:rsidRDefault="00000000">
            <w:pPr>
              <w:spacing w:after="20" w:line="216" w:lineRule="auto"/>
            </w:pPr>
            <w:r w:rsidRPr="00CB75CB">
              <w:rPr>
                <w:rFonts w:ascii="Arial" w:hAnsi="Arial"/>
                <w:b/>
              </w:rPr>
              <w:t>Industry risk</w:t>
            </w:r>
          </w:p>
        </w:tc>
        <w:tc>
          <w:tcPr>
            <w:tcW w:w="4680" w:type="dxa"/>
          </w:tcPr>
          <w:p w14:paraId="07046EED" w14:textId="77777777" w:rsidR="00871D8D" w:rsidRPr="00CB75CB" w:rsidRDefault="00000000">
            <w:pPr>
              <w:spacing w:after="20" w:line="216" w:lineRule="auto"/>
            </w:pPr>
            <w:r w:rsidRPr="00CB75CB">
              <w:rPr>
                <w:rFonts w:ascii="Arial" w:hAnsi="Arial"/>
                <w:b/>
              </w:rPr>
              <w:t>Moderate to high</w:t>
            </w:r>
            <w:r w:rsidRPr="00CB75CB">
              <w:rPr>
                <w:rFonts w:ascii="Arial" w:hAnsi="Arial"/>
              </w:rPr>
              <w:t>. Commercial vehicles are cyclical and depend on freight demand, government spending and interest rates. Past downturns were severe. FY26 was a strong year, helped by the GST cut on CVs from 28% to 18%. Main risk is the business cycle, not debt.</w:t>
            </w:r>
          </w:p>
        </w:tc>
        <w:tc>
          <w:tcPr>
            <w:tcW w:w="9432" w:type="dxa"/>
          </w:tcPr>
          <w:p w14:paraId="50203D9B" w14:textId="77777777" w:rsidR="00871D8D" w:rsidRPr="00CB75CB" w:rsidRDefault="00000000">
            <w:pPr>
              <w:spacing w:after="20" w:line="216" w:lineRule="auto"/>
            </w:pPr>
            <w:r w:rsidRPr="00CB75CB">
              <w:rPr>
                <w:rFonts w:ascii="Arial" w:hAnsi="Arial"/>
              </w:rPr>
              <w:t>Industry sales fell 28.5% in FY20 and 20.2% in FY13–14 (ISB case). FY26 industry size ~10.8 lakh units, +12.6%; H1 was weak and H2 improved after the Sep-2025 GST cut. Truck volumes were flat for 3 years before FY26. Positives: replacement demand, scrappage policy and infrastructure spending. Risks: crude/West Asia, tariffs, emission costs, electric 3-wheelers affecting LCVs and delays in government capex. MD&amp;A FY26 pp.52–58; risk pp.56–57.</w:t>
            </w:r>
          </w:p>
        </w:tc>
      </w:tr>
      <w:tr w:rsidR="00871D8D" w14:paraId="6D4A71F6" w14:textId="77777777">
        <w:trPr>
          <w:cantSplit/>
          <w:jc w:val="center"/>
        </w:trPr>
        <w:tc>
          <w:tcPr>
            <w:tcW w:w="1728" w:type="dxa"/>
          </w:tcPr>
          <w:p w14:paraId="0F4760E6" w14:textId="77777777" w:rsidR="00871D8D" w:rsidRPr="00CB75CB" w:rsidRDefault="00000000">
            <w:pPr>
              <w:spacing w:after="20" w:line="216" w:lineRule="auto"/>
            </w:pPr>
            <w:r w:rsidRPr="00CB75CB">
              <w:rPr>
                <w:rFonts w:ascii="Arial" w:hAnsi="Arial"/>
                <w:b/>
              </w:rPr>
              <w:t>Business risk</w:t>
            </w:r>
          </w:p>
        </w:tc>
        <w:tc>
          <w:tcPr>
            <w:tcW w:w="4680" w:type="dxa"/>
          </w:tcPr>
          <w:p w14:paraId="405D02F0" w14:textId="77777777" w:rsidR="00871D8D" w:rsidRPr="00CB75CB" w:rsidRDefault="00000000">
            <w:pPr>
              <w:spacing w:after="20" w:line="216" w:lineRule="auto"/>
            </w:pPr>
            <w:r w:rsidRPr="00CB75CB">
              <w:rPr>
                <w:rFonts w:ascii="Arial" w:hAnsi="Arial"/>
                <w:b/>
              </w:rPr>
              <w:t>Low to moderate</w:t>
            </w:r>
            <w:r w:rsidRPr="00CB75CB">
              <w:rPr>
                <w:rFonts w:ascii="Arial" w:hAnsi="Arial"/>
              </w:rPr>
              <w:t>. No. 2 in Indian CVs and bus leader, with a wide service network. Products and markets are expanding. Watch: M&amp;HCV market share is slowly falling and the business is still mainly India/truck focused. Aftermarket, defence, power solutions and exports help reduce this risk.</w:t>
            </w:r>
          </w:p>
        </w:tc>
        <w:tc>
          <w:tcPr>
            <w:tcW w:w="9432" w:type="dxa"/>
          </w:tcPr>
          <w:p w14:paraId="4B46918B" w14:textId="77777777" w:rsidR="00871D8D" w:rsidRPr="00CB75CB" w:rsidRDefault="00000000">
            <w:pPr>
              <w:spacing w:after="20" w:line="216" w:lineRule="auto"/>
            </w:pPr>
            <w:r w:rsidRPr="00CB75CB">
              <w:rPr>
                <w:rFonts w:ascii="Arial" w:hAnsi="Arial"/>
              </w:rPr>
              <w:t>M&amp;HCV share: 31.1% → 30.7% → 30.3% (FY24–FY26); bus share ~34%; LCV share record 12.7% (Vahan). FY26 exports 18,082 units (+18.5%); aftermarket revenue ~₹4,450 cr (+12%). 52,577 touchpoints; service every 75 km on major highways. 60,000+ customers and ~15 lakh vehicles on iALERT. Only 7–8% of a truck's lifetime cost is earned at sale (ISB case).</w:t>
            </w:r>
          </w:p>
        </w:tc>
      </w:tr>
      <w:tr w:rsidR="00871D8D" w14:paraId="3C468B7F" w14:textId="77777777">
        <w:trPr>
          <w:cantSplit/>
          <w:jc w:val="center"/>
        </w:trPr>
        <w:tc>
          <w:tcPr>
            <w:tcW w:w="1728" w:type="dxa"/>
          </w:tcPr>
          <w:p w14:paraId="5C02DCDB" w14:textId="77777777" w:rsidR="00871D8D" w:rsidRPr="00CB75CB" w:rsidRDefault="00000000">
            <w:pPr>
              <w:spacing w:after="20" w:line="216" w:lineRule="auto"/>
            </w:pPr>
            <w:r w:rsidRPr="00CB75CB">
              <w:rPr>
                <w:rFonts w:ascii="Arial" w:hAnsi="Arial"/>
                <w:b/>
              </w:rPr>
              <w:t>Financial risk</w:t>
            </w:r>
          </w:p>
        </w:tc>
        <w:tc>
          <w:tcPr>
            <w:tcW w:w="4680" w:type="dxa"/>
          </w:tcPr>
          <w:p w14:paraId="74DFAC60" w14:textId="77777777" w:rsidR="00871D8D" w:rsidRPr="00CB75CB" w:rsidRDefault="00000000">
            <w:pPr>
              <w:spacing w:after="20" w:line="216" w:lineRule="auto"/>
            </w:pPr>
            <w:r w:rsidRPr="00CB75CB">
              <w:rPr>
                <w:rFonts w:ascii="Arial" w:hAnsi="Arial"/>
                <w:b/>
              </w:rPr>
              <w:t>Low.</w:t>
            </w:r>
            <w:r w:rsidRPr="00CB75CB">
              <w:rPr>
                <w:rFonts w:ascii="Arial" w:hAnsi="Arial"/>
              </w:rPr>
              <w:t xml:space="preserve"> This is the strongest part of the profile. Revenue and profit are rising, margins are improving, and debt has almost halved in two years while the company still pays for capex and dividends from its own cash. Caution: FY26 may be a cyclical peak, so ratios are close to their best.</w:t>
            </w:r>
          </w:p>
        </w:tc>
        <w:tc>
          <w:tcPr>
            <w:tcW w:w="9432" w:type="dxa"/>
          </w:tcPr>
          <w:p w14:paraId="43E4D184" w14:textId="77777777" w:rsidR="00871D8D" w:rsidRPr="00CB75CB" w:rsidRDefault="00000000">
            <w:pPr>
              <w:spacing w:after="20" w:line="216" w:lineRule="auto"/>
            </w:pPr>
            <w:r w:rsidRPr="00CB75CB">
              <w:rPr>
                <w:rFonts w:ascii="Arial" w:hAnsi="Arial"/>
              </w:rPr>
              <w:t>Revenue: ₹38,367 → ₹38,753 → ₹44,007 cr. PAT: ₹2,618 → ₹3,303 → ₹3,566 cr (after one-off ₹308 cr labour-code charge). EBITDA margin: 11.8% → 12.5% → 13.4%; ROCE ~30%. Total debt incl. leases: ₹2,299 → ₹1,482 → ₹1,195 cr. Debt/equity: 0.26× → 0.13× → 0.09×; debt/EBITDA 0.2×. Interest cover ~34× on reported finance cost and ~64× on interest on borrowings. All covenants met at 31-Mar-2026.</w:t>
            </w:r>
          </w:p>
        </w:tc>
      </w:tr>
      <w:tr w:rsidR="00871D8D" w14:paraId="5CA06B10" w14:textId="77777777">
        <w:trPr>
          <w:cantSplit/>
          <w:jc w:val="center"/>
        </w:trPr>
        <w:tc>
          <w:tcPr>
            <w:tcW w:w="1728" w:type="dxa"/>
          </w:tcPr>
          <w:p w14:paraId="7962591B" w14:textId="77777777" w:rsidR="00871D8D" w:rsidRPr="00CB75CB" w:rsidRDefault="00000000">
            <w:pPr>
              <w:spacing w:after="20" w:line="216" w:lineRule="auto"/>
            </w:pPr>
            <w:r w:rsidRPr="00CB75CB">
              <w:rPr>
                <w:rFonts w:ascii="Arial" w:hAnsi="Arial"/>
                <w:b/>
              </w:rPr>
              <w:t>Liquidity</w:t>
            </w:r>
          </w:p>
        </w:tc>
        <w:tc>
          <w:tcPr>
            <w:tcW w:w="4680" w:type="dxa"/>
          </w:tcPr>
          <w:p w14:paraId="4D015612" w14:textId="77777777" w:rsidR="00871D8D" w:rsidRPr="00CB75CB" w:rsidRDefault="00000000">
            <w:pPr>
              <w:spacing w:after="20" w:line="216" w:lineRule="auto"/>
            </w:pPr>
            <w:r w:rsidRPr="00CB75CB">
              <w:rPr>
                <w:rFonts w:ascii="Arial" w:hAnsi="Arial"/>
                <w:b/>
              </w:rPr>
              <w:t>Strong.</w:t>
            </w:r>
            <w:r w:rsidRPr="00CB75CB">
              <w:rPr>
                <w:rFonts w:ascii="Arial" w:hAnsi="Arial"/>
              </w:rPr>
              <w:t xml:space="preserve"> The company has net cash and can repay its debt several times from cash. Main caution: supplier dues are higher than cash, so a sharp downturn could create working-capital pressure before debt becomes a problem.</w:t>
            </w:r>
          </w:p>
        </w:tc>
        <w:tc>
          <w:tcPr>
            <w:tcW w:w="9432" w:type="dxa"/>
          </w:tcPr>
          <w:p w14:paraId="474FD4B8" w14:textId="77777777" w:rsidR="00871D8D" w:rsidRPr="00CB75CB" w:rsidRDefault="00000000">
            <w:pPr>
              <w:spacing w:after="20" w:line="216" w:lineRule="auto"/>
            </w:pPr>
            <w:r w:rsidRPr="00CB75CB">
              <w:rPr>
                <w:rFonts w:ascii="Arial" w:hAnsi="Arial"/>
              </w:rPr>
              <w:t>Cash + liquid investments ₹7,051 cr vs total debt ₹1,195 cr = net cash ₹5,856 cr. Borrowings due within 1 year ₹698 cr, covered ~14× by cash + undrawn lines of ₹2,854 cr, plus a ₹2,000 cr CP option. Adjusted CFO ₹2,957 cr in FY26 after removing ₹1,453 cr dividend-account timing effect. Current ratio 1.05×. Supplier dues ₹8,329 cr (97 days) exceed cash; they fell by ₹868 cr in FY24.</w:t>
            </w:r>
          </w:p>
        </w:tc>
      </w:tr>
      <w:tr w:rsidR="00871D8D" w14:paraId="30E79DE5" w14:textId="77777777">
        <w:trPr>
          <w:cantSplit/>
          <w:jc w:val="center"/>
        </w:trPr>
        <w:tc>
          <w:tcPr>
            <w:tcW w:w="1728" w:type="dxa"/>
          </w:tcPr>
          <w:p w14:paraId="113824F3" w14:textId="77777777" w:rsidR="00871D8D" w:rsidRPr="00CB75CB" w:rsidRDefault="00000000">
            <w:pPr>
              <w:spacing w:after="20" w:line="216" w:lineRule="auto"/>
            </w:pPr>
            <w:r w:rsidRPr="00CB75CB">
              <w:rPr>
                <w:rFonts w:ascii="Arial" w:hAnsi="Arial"/>
                <w:b/>
              </w:rPr>
              <w:t>Governance / management</w:t>
            </w:r>
          </w:p>
        </w:tc>
        <w:tc>
          <w:tcPr>
            <w:tcW w:w="4680" w:type="dxa"/>
          </w:tcPr>
          <w:p w14:paraId="31EE337A" w14:textId="77777777" w:rsidR="00871D8D" w:rsidRPr="00CB75CB" w:rsidRDefault="00000000">
            <w:pPr>
              <w:spacing w:after="20" w:line="216" w:lineRule="auto"/>
            </w:pPr>
            <w:r w:rsidRPr="00CB75CB">
              <w:rPr>
                <w:rFonts w:ascii="Arial" w:hAnsi="Arial"/>
                <w:b/>
              </w:rPr>
              <w:t>Adequate, but needs monitoring</w:t>
            </w:r>
            <w:r w:rsidRPr="00CB75CB">
              <w:rPr>
                <w:rFonts w:ascii="Arial" w:hAnsi="Arial"/>
              </w:rPr>
              <w:t>. The company is listed, audited, well disclosed and has an experienced team. Covenants were met and there are no audit qualifications. Concerns are short-term deposits to promoter-group firms outside the vehicle business, high payouts and some liabilities appearing late. This is the main area where lenders should seek comfort.</w:t>
            </w:r>
          </w:p>
        </w:tc>
        <w:tc>
          <w:tcPr>
            <w:tcW w:w="9432" w:type="dxa"/>
          </w:tcPr>
          <w:p w14:paraId="1A39A7D0" w14:textId="77777777" w:rsidR="00871D8D" w:rsidRPr="00CB75CB" w:rsidRDefault="00000000">
            <w:pPr>
              <w:spacing w:after="20" w:line="216" w:lineRule="auto"/>
            </w:pPr>
            <w:r w:rsidRPr="00CB75CB">
              <w:rPr>
                <w:rFonts w:ascii="Arial" w:hAnsi="Arial"/>
              </w:rPr>
              <w:t>₹2,390 cr inter-corporate deposits (ICDs) in FY26, up to ₹100 cr each to Hinduja media, realty and healthcare firms; all repaid by year-end. Dividends of ₹933 cr to promoter. EPR/end-of-life vehicle obligation disclosed but not quantified. Unexpected ₹308 cr labour-code charge. Dividend payout: 62% FY25 and 51% FY26.</w:t>
            </w:r>
          </w:p>
        </w:tc>
      </w:tr>
      <w:tr w:rsidR="00871D8D" w14:paraId="48A4F7A6" w14:textId="77777777">
        <w:trPr>
          <w:cantSplit/>
          <w:jc w:val="center"/>
        </w:trPr>
        <w:tc>
          <w:tcPr>
            <w:tcW w:w="1728" w:type="dxa"/>
          </w:tcPr>
          <w:p w14:paraId="40A13109" w14:textId="77777777" w:rsidR="00871D8D" w:rsidRPr="00CB75CB" w:rsidRDefault="00000000">
            <w:pPr>
              <w:spacing w:after="20" w:line="216" w:lineRule="auto"/>
            </w:pPr>
            <w:r w:rsidRPr="00CB75CB">
              <w:rPr>
                <w:rFonts w:ascii="Arial" w:hAnsi="Arial"/>
                <w:b/>
              </w:rPr>
              <w:lastRenderedPageBreak/>
              <w:t>Group support</w:t>
            </w:r>
          </w:p>
        </w:tc>
        <w:tc>
          <w:tcPr>
            <w:tcW w:w="4680" w:type="dxa"/>
          </w:tcPr>
          <w:p w14:paraId="02E2EDC1" w14:textId="77777777" w:rsidR="00871D8D" w:rsidRPr="00CB75CB" w:rsidRDefault="00000000">
            <w:pPr>
              <w:spacing w:after="20" w:line="216" w:lineRule="auto"/>
            </w:pPr>
            <w:r w:rsidRPr="00CB75CB">
              <w:rPr>
                <w:rFonts w:ascii="Arial" w:hAnsi="Arial"/>
                <w:b/>
              </w:rPr>
              <w:t>Neutral; slightly negative today</w:t>
            </w:r>
            <w:r w:rsidRPr="00CB75CB">
              <w:rPr>
                <w:rFonts w:ascii="Arial" w:hAnsi="Arial"/>
              </w:rPr>
              <w:t>. The Hinduja name may help funding access, but more cash has gone from Ashok Leyland to weaker group entities than the other way around. I would give no rating benefit for group support and would count guarantees as debt in a stress case.</w:t>
            </w:r>
          </w:p>
        </w:tc>
        <w:tc>
          <w:tcPr>
            <w:tcW w:w="9432" w:type="dxa"/>
          </w:tcPr>
          <w:p w14:paraId="56C7C387" w14:textId="77777777" w:rsidR="00871D8D" w:rsidRPr="00CB75CB" w:rsidRDefault="00000000">
            <w:pPr>
              <w:spacing w:after="20" w:line="216" w:lineRule="auto"/>
            </w:pPr>
            <w:r w:rsidRPr="00CB75CB">
              <w:rPr>
                <w:rFonts w:ascii="Arial" w:hAnsi="Arial"/>
              </w:rPr>
              <w:t>Subsidiary guarantees ₹786 cr, mainly ₹633 cr for Switch Mobility UK; Switch UK stopped manufacturing in FY26. ~₹325 cr more approved for Optare in Aug-2026. Cash invested in EV subsidiaries: ₹499 cr FY25 and ₹371 cr FY26. Group-company investments ₹6,559 cr ≈50% of net worth. Consolidated debt ~₹63,650 cr (3.4× equity), mainly NBFC debt at Hinduja Leyland Finance; HLF–NDL Ventures merger pending at NCLT. Debt + guarantees/equity 0.15× vs 0.09× debt alone.</w:t>
            </w:r>
          </w:p>
        </w:tc>
      </w:tr>
      <w:tr w:rsidR="00871D8D" w14:paraId="6C4BF341" w14:textId="77777777">
        <w:trPr>
          <w:cantSplit/>
          <w:jc w:val="center"/>
        </w:trPr>
        <w:tc>
          <w:tcPr>
            <w:tcW w:w="1728" w:type="dxa"/>
          </w:tcPr>
          <w:p w14:paraId="7BBD7178" w14:textId="77777777" w:rsidR="00871D8D" w:rsidRPr="00CB75CB" w:rsidRDefault="00000000">
            <w:pPr>
              <w:spacing w:after="20" w:line="216" w:lineRule="auto"/>
            </w:pPr>
            <w:r w:rsidRPr="00CB75CB">
              <w:rPr>
                <w:rFonts w:ascii="Arial" w:hAnsi="Arial"/>
                <w:b/>
              </w:rPr>
              <w:t>Overall credit profile</w:t>
            </w:r>
          </w:p>
        </w:tc>
        <w:tc>
          <w:tcPr>
            <w:tcW w:w="4680" w:type="dxa"/>
          </w:tcPr>
          <w:p w14:paraId="2DB70474" w14:textId="77777777" w:rsidR="00871D8D" w:rsidRPr="00CB75CB" w:rsidRDefault="00000000">
            <w:pPr>
              <w:spacing w:after="20" w:line="216" w:lineRule="auto"/>
            </w:pPr>
            <w:r w:rsidRPr="00CB75CB">
              <w:rPr>
                <w:rFonts w:ascii="Arial" w:hAnsi="Arial"/>
                <w:b/>
              </w:rPr>
              <w:t>Strong.</w:t>
            </w:r>
            <w:r w:rsidRPr="00CB75CB">
              <w:rPr>
                <w:rFonts w:ascii="Arial" w:hAnsi="Arial"/>
              </w:rPr>
              <w:t xml:space="preserve"> My independent view is equivalent to the highest domestic grade, with a stable outlook. Ashok Leyland is market-leading, has net cash, very low debt and strong cash generation. Main weaknesses are cyclicality, falling truck share and cash going to group/EV entities. These should not threaten debt repayment over the next 2–3 years.</w:t>
            </w:r>
          </w:p>
        </w:tc>
        <w:tc>
          <w:tcPr>
            <w:tcW w:w="9432" w:type="dxa"/>
          </w:tcPr>
          <w:p w14:paraId="6132935B" w14:textId="77777777" w:rsidR="00871D8D" w:rsidRPr="00CB75CB" w:rsidRDefault="00000000">
            <w:pPr>
              <w:spacing w:after="20" w:line="216" w:lineRule="auto"/>
            </w:pPr>
            <w:r w:rsidRPr="00CB75CB">
              <w:rPr>
                <w:rFonts w:ascii="Arial" w:hAnsi="Arial"/>
              </w:rPr>
              <w:t>Stress case: 30% volume fall, EBITDA margin 8%, ₹1,000 cr payables unwinding, while capex and dividends continue — company would still stay near net cash for about 2 years. Leverage: debt/EBITDA 0.2×; debt/equity 0.09×; net cash ₹5,856 cr. Interest cover 34×. FY27 debt ₹634 cr is 11× covered by cash. Adjusted CFO ₹2,957 cr vs capex ₹1,050 cr. Guarantees + disputes + commitments ₹1,589 cr = 12% of net worth, manageable. Company debt/equity of 0.09× matches my calculation.</w:t>
            </w:r>
          </w:p>
        </w:tc>
      </w:tr>
      <w:tr w:rsidR="00871D8D" w14:paraId="4FCDC801" w14:textId="77777777">
        <w:trPr>
          <w:cantSplit/>
          <w:jc w:val="center"/>
        </w:trPr>
        <w:tc>
          <w:tcPr>
            <w:tcW w:w="1728" w:type="dxa"/>
          </w:tcPr>
          <w:p w14:paraId="38C005B7" w14:textId="77777777" w:rsidR="00871D8D" w:rsidRPr="00CB75CB" w:rsidRDefault="00000000">
            <w:pPr>
              <w:spacing w:after="20" w:line="216" w:lineRule="auto"/>
            </w:pPr>
            <w:r w:rsidRPr="00CB75CB">
              <w:rPr>
                <w:rFonts w:ascii="Arial" w:hAnsi="Arial"/>
                <w:b/>
              </w:rPr>
              <w:t>Lending decision</w:t>
            </w:r>
          </w:p>
        </w:tc>
        <w:tc>
          <w:tcPr>
            <w:tcW w:w="4680" w:type="dxa"/>
          </w:tcPr>
          <w:p w14:paraId="39A8161F" w14:textId="77777777" w:rsidR="00871D8D" w:rsidRPr="00CB75CB" w:rsidRDefault="00000000">
            <w:pPr>
              <w:spacing w:after="20" w:line="216" w:lineRule="auto"/>
            </w:pPr>
            <w:r w:rsidRPr="00CB75CB">
              <w:rPr>
                <w:rFonts w:ascii="Arial" w:hAnsi="Arial"/>
                <w:b/>
              </w:rPr>
              <w:t>APPROVE</w:t>
            </w:r>
            <w:r w:rsidRPr="00CB75CB">
              <w:rPr>
                <w:rFonts w:ascii="Arial" w:hAnsi="Arial"/>
              </w:rPr>
              <w:t>. I would lend on a clean, unsecured basis. Indicative facilities: up to ~₹2,000 cr for working capital and term loans, tenor up to 5 years, finest-grade pricing, no security. Existing lenders have charges only on specific plant.</w:t>
            </w:r>
          </w:p>
        </w:tc>
        <w:tc>
          <w:tcPr>
            <w:tcW w:w="9432" w:type="dxa"/>
          </w:tcPr>
          <w:p w14:paraId="00657889" w14:textId="77777777" w:rsidR="00871D8D" w:rsidRPr="00CB75CB" w:rsidRDefault="00000000">
            <w:pPr>
              <w:spacing w:after="20" w:line="216" w:lineRule="auto"/>
            </w:pPr>
            <w:r w:rsidRPr="00CB75CB">
              <w:rPr>
                <w:rFonts w:ascii="Arial" w:hAnsi="Arial"/>
              </w:rPr>
              <w:t>Covenants: net debt/EBITDA ≤1.5×; total debt + guarantees/net worth ≤0.5×; cap fresh support to subsidiaries; no ICDs to group firms outside CV business; complete the NBFC merger on time. Monitor quarterly: M&amp;HCV share, aftermarket share of revenue, cash minus supplier dues and new guarantees. Main accepted risks: CV downturn and further EV-subsidiary support. Both are covered by covenants and reporting. No CRA report was consulted before this view.</w:t>
            </w:r>
          </w:p>
        </w:tc>
      </w:tr>
    </w:tbl>
    <w:p w14:paraId="247EBCF6" w14:textId="77777777" w:rsidR="00E234E2" w:rsidRDefault="00E234E2"/>
    <w:sectPr w:rsidR="00E234E2" w:rsidSect="00034616">
      <w:pgSz w:w="16834" w:h="11909" w:orient="landscape"/>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294128">
    <w:abstractNumId w:val="8"/>
  </w:num>
  <w:num w:numId="2" w16cid:durableId="285546262">
    <w:abstractNumId w:val="6"/>
  </w:num>
  <w:num w:numId="3" w16cid:durableId="82268513">
    <w:abstractNumId w:val="5"/>
  </w:num>
  <w:num w:numId="4" w16cid:durableId="112871573">
    <w:abstractNumId w:val="4"/>
  </w:num>
  <w:num w:numId="5" w16cid:durableId="660548057">
    <w:abstractNumId w:val="7"/>
  </w:num>
  <w:num w:numId="6" w16cid:durableId="352806214">
    <w:abstractNumId w:val="3"/>
  </w:num>
  <w:num w:numId="7" w16cid:durableId="2111586272">
    <w:abstractNumId w:val="2"/>
  </w:num>
  <w:num w:numId="8" w16cid:durableId="734932909">
    <w:abstractNumId w:val="1"/>
  </w:num>
  <w:num w:numId="9" w16cid:durableId="63205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FEF"/>
    <w:rsid w:val="00505C54"/>
    <w:rsid w:val="00871D8D"/>
    <w:rsid w:val="00AA1D8D"/>
    <w:rsid w:val="00B47730"/>
    <w:rsid w:val="00CB0664"/>
    <w:rsid w:val="00CB75CB"/>
    <w:rsid w:val="00E234E2"/>
    <w:rsid w:val="00E32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5CE24"/>
  <w14:defaultImageDpi w14:val="300"/>
  <w15:docId w15:val="{ABBA01B9-1BEB-4EE2-8438-BD49ECCA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nishtha.dalal0025@outlook.com</cp:lastModifiedBy>
  <cp:revision>3</cp:revision>
  <dcterms:created xsi:type="dcterms:W3CDTF">2013-12-23T23:15:00Z</dcterms:created>
  <dcterms:modified xsi:type="dcterms:W3CDTF">2026-09-19T09:56:00Z</dcterms:modified>
  <cp:category/>
</cp:coreProperties>
</file>