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Block D: Market / Rating Risk Assessment</w:t>
      </w:r>
    </w:p>
    <w:p>
      <w:pPr>
        <w:pBdr>
          <w:bottom w:val="single" w:color="1F3864" w:sz="12" w:space="6"/>
        </w:pBdr>
        <w:spacing w:after="240"/>
      </w:pPr>
      <w:r>
        <w:rPr>
          <w:rFonts w:ascii="Arial" w:cs="Arial" w:eastAsia="Arial" w:hAnsi="Arial"/>
          <w:color w:val="404040"/>
          <w:sz w:val="21"/>
          <w:szCs w:val="21"/>
        </w:rPr>
        <w:t xml:space="preserve">Avenue Supermarts Limited (DMart)  |  Assignment 2</w:t>
      </w:r>
    </w:p>
    <w:p>
      <w:pPr>
        <w:pStyle w:val="Heading1"/>
        <w:spacing w:after="140" w:before="280"/>
      </w:pPr>
      <w:r>
        <w:rPr>
          <w:rFonts w:ascii="Arial" w:cs="Arial" w:eastAsia="Arial" w:hAnsi="Arial"/>
          <w:b/>
          <w:bCs/>
          <w:color w:val="1F3864"/>
          <w:sz w:val="27"/>
          <w:szCs w:val="27"/>
        </w:rPr>
        <w:t xml:space="preserve">1. The one number that matters</w:t>
      </w:r>
    </w:p>
    <w:p>
      <w:pPr>
        <w:spacing w:after="140" w:before="0"/>
      </w:pPr>
      <w:r>
        <w:rPr>
          <w:rFonts w:ascii="Arial" w:cs="Arial" w:eastAsia="Arial" w:hAnsi="Arial"/>
          <w:b w:val="false"/>
          <w:bCs w:val="false"/>
          <w:i w:val="false"/>
          <w:iCs w:val="false"/>
          <w:color w:val="000000"/>
          <w:sz w:val="21"/>
          <w:szCs w:val="21"/>
        </w:rPr>
        <w:t xml:space="preserve">Most of this block is about how lenders read DMart's numbers. For once we do not have to guess, because CRISIL has written its answer down.</w:t>
      </w:r>
    </w:p>
    <w:p>
      <w:pPr>
        <w:spacing w:after="100" w:before="0"/>
      </w:pPr>
      <w:r>
        <w:rPr>
          <w:rFonts w:ascii="Arial" w:cs="Arial" w:eastAsia="Arial" w:hAnsi="Arial"/>
          <w:b w:val="false"/>
          <w:bCs w:val="false"/>
          <w:i w:val="false"/>
          <w:iCs w:val="false"/>
          <w:color w:val="000000"/>
          <w:sz w:val="21"/>
          <w:szCs w:val="21"/>
        </w:rPr>
        <w:t xml:space="preserve">In its published rating rationale, CRISIL states the conditions under which it would cut DMart's AAA rating. One of them is:</w:t>
      </w:r>
    </w:p>
    <w:p>
      <w:pPr>
        <w:pBdr>
          <w:left w:val="single" w:color="1F3864" w:sz="18" w:space="10"/>
        </w:pBdr>
        <w:spacing w:after="160" w:before="60"/>
        <w:ind w:left="504" w:right="504"/>
      </w:pPr>
      <w:r>
        <w:rPr>
          <w:rFonts w:ascii="Arial" w:cs="Arial" w:eastAsia="Arial" w:hAnsi="Arial"/>
          <w:i/>
          <w:iCs/>
          <w:sz w:val="21"/>
          <w:szCs w:val="21"/>
        </w:rPr>
        <w:t xml:space="preserve">Larger-than-expected debt-funded capital expenditure, weakening gearing to above 0.20 time on a sustained basis.</w:t>
      </w:r>
    </w:p>
    <w:p>
      <w:pPr>
        <w:spacing w:after="160" w:before="0"/>
      </w:pPr>
      <w:r>
        <w:rPr>
          <w:rFonts w:ascii="Arial" w:cs="Arial" w:eastAsia="Arial" w:hAnsi="Arial"/>
          <w:b w:val="false"/>
          <w:bCs w:val="false"/>
          <w:i w:val="false"/>
          <w:iCs w:val="false"/>
          <w:color w:val="000000"/>
          <w:sz w:val="21"/>
          <w:szCs w:val="21"/>
        </w:rPr>
        <w:t xml:space="preserve">Gearing here means total debt, including leases, divided by net worth. That gives us a hard line to measure against rather than a vague sense of comfort.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846"/>
      </w:tblGrid>
      <w:tr>
        <w:trPr>
          <w:tblHeader/>
        </w:trPr>
        <w:tc>
          <w:tcPr>
            <w:tcW w:type="dxa" w:w="42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Gearing (total debt including leases / net worth)</w:t>
            </w:r>
          </w:p>
        </w:tc>
        <w:tc>
          <w:tcPr>
            <w:tcW w:type="dxa" w:w="2700"/>
            <w:shd w:fill="1F3864" w:color="auto" w:val="clear"/>
            <w:tcMar>
              <w:top w:type="dxa" w:w="70"/>
              <w:left w:type="dxa" w:w="90"/>
              <w:bottom w:type="dxa" w:w="70"/>
              <w:right w:type="dxa" w:w="90"/>
            </w:tcMar>
            <w:vAlign w:val="top"/>
          </w:tcPr>
          <w:p>
            <w:pPr>
              <w:spacing w:after="20" w:before="20"/>
              <w:jc w:val="right"/>
            </w:pPr>
            <w:r>
              <w:rPr>
                <w:rFonts w:ascii="Arial" w:cs="Arial" w:eastAsia="Arial" w:hAnsi="Arial"/>
                <w:b/>
                <w:bCs/>
                <w:i w:val="false"/>
                <w:iCs w:val="false"/>
                <w:color w:val="FFFFFF"/>
                <w:sz w:val="18"/>
                <w:szCs w:val="18"/>
              </w:rPr>
              <w:t xml:space="preserve">Figure</w:t>
            </w:r>
          </w:p>
        </w:tc>
        <w:tc>
          <w:tcPr>
            <w:tcW w:type="dxa" w:w="2846"/>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Distance to trigger</w:t>
            </w:r>
          </w:p>
        </w:tc>
      </w:tr>
      <w:tr>
        <w:tc>
          <w:tcPr>
            <w:tcW w:type="dxa" w:w="42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FY2024</w:t>
            </w:r>
          </w:p>
        </w:tc>
        <w:tc>
          <w:tcPr>
            <w:tcW w:type="dxa" w:w="2700"/>
            <w:tcMar>
              <w:top w:type="dxa" w:w="70"/>
              <w:left w:type="dxa" w:w="90"/>
              <w:bottom w:type="dxa" w:w="70"/>
              <w:right w:type="dxa" w:w="90"/>
            </w:tcMar>
            <w:vAlign w:val="top"/>
          </w:tcPr>
          <w:p>
            <w:pPr>
              <w:spacing w:after="20" w:before="20"/>
              <w:jc w:val="right"/>
            </w:pPr>
            <w:r>
              <w:rPr>
                <w:rFonts w:ascii="Arial" w:cs="Arial" w:eastAsia="Arial" w:hAnsi="Arial"/>
                <w:b w:val="false"/>
                <w:bCs w:val="false"/>
                <w:i w:val="false"/>
                <w:iCs w:val="false"/>
                <w:color w:val="000000"/>
                <w:sz w:val="18"/>
                <w:szCs w:val="18"/>
              </w:rPr>
              <w:t xml:space="preserve">0.03x</w:t>
            </w:r>
          </w:p>
        </w:tc>
        <w:tc>
          <w:tcPr>
            <w:tcW w:type="dxa" w:w="28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Nowhere near</w:t>
            </w:r>
          </w:p>
        </w:tc>
      </w:tr>
      <w:tr>
        <w:tc>
          <w:tcPr>
            <w:tcW w:type="dxa" w:w="42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FY2025</w:t>
            </w:r>
          </w:p>
        </w:tc>
        <w:tc>
          <w:tcPr>
            <w:tcW w:type="dxa" w:w="2700"/>
            <w:tcMar>
              <w:top w:type="dxa" w:w="70"/>
              <w:left w:type="dxa" w:w="90"/>
              <w:bottom w:type="dxa" w:w="70"/>
              <w:right w:type="dxa" w:w="90"/>
            </w:tcMar>
            <w:vAlign w:val="top"/>
          </w:tcPr>
          <w:p>
            <w:pPr>
              <w:spacing w:after="20" w:before="20"/>
              <w:jc w:val="right"/>
            </w:pPr>
            <w:r>
              <w:rPr>
                <w:rFonts w:ascii="Arial" w:cs="Arial" w:eastAsia="Arial" w:hAnsi="Arial"/>
                <w:b w:val="false"/>
                <w:bCs w:val="false"/>
                <w:i w:val="false"/>
                <w:iCs w:val="false"/>
                <w:color w:val="000000"/>
                <w:sz w:val="18"/>
                <w:szCs w:val="18"/>
              </w:rPr>
              <w:t xml:space="preserve">0.04x</w:t>
            </w:r>
          </w:p>
        </w:tc>
        <w:tc>
          <w:tcPr>
            <w:tcW w:type="dxa" w:w="28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Nowhere near</w:t>
            </w:r>
          </w:p>
        </w:tc>
      </w:tr>
      <w:tr>
        <w:tc>
          <w:tcPr>
            <w:tcW w:type="dxa" w:w="42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FY2026</w:t>
            </w:r>
          </w:p>
        </w:tc>
        <w:tc>
          <w:tcPr>
            <w:tcW w:type="dxa" w:w="2700"/>
            <w:shd w:fill="FFF2CC" w:color="auto" w:val="clear"/>
            <w:tcMar>
              <w:top w:type="dxa" w:w="70"/>
              <w:left w:type="dxa" w:w="90"/>
              <w:bottom w:type="dxa" w:w="70"/>
              <w:right w:type="dxa" w:w="90"/>
            </w:tcMar>
            <w:vAlign w:val="top"/>
          </w:tcPr>
          <w:p>
            <w:pPr>
              <w:spacing w:after="20" w:before="20"/>
              <w:jc w:val="right"/>
            </w:pPr>
            <w:r>
              <w:rPr>
                <w:rFonts w:ascii="Arial" w:cs="Arial" w:eastAsia="Arial" w:hAnsi="Arial"/>
                <w:b/>
                <w:bCs/>
                <w:i w:val="false"/>
                <w:iCs w:val="false"/>
                <w:color w:val="000000"/>
                <w:sz w:val="18"/>
                <w:szCs w:val="18"/>
              </w:rPr>
              <w:t xml:space="preserve">0.10x</w:t>
            </w:r>
          </w:p>
        </w:tc>
        <w:tc>
          <w:tcPr>
            <w:tcW w:type="dxa" w:w="2846"/>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Half way</w:t>
            </w:r>
          </w:p>
        </w:tc>
      </w:tr>
      <w:tr>
        <w:tc>
          <w:tcPr>
            <w:tcW w:type="dxa" w:w="42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After the Rs 1,000 crore bond (estimated)</w:t>
            </w:r>
          </w:p>
        </w:tc>
        <w:tc>
          <w:tcPr>
            <w:tcW w:type="dxa" w:w="2700"/>
            <w:shd w:fill="FFF2CC" w:color="auto" w:val="clear"/>
            <w:tcMar>
              <w:top w:type="dxa" w:w="70"/>
              <w:left w:type="dxa" w:w="90"/>
              <w:bottom w:type="dxa" w:w="70"/>
              <w:right w:type="dxa" w:w="90"/>
            </w:tcMar>
            <w:vAlign w:val="top"/>
          </w:tcPr>
          <w:p>
            <w:pPr>
              <w:spacing w:after="20" w:before="20"/>
              <w:jc w:val="right"/>
            </w:pPr>
            <w:r>
              <w:rPr>
                <w:rFonts w:ascii="Arial" w:cs="Arial" w:eastAsia="Arial" w:hAnsi="Arial"/>
                <w:b/>
                <w:bCs/>
                <w:i w:val="false"/>
                <w:iCs w:val="false"/>
                <w:color w:val="000000"/>
                <w:sz w:val="18"/>
                <w:szCs w:val="18"/>
              </w:rPr>
              <w:t xml:space="preserve">0.14x</w:t>
            </w:r>
          </w:p>
        </w:tc>
        <w:tc>
          <w:tcPr>
            <w:tcW w:type="dxa" w:w="2846"/>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70% of the way there</w:t>
            </w:r>
          </w:p>
        </w:tc>
      </w:tr>
      <w:tr>
        <w:tc>
          <w:tcPr>
            <w:tcW w:type="dxa" w:w="42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CRISIL's downgrade trigger</w:t>
            </w:r>
          </w:p>
        </w:tc>
        <w:tc>
          <w:tcPr>
            <w:tcW w:type="dxa" w:w="2700"/>
            <w:shd w:fill="FCE4D6" w:color="auto" w:val="clear"/>
            <w:tcMar>
              <w:top w:type="dxa" w:w="70"/>
              <w:left w:type="dxa" w:w="90"/>
              <w:bottom w:type="dxa" w:w="70"/>
              <w:right w:type="dxa" w:w="90"/>
            </w:tcMar>
            <w:vAlign w:val="top"/>
          </w:tcPr>
          <w:p>
            <w:pPr>
              <w:spacing w:after="20" w:before="20"/>
              <w:jc w:val="right"/>
            </w:pPr>
            <w:r>
              <w:rPr>
                <w:rFonts w:ascii="Arial" w:cs="Arial" w:eastAsia="Arial" w:hAnsi="Arial"/>
                <w:b/>
                <w:bCs/>
                <w:i w:val="false"/>
                <w:iCs w:val="false"/>
                <w:color w:val="000000"/>
                <w:sz w:val="18"/>
                <w:szCs w:val="18"/>
              </w:rPr>
              <w:t xml:space="preserve">0.20x</w:t>
            </w:r>
          </w:p>
        </w:tc>
        <w:tc>
          <w:tcPr>
            <w:tcW w:type="dxa" w:w="2846"/>
            <w:shd w:fill="FCE4D6"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8"/>
                <w:szCs w:val="18"/>
              </w:rPr>
              <w:t xml:space="preserve">Rs 1,467 crore of borrowing left</w:t>
            </w:r>
          </w:p>
        </w:tc>
      </w:tr>
    </w:tbl>
    <w:p>
      <w:pPr>
        <w:spacing w:after="100" w:before="0"/>
      </w:pPr>
      <w:r>
        <w:rPr>
          <w:rFonts w:ascii="Arial" w:cs="Arial" w:eastAsia="Arial" w:hAnsi="Arial"/>
          <w:b w:val="false"/>
          <w:bCs w:val="false"/>
          <w:i w:val="false"/>
          <w:iCs w:val="false"/>
          <w:color w:val="000000"/>
          <w:sz w:val="21"/>
          <w:szCs w:val="21"/>
        </w:rPr>
        <w:t xml:space="preserve"/>
      </w:r>
    </w:p>
    <w:p>
      <w:pPr>
        <w:spacing w:after="140" w:before="0"/>
      </w:pPr>
      <w:r>
        <w:rPr>
          <w:rFonts w:ascii="Arial" w:cs="Arial" w:eastAsia="Arial" w:hAnsi="Arial"/>
          <w:b/>
          <w:bCs/>
          <w:i w:val="false"/>
          <w:iCs w:val="false"/>
          <w:color w:val="000000"/>
          <w:sz w:val="21"/>
          <w:szCs w:val="21"/>
        </w:rPr>
        <w:t xml:space="preserve">So the honest position is this. DMart is not close to trouble, but it is no longer a company with unlimited borrowing room. The gearing ratio more than doubled in a single year, and the planned bond uses up about 40% of the remaining space before CRISIL's stated line. After the bond, roughly Rs 1,467 crore of borrowing capacity is left before the rating conversation starts.</w:t>
      </w:r>
    </w:p>
    <w:p>
      <w:pPr>
        <w:spacing w:after="140" w:before="0"/>
      </w:pPr>
      <w:r>
        <w:rPr>
          <w:rFonts w:ascii="Arial" w:cs="Arial" w:eastAsia="Arial" w:hAnsi="Arial"/>
          <w:b w:val="false"/>
          <w:bCs w:val="false"/>
          <w:i/>
          <w:iCs/>
          <w:color w:val="000000"/>
          <w:sz w:val="19"/>
          <w:szCs w:val="19"/>
        </w:rPr>
        <w:t xml:space="preserve">One important caveat: the sensitivity factors above come from CRISIL's rationale published in August 2025. In August 2026 CRISIL assigned AAA to the Rs 1,000 crore bond itself, knowing the company planned to raise it. That strongly suggests CRISIL is comfortable at 0.14x. The 0.20x line is a guide, not a cliff edge.</w:t>
      </w:r>
    </w:p>
    <w:p>
      <w:pPr>
        <w:sectPr>
          <w:pgSz w:w="11906" w:h="16838" w:orient="portrait"/>
          <w:pgMar w:top="900" w:right="1080" w:bottom="900" w:left="1080" w:header="708" w:footer="708" w:gutter="0"/>
          <w:pgNumType/>
          <w:docGrid w:linePitch="360"/>
        </w:sectPr>
      </w:pPr>
    </w:p>
    <w:p>
      <w:pPr>
        <w:spacing w:after="60"/>
      </w:pPr>
      <w:r>
        <w:rPr>
          <w:rFonts w:ascii="Arial" w:cs="Arial" w:eastAsia="Arial" w:hAnsi="Arial"/>
          <w:b/>
          <w:bCs/>
          <w:color w:val="1F3864"/>
          <w:sz w:val="28"/>
          <w:szCs w:val="28"/>
        </w:rPr>
        <w:t xml:space="preserve">2. Market / Rating Risk Assessment</w:t>
      </w:r>
    </w:p>
    <w:p>
      <w:pPr>
        <w:spacing w:after="180" w:before="0"/>
      </w:pPr>
      <w:r>
        <w:rPr>
          <w:rFonts w:ascii="Arial" w:cs="Arial" w:eastAsia="Arial" w:hAnsi="Arial"/>
          <w:b w:val="false"/>
          <w:bCs w:val="false"/>
          <w:i w:val="false"/>
          <w:iCs w:val="false"/>
          <w:color w:val="404040"/>
          <w:sz w:val="19"/>
          <w:szCs w:val="19"/>
        </w:rPr>
        <w:t xml:space="preserve">How a lender, bond investor or rating agency would read each of DMart's key numbers. All figures consolidated unless stated.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7600"/>
        <w:gridCol w:w="2498"/>
      </w:tblGrid>
      <w:tr>
        <w:trPr>
          <w:tblHeader/>
        </w:trPr>
        <w:tc>
          <w:tcPr>
            <w:tcW w:type="dxa" w:w="19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Risk Factor</w:t>
            </w:r>
          </w:p>
        </w:tc>
        <w:tc>
          <w:tcPr>
            <w:tcW w:type="dxa" w:w="34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Where DMart stands</w:t>
            </w:r>
          </w:p>
        </w:tc>
        <w:tc>
          <w:tcPr>
            <w:tcW w:type="dxa" w:w="76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Market / Lender Interpretation</w:t>
            </w:r>
          </w:p>
        </w:tc>
        <w:tc>
          <w:tcPr>
            <w:tcW w:type="dxa" w:w="2498"/>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Signal</w:t>
            </w:r>
          </w:p>
        </w:tc>
      </w:tr>
      <w:tr>
        <w:tc>
          <w:tcPr>
            <w:tcW w:type="dxa" w:w="19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Debt-equity</w:t>
            </w:r>
          </w:p>
        </w:tc>
        <w:tc>
          <w:tcPr>
            <w:tcW w:type="dxa" w:w="34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0.03x (FY24)</w:t>
            </w:r>
          </w:p>
          <w:p>
            <w:pPr>
              <w:spacing w:after="20" w:before="50"/>
              <w:jc w:val="left"/>
            </w:pPr>
            <w:r>
              <w:rPr>
                <w:rFonts w:ascii="Arial" w:cs="Arial" w:eastAsia="Arial" w:hAnsi="Arial"/>
                <w:b w:val="false"/>
                <w:bCs w:val="false"/>
                <w:i w:val="false"/>
                <w:iCs w:val="false"/>
                <w:color w:val="000000"/>
                <w:sz w:val="16"/>
                <w:szCs w:val="16"/>
              </w:rPr>
              <w:t xml:space="preserve">0.04x (FY25)</w:t>
            </w:r>
          </w:p>
          <w:p>
            <w:pPr>
              <w:spacing w:after="20" w:before="50"/>
              <w:jc w:val="left"/>
            </w:pPr>
            <w:r>
              <w:rPr>
                <w:rFonts w:ascii="Arial" w:cs="Arial" w:eastAsia="Arial" w:hAnsi="Arial"/>
                <w:b w:val="false"/>
                <w:bCs w:val="false"/>
                <w:i w:val="false"/>
                <w:iCs w:val="false"/>
                <w:color w:val="000000"/>
                <w:sz w:val="16"/>
                <w:szCs w:val="16"/>
              </w:rPr>
              <w:t xml:space="preserve">0.10x (FY26)</w:t>
            </w:r>
          </w:p>
          <w:p>
            <w:pPr>
              <w:spacing w:after="20" w:before="50"/>
              <w:jc w:val="left"/>
            </w:pPr>
            <w:r>
              <w:rPr>
                <w:rFonts w:ascii="Arial" w:cs="Arial" w:eastAsia="Arial" w:hAnsi="Arial"/>
                <w:b w:val="false"/>
                <w:bCs w:val="false"/>
                <w:i w:val="false"/>
                <w:iCs w:val="false"/>
                <w:color w:val="000000"/>
                <w:sz w:val="16"/>
                <w:szCs w:val="16"/>
              </w:rPr>
              <w:t xml:space="preserve">0.14x after the bond</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CRISIL trigger: 0.20x</w:t>
            </w:r>
          </w:p>
        </w:tc>
        <w:tc>
          <w:tcPr>
            <w:tcW w:type="dxa" w:w="76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The level is fine. The speed is what a lender notices. Debt relative to net worth more than doubled in one year, and the planned bond takes it to about 70% of the level CRISIL has said would threaten the rating.</w:t>
            </w:r>
          </w:p>
          <w:p>
            <w:pPr>
              <w:spacing w:after="20" w:before="50"/>
              <w:jc w:val="left"/>
            </w:pPr>
            <w:r>
              <w:rPr>
                <w:rFonts w:ascii="Arial" w:cs="Arial" w:eastAsia="Arial" w:hAnsi="Arial"/>
                <w:b w:val="false"/>
                <w:bCs w:val="false"/>
                <w:i w:val="false"/>
                <w:iCs w:val="false"/>
                <w:color w:val="000000"/>
                <w:sz w:val="16"/>
                <w:szCs w:val="16"/>
              </w:rPr>
              <w:t xml:space="preserve">A lender reading this sees a company that was genuinely debt-free two years ago and is now borrowing meaningfully for the first time. Nothing here blocks the bond, but it does mean the next raise gets harder scrutiny than this one.</w:t>
            </w:r>
          </w:p>
        </w:tc>
        <w:tc>
          <w:tcPr>
            <w:tcW w:type="dxa" w:w="2498"/>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WATCH</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Low level, fast trend.</w:t>
            </w:r>
          </w:p>
        </w:tc>
      </w:tr>
      <w:tr>
        <w:tc>
          <w:tcPr>
            <w:tcW w:type="dxa" w:w="19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Net debt / EBITDA</w:t>
            </w:r>
          </w:p>
        </w:tc>
        <w:tc>
          <w:tcPr>
            <w:tcW w:type="dxa" w:w="34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-0.04x (FY24, net cash)</w:t>
            </w:r>
          </w:p>
          <w:p>
            <w:pPr>
              <w:spacing w:after="20" w:before="50"/>
              <w:jc w:val="left"/>
            </w:pPr>
            <w:r>
              <w:rPr>
                <w:rFonts w:ascii="Arial" w:cs="Arial" w:eastAsia="Arial" w:hAnsi="Arial"/>
                <w:b w:val="false"/>
                <w:bCs w:val="false"/>
                <w:i w:val="false"/>
                <w:iCs w:val="false"/>
                <w:color w:val="000000"/>
                <w:sz w:val="16"/>
                <w:szCs w:val="16"/>
              </w:rPr>
              <w:t xml:space="preserve">0.10x (FY25)</w:t>
            </w:r>
          </w:p>
          <w:p>
            <w:pPr>
              <w:spacing w:after="20" w:before="50"/>
              <w:jc w:val="left"/>
            </w:pPr>
            <w:r>
              <w:rPr>
                <w:rFonts w:ascii="Arial" w:cs="Arial" w:eastAsia="Arial" w:hAnsi="Arial"/>
                <w:b w:val="false"/>
                <w:bCs w:val="false"/>
                <w:i w:val="false"/>
                <w:iCs w:val="false"/>
                <w:color w:val="000000"/>
                <w:sz w:val="16"/>
                <w:szCs w:val="16"/>
              </w:rPr>
              <w:t xml:space="preserve">0.41x (FY26)</w:t>
            </w:r>
          </w:p>
          <w:p>
            <w:pPr>
              <w:spacing w:after="20" w:before="50"/>
              <w:jc w:val="left"/>
            </w:pPr>
            <w:r>
              <w:rPr>
                <w:rFonts w:ascii="Arial" w:cs="Arial" w:eastAsia="Arial" w:hAnsi="Arial"/>
                <w:b w:val="false"/>
                <w:bCs w:val="false"/>
                <w:i w:val="false"/>
                <w:iCs w:val="false"/>
                <w:color w:val="000000"/>
                <w:sz w:val="16"/>
                <w:szCs w:val="16"/>
              </w:rPr>
              <w:t xml:space="preserve">0.60x after the bond</w:t>
            </w:r>
          </w:p>
        </w:tc>
        <w:tc>
          <w:tcPr>
            <w:tcW w:type="dxa" w:w="76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This measures how many years of profit it would take to repay the debt. Under 3.0x is normally considered safe for a retailer; DMart is at well under one.</w:t>
            </w:r>
          </w:p>
          <w:p>
            <w:pPr>
              <w:spacing w:after="20" w:before="50"/>
              <w:jc w:val="left"/>
            </w:pPr>
            <w:r>
              <w:rPr>
                <w:rFonts w:ascii="Arial" w:cs="Arial" w:eastAsia="Arial" w:hAnsi="Arial"/>
                <w:b w:val="false"/>
                <w:bCs w:val="false"/>
                <w:i w:val="false"/>
                <w:iCs w:val="false"/>
                <w:color w:val="000000"/>
                <w:sz w:val="16"/>
                <w:szCs w:val="16"/>
              </w:rPr>
              <w:t xml:space="preserve">Even so, the company has crossed a line that matters symbolically: in FY2024 it held more cash than debt, and it no longer does. A lender treats this as comfortable but no longer exceptional.</w:t>
            </w:r>
          </w:p>
        </w:tc>
        <w:tc>
          <w:tcPr>
            <w:tcW w:type="dxa" w:w="2498"/>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COMFORTABLE</w:t>
            </w:r>
          </w:p>
        </w:tc>
      </w:tr>
      <w:tr>
        <w:tc>
          <w:tcPr>
            <w:tcW w:type="dxa" w:w="19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Interest coverage</w:t>
            </w:r>
          </w:p>
        </w:tc>
        <w:tc>
          <w:tcPr>
            <w:tcW w:type="dxa" w:w="34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29x (FY26, profit vs interest)</w:t>
            </w:r>
          </w:p>
          <w:p>
            <w:pPr>
              <w:spacing w:after="20" w:before="50"/>
              <w:jc w:val="left"/>
            </w:pPr>
            <w:r>
              <w:rPr>
                <w:rFonts w:ascii="Arial" w:cs="Arial" w:eastAsia="Arial" w:hAnsi="Arial"/>
                <w:b w:val="false"/>
                <w:bCs w:val="false"/>
                <w:i w:val="false"/>
                <w:iCs w:val="false"/>
                <w:color w:val="000000"/>
                <w:sz w:val="16"/>
                <w:szCs w:val="16"/>
              </w:rPr>
              <w:t xml:space="preserve">About 19x after the bond</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Company's own disclosed figure for Q1 FY27: 21.65x</w:t>
            </w:r>
          </w:p>
        </w:tc>
        <w:tc>
          <w:tcPr>
            <w:tcW w:type="dxa" w:w="76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This is how many times over the company can pay its interest bill out of profit. The fall from 58x in FY2024 to 29x looks dramatic, but it is arithmetic: the interest bill is growing from almost nothing.</w:t>
            </w:r>
          </w:p>
          <w:p>
            <w:pPr>
              <w:spacing w:after="20" w:before="50"/>
              <w:jc w:val="left"/>
            </w:pPr>
            <w:r>
              <w:rPr>
                <w:rFonts w:ascii="Arial" w:cs="Arial" w:eastAsia="Arial" w:hAnsi="Arial"/>
                <w:b w:val="false"/>
                <w:bCs w:val="false"/>
                <w:i w:val="false"/>
                <w:iCs w:val="false"/>
                <w:color w:val="000000"/>
                <w:sz w:val="16"/>
                <w:szCs w:val="16"/>
              </w:rPr>
              <w:t xml:space="preserve">Nineteen times cover is far beyond anything a lender would worry about. Debt servicing is simply not a constraint on how much DMart can borrow. The constraint is the gearing ratio above, not this one.</w:t>
            </w:r>
          </w:p>
        </w:tc>
        <w:tc>
          <w:tcPr>
            <w:tcW w:type="dxa" w:w="2498"/>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STRONG</w:t>
            </w:r>
          </w:p>
        </w:tc>
      </w:tr>
      <w:tr>
        <w:tc>
          <w:tcPr>
            <w:tcW w:type="dxa" w:w="19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Cash flow from operations</w:t>
            </w:r>
          </w:p>
        </w:tc>
        <w:tc>
          <w:tcPr>
            <w:tcW w:type="dxa" w:w="34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Rs 2,746 Cr (FY24)</w:t>
            </w:r>
          </w:p>
          <w:p>
            <w:pPr>
              <w:spacing w:after="20" w:before="50"/>
              <w:jc w:val="left"/>
            </w:pPr>
            <w:r>
              <w:rPr>
                <w:rFonts w:ascii="Arial" w:cs="Arial" w:eastAsia="Arial" w:hAnsi="Arial"/>
                <w:b w:val="false"/>
                <w:bCs w:val="false"/>
                <w:i w:val="false"/>
                <w:iCs w:val="false"/>
                <w:color w:val="000000"/>
                <w:sz w:val="16"/>
                <w:szCs w:val="16"/>
              </w:rPr>
              <w:t xml:space="preserve">Rs 2,463 Cr (FY25)</w:t>
            </w:r>
          </w:p>
          <w:p>
            <w:pPr>
              <w:spacing w:after="20" w:before="50"/>
              <w:jc w:val="left"/>
            </w:pPr>
            <w:r>
              <w:rPr>
                <w:rFonts w:ascii="Arial" w:cs="Arial" w:eastAsia="Arial" w:hAnsi="Arial"/>
                <w:b w:val="false"/>
                <w:bCs w:val="false"/>
                <w:i w:val="false"/>
                <w:iCs w:val="false"/>
                <w:color w:val="000000"/>
                <w:sz w:val="16"/>
                <w:szCs w:val="16"/>
              </w:rPr>
              <w:t xml:space="preserve">Rs 3,467 Cr (FY26)</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Capex FY26: Rs 4,113 Cr</w:t>
            </w:r>
          </w:p>
          <w:p>
            <w:pPr>
              <w:spacing w:after="20" w:before="50"/>
              <w:jc w:val="left"/>
            </w:pPr>
            <w:r>
              <w:rPr>
                <w:rFonts w:ascii="Arial" w:cs="Arial" w:eastAsia="Arial" w:hAnsi="Arial"/>
                <w:b w:val="false"/>
                <w:bCs w:val="false"/>
                <w:i w:val="false"/>
                <w:iCs w:val="false"/>
                <w:color w:val="000000"/>
                <w:sz w:val="16"/>
                <w:szCs w:val="16"/>
              </w:rPr>
              <w:t xml:space="preserve">Free cash flow: -Rs 647 Cr</w:t>
            </w:r>
          </w:p>
        </w:tc>
        <w:tc>
          <w:tcPr>
            <w:tcW w:type="dxa" w:w="76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This is the row that explains why the company is borrowing at all. Operating cash is healthy and growing, and about two-thirds of profit converts into actual cash, which is exactly what makes a thin-margin retailer financeable.</w:t>
            </w:r>
          </w:p>
          <w:p>
            <w:pPr>
              <w:spacing w:after="20" w:before="50"/>
              <w:jc w:val="left"/>
            </w:pPr>
            <w:r>
              <w:rPr>
                <w:rFonts w:ascii="Arial" w:cs="Arial" w:eastAsia="Arial" w:hAnsi="Arial"/>
                <w:b w:val="false"/>
                <w:bCs w:val="false"/>
                <w:i w:val="false"/>
                <w:iCs w:val="false"/>
                <w:color w:val="000000"/>
                <w:sz w:val="16"/>
                <w:szCs w:val="16"/>
              </w:rPr>
              <w:t xml:space="preserve">But spending has outrun it for two years running. In its 2025 rationale CRISIL expected annual cash generation to be sufficient for capex, with low dependence on external borrowing. FY2026 capex came in above CRISIL's expected range, and the company borrowed. Reality has moved past the agency's base case.</w:t>
            </w:r>
          </w:p>
        </w:tc>
        <w:tc>
          <w:tcPr>
            <w:tcW w:type="dxa" w:w="2498"/>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WATCH</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Strong cash, but capex is outrunning it.</w:t>
            </w:r>
          </w:p>
        </w:tc>
      </w:tr>
      <w:tr>
        <w:tc>
          <w:tcPr>
            <w:tcW w:type="dxa" w:w="19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EBITDA margin</w:t>
            </w:r>
          </w:p>
        </w:tc>
        <w:tc>
          <w:tcPr>
            <w:tcW w:type="dxa" w:w="34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8.3% (FY24)</w:t>
            </w:r>
          </w:p>
          <w:p>
            <w:pPr>
              <w:spacing w:after="20" w:before="50"/>
              <w:jc w:val="left"/>
            </w:pPr>
            <w:r>
              <w:rPr>
                <w:rFonts w:ascii="Arial" w:cs="Arial" w:eastAsia="Arial" w:hAnsi="Arial"/>
                <w:b w:val="false"/>
                <w:bCs w:val="false"/>
                <w:i w:val="false"/>
                <w:iCs w:val="false"/>
                <w:color w:val="000000"/>
                <w:sz w:val="16"/>
                <w:szCs w:val="16"/>
              </w:rPr>
              <w:t xml:space="preserve">7.9% (FY25)</w:t>
            </w:r>
          </w:p>
          <w:p>
            <w:pPr>
              <w:spacing w:after="20" w:before="50"/>
              <w:jc w:val="left"/>
            </w:pPr>
            <w:r>
              <w:rPr>
                <w:rFonts w:ascii="Arial" w:cs="Arial" w:eastAsia="Arial" w:hAnsi="Arial"/>
                <w:b w:val="false"/>
                <w:bCs w:val="false"/>
                <w:i w:val="false"/>
                <w:iCs w:val="false"/>
                <w:color w:val="000000"/>
                <w:sz w:val="16"/>
                <w:szCs w:val="16"/>
              </w:rPr>
              <w:t xml:space="preserve">7.8% (FY26)</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Like-for-like sales growth: 9.9% to 8.4% to 8.1%</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Revenue per sq ft fell for the first time, Rs 33,896 to Rs 33,422</w:t>
            </w:r>
          </w:p>
        </w:tc>
        <w:tc>
          <w:tcPr>
            <w:tcW w:type="dxa" w:w="7600"/>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Deep-discount grocery always runs on thin margins, so the level is not the issue. The slow, steady decline is.</w:t>
            </w:r>
          </w:p>
          <w:p>
            <w:pPr>
              <w:spacing w:after="20" w:before="50"/>
              <w:jc w:val="left"/>
            </w:pPr>
            <w:r>
              <w:rPr>
                <w:rFonts w:ascii="Arial" w:cs="Arial" w:eastAsia="Arial" w:hAnsi="Arial"/>
                <w:b w:val="false"/>
                <w:bCs w:val="false"/>
                <w:i w:val="false"/>
                <w:iCs w:val="false"/>
                <w:color w:val="000000"/>
                <w:sz w:val="16"/>
                <w:szCs w:val="16"/>
              </w:rPr>
              <w:t xml:space="preserve">Three things are squeezing it: newer stores not yet at full productivity, a shift towards lower-margin food and FMCG, and a 33% jump in employee costs in FY2026. Revenue per square foot falling for the first time is the detail an analyst would circle, because it suggests new stores are being added faster than sales are being added.</w:t>
            </w:r>
          </w:p>
          <w:p>
            <w:pPr>
              <w:spacing w:after="20" w:before="50"/>
              <w:jc w:val="left"/>
            </w:pPr>
            <w:r>
              <w:rPr>
                <w:rFonts w:ascii="Arial" w:cs="Arial" w:eastAsia="Arial" w:hAnsi="Arial"/>
                <w:b w:val="false"/>
                <w:bCs w:val="false"/>
                <w:i w:val="false"/>
                <w:iCs w:val="false"/>
                <w:color w:val="000000"/>
                <w:sz w:val="16"/>
                <w:szCs w:val="16"/>
              </w:rPr>
              <w:t xml:space="preserve">A lender tolerates thin margins if the rupee profit keeps growing, which it does. But margin has no cushion left if competition intensifies.</w:t>
            </w:r>
          </w:p>
        </w:tc>
        <w:tc>
          <w:tcPr>
            <w:tcW w:type="dxa" w:w="2498"/>
            <w:shd w:fill="FFF2CC"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WATCH</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Slow erosion, no cushion.</w:t>
            </w:r>
          </w:p>
        </w:tc>
      </w:tr>
      <w:tr>
        <w:tc>
          <w:tcPr>
            <w:tcW w:type="dxa" w:w="19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Sector outlook</w:t>
            </w:r>
          </w:p>
        </w:tc>
        <w:tc>
          <w:tcPr>
            <w:tcW w:type="dxa" w:w="34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Organised grocery is only about 6% of the Indian market</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DMart Ready loss: Rs 307 Cr (FY26), up from Rs 247 Cr</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Ready cities cut from 24 to 18 to 11</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Share price down about 19% over the year</w:t>
            </w:r>
          </w:p>
        </w:tc>
        <w:tc>
          <w:tcPr>
            <w:tcW w:type="dxa" w:w="7600"/>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The opportunity is real. Only around 6% of Indian grocery is organised, so there is enormous room to grow, and CRISIL notes DMart's revenue per square foot beats most competitors.</w:t>
            </w:r>
          </w:p>
          <w:p>
            <w:pPr>
              <w:spacing w:after="20" w:before="50"/>
              <w:jc w:val="left"/>
            </w:pPr>
            <w:r>
              <w:rPr>
                <w:rFonts w:ascii="Arial" w:cs="Arial" w:eastAsia="Arial" w:hAnsi="Arial"/>
                <w:b w:val="false"/>
                <w:bCs w:val="false"/>
                <w:i w:val="false"/>
                <w:iCs w:val="false"/>
                <w:color w:val="000000"/>
                <w:sz w:val="16"/>
                <w:szCs w:val="16"/>
              </w:rPr>
              <w:t xml:space="preserve">The threat is also real, and it is the weakest point in the whole assessment. Quick commerce players, Blinkit, Zepto, BigBasket and JioMart, are growing aggressively in exactly DMart's categories. DMart's own online arm has never made a profit in seven years, has lost about Rs 1,235 crore cumulatively, and the loss is still widening.</w:t>
            </w:r>
          </w:p>
          <w:p>
            <w:pPr>
              <w:spacing w:after="20" w:before="50"/>
              <w:jc w:val="left"/>
            </w:pPr>
            <w:r>
              <w:rPr>
                <w:rFonts w:ascii="Arial" w:cs="Arial" w:eastAsia="Arial" w:hAnsi="Arial"/>
                <w:b w:val="false"/>
                <w:bCs w:val="false"/>
                <w:i w:val="false"/>
                <w:iCs w:val="false"/>
                <w:color w:val="000000"/>
                <w:sz w:val="16"/>
                <w:szCs w:val="16"/>
              </w:rPr>
              <w:t xml:space="preserve">Most telling, DMart has pulled DMart Ready back from 24 cities to 11. Cutting losses is sensible, but it also means the company has no answer yet to online grocery. The market has priced this in: the shares are down about 19%.</w:t>
            </w:r>
          </w:p>
        </w:tc>
        <w:tc>
          <w:tcPr>
            <w:tcW w:type="dxa" w:w="2498"/>
            <w:shd w:fill="FCE4D6"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MAIN RISK</w:t>
            </w:r>
          </w:p>
          <w:p>
            <w:pPr>
              <w:spacing w:after="20" w:before="50"/>
              <w:jc w:val="left"/>
            </w:pPr>
            <w:r>
              <w:rPr>
                <w:rFonts w:ascii="Arial" w:cs="Arial" w:eastAsia="Arial" w:hAnsi="Arial"/>
                <w:b/>
                <w:bCs/>
                <w:i w:val="false"/>
                <w:iCs w:val="false"/>
                <w:color w:val="000000"/>
                <w:sz w:val="16"/>
                <w:szCs w:val="16"/>
              </w:rPr>
              <w:t xml:space="preserve"/>
            </w:r>
          </w:p>
          <w:p>
            <w:pPr>
              <w:spacing w:after="20" w:before="50"/>
              <w:jc w:val="left"/>
            </w:pPr>
            <w:r>
              <w:rPr>
                <w:rFonts w:ascii="Arial" w:cs="Arial" w:eastAsia="Arial" w:hAnsi="Arial"/>
                <w:b/>
                <w:bCs/>
                <w:i w:val="false"/>
                <w:iCs w:val="false"/>
                <w:color w:val="000000"/>
                <w:sz w:val="16"/>
                <w:szCs w:val="16"/>
              </w:rPr>
              <w:t xml:space="preserve">Structural, not cyclical.</w:t>
            </w:r>
          </w:p>
        </w:tc>
      </w:tr>
      <w:tr>
        <w:tc>
          <w:tcPr>
            <w:tcW w:type="dxa" w:w="19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Governance / promoter confidence</w:t>
            </w:r>
          </w:p>
        </w:tc>
        <w:tc>
          <w:tcPr>
            <w:tcW w:type="dxa" w:w="34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Promoters hold 74.48%</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Zero shares pledged or encumbered</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44% of the board is independent; 33% women</w:t>
            </w:r>
          </w:p>
          <w:p>
            <w:pPr>
              <w:spacing w:after="20" w:before="50"/>
              <w:jc w:val="left"/>
            </w:pPr>
            <w:r>
              <w:rPr>
                <w:rFonts w:ascii="Arial" w:cs="Arial" w:eastAsia="Arial" w:hAnsi="Arial"/>
                <w:b w:val="false"/>
                <w:bCs w:val="false"/>
                <w:i w:val="false"/>
                <w:iCs w:val="false"/>
                <w:color w:val="000000"/>
                <w:sz w:val="16"/>
                <w:szCs w:val="16"/>
              </w:rPr>
              <w:t xml:space="preserve"/>
            </w:r>
          </w:p>
          <w:p>
            <w:pPr>
              <w:spacing w:after="20" w:before="50"/>
              <w:jc w:val="left"/>
            </w:pPr>
            <w:r>
              <w:rPr>
                <w:rFonts w:ascii="Arial" w:cs="Arial" w:eastAsia="Arial" w:hAnsi="Arial"/>
                <w:b w:val="false"/>
                <w:bCs w:val="false"/>
                <w:i w:val="false"/>
                <w:iCs w:val="false"/>
                <w:color w:val="000000"/>
                <w:sz w:val="16"/>
                <w:szCs w:val="16"/>
              </w:rPr>
              <w:t xml:space="preserve">Chairman and CEO roles are separate</w:t>
            </w:r>
          </w:p>
        </w:tc>
        <w:tc>
          <w:tcPr>
            <w:tcW w:type="dxa" w:w="7600"/>
            <w:shd w:fill="E2EFDA"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6"/>
                <w:szCs w:val="16"/>
              </w:rPr>
              <w:t xml:space="preserve">This is the strongest row. Promoters hold nearly the maximum permitted stake and have not sold down, which is the clearest possible statement of confidence in their own business.</w:t>
            </w:r>
          </w:p>
          <w:p>
            <w:pPr>
              <w:spacing w:after="20" w:before="50"/>
              <w:jc w:val="left"/>
            </w:pPr>
            <w:r>
              <w:rPr>
                <w:rFonts w:ascii="Arial" w:cs="Arial" w:eastAsia="Arial" w:hAnsi="Arial"/>
                <w:b w:val="false"/>
                <w:bCs w:val="false"/>
                <w:i w:val="false"/>
                <w:iCs w:val="false"/>
                <w:color w:val="000000"/>
                <w:sz w:val="16"/>
                <w:szCs w:val="16"/>
              </w:rPr>
              <w:t xml:space="preserve">Critically, not a single promoter share is pledged, mortgaged or otherwise encumbered. Pledged promoter shares are one of the first things an Indian lender checks, because they signal financial stress in the promoter family that can spill into the company. There is none here.</w:t>
            </w:r>
          </w:p>
          <w:p>
            <w:pPr>
              <w:spacing w:after="20" w:before="50"/>
              <w:jc w:val="left"/>
            </w:pPr>
            <w:r>
              <w:rPr>
                <w:rFonts w:ascii="Arial" w:cs="Arial" w:eastAsia="Arial" w:hAnsi="Arial"/>
                <w:b w:val="false"/>
                <w:bCs w:val="false"/>
                <w:i w:val="false"/>
                <w:iCs w:val="false"/>
                <w:color w:val="000000"/>
                <w:sz w:val="16"/>
                <w:szCs w:val="16"/>
              </w:rPr>
              <w:t xml:space="preserve">CRISIL specifically cites the independent board, the split between chairman and CEO and extensive disclosure as supporting the credit profile.</w:t>
            </w:r>
          </w:p>
        </w:tc>
        <w:tc>
          <w:tcPr>
            <w:tcW w:type="dxa" w:w="2498"/>
            <w:shd w:fill="E2EFDA"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6"/>
                <w:szCs w:val="16"/>
              </w:rPr>
              <w:t xml:space="preserve">STRONG</w:t>
            </w:r>
          </w:p>
        </w:tc>
      </w:tr>
    </w:tbl>
    <w:p>
      <w:pPr>
        <w:spacing w:after="140" w:before="140"/>
      </w:pPr>
      <w:r>
        <w:rPr>
          <w:rFonts w:ascii="Arial" w:cs="Arial" w:eastAsia="Arial" w:hAnsi="Arial"/>
          <w:b w:val="false"/>
          <w:bCs w:val="false"/>
          <w:i/>
          <w:iCs/>
          <w:color w:val="595959"/>
          <w:sz w:val="16"/>
          <w:szCs w:val="16"/>
        </w:rPr>
        <w:t xml:space="preserve">Signal key: STRONG / COMFORTABLE = no concern. WATCH = fine today, trend needs monitoring. MAIN RISK = the issue most likely to affect the rating or share price.</w:t>
      </w:r>
    </w:p>
    <w:p>
      <w:pPr>
        <w:sectPr>
          <w:pgSz w:w="16838" w:h="11906" w:orient="landscape"/>
          <w:pgMar w:top="720" w:right="720" w:bottom="720" w:left="720" w:header="708" w:footer="708" w:gutter="0"/>
          <w:pgNumType/>
          <w:docGrid w:linePitch="360"/>
        </w:sectPr>
      </w:pPr>
    </w:p>
    <w:p>
      <w:pPr>
        <w:pStyle w:val="Heading1"/>
        <w:spacing w:after="140" w:before="280"/>
      </w:pPr>
      <w:r>
        <w:rPr>
          <w:rFonts w:ascii="Arial" w:cs="Arial" w:eastAsia="Arial" w:hAnsi="Arial"/>
          <w:b/>
          <w:bCs/>
          <w:color w:val="1F3864"/>
          <w:sz w:val="27"/>
          <w:szCs w:val="27"/>
        </w:rPr>
        <w:t xml:space="preserve">3. What has changed since CRISIL last looked</w:t>
      </w:r>
    </w:p>
    <w:p>
      <w:pPr>
        <w:spacing w:after="140" w:before="0"/>
      </w:pPr>
      <w:r>
        <w:rPr>
          <w:rFonts w:ascii="Arial" w:cs="Arial" w:eastAsia="Arial" w:hAnsi="Arial"/>
          <w:b w:val="false"/>
          <w:bCs w:val="false"/>
          <w:i w:val="false"/>
          <w:iCs w:val="false"/>
          <w:color w:val="000000"/>
          <w:sz w:val="21"/>
          <w:szCs w:val="21"/>
        </w:rPr>
        <w:t xml:space="preserve">CRISIL's detailed rationale was written when DMart looked like a different company financially. Comparing what the agency assumed with what has since happened is the sharpest way to see where the risk now sits.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What CRISIL assumed (August 2025)</w:t>
            </w:r>
          </w:p>
        </w:tc>
        <w:tc>
          <w:tcPr>
            <w:tcW w:type="dxa" w:w="5146"/>
            <w:shd w:fill="1F3864"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FFFFFF"/>
                <w:sz w:val="18"/>
                <w:szCs w:val="18"/>
              </w:rPr>
              <w:t xml:space="preserve">What actually happened</w:t>
            </w:r>
          </w:p>
        </w:tc>
      </w:tr>
      <w:tr>
        <w:tc>
          <w:tcPr>
            <w:tcW w:type="dxa" w:w="46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 debt-free balance sheet as at 31 March 2025</w:t>
            </w:r>
          </w:p>
        </w:tc>
        <w:tc>
          <w:tcPr>
            <w:tcW w:type="dxa" w:w="5146"/>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FY2026 closed with Rs 965 crore of short-term borrowings, and a Rs 1,000 crore bond is now planned</w:t>
            </w:r>
          </w:p>
        </w:tc>
      </w:tr>
      <w:tr>
        <w:tc>
          <w:tcPr>
            <w:tcW w:type="dxa" w:w="46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Annual capex of Rs 3,200-4,000 crore</w:t>
            </w:r>
          </w:p>
        </w:tc>
        <w:tc>
          <w:tcPr>
            <w:tcW w:type="dxa" w:w="5146"/>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FY2026 capex was Rs 4,113 crore, above the expected range</w:t>
            </w:r>
          </w:p>
        </w:tc>
      </w:tr>
      <w:tr>
        <w:tc>
          <w:tcPr>
            <w:tcW w:type="dxa" w:w="46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Cash generation sufficient for capex, with low dependence on external borrowing</w:t>
            </w:r>
          </w:p>
        </w:tc>
        <w:tc>
          <w:tcPr>
            <w:tcW w:type="dxa" w:w="5146"/>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Cash generation fell short by Rs 647 crore, and external borrowing began</w:t>
            </w:r>
          </w:p>
        </w:tc>
      </w:tr>
      <w:tr>
        <w:tc>
          <w:tcPr>
            <w:tcW w:type="dxa" w:w="46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Negligible use of the Rs 445 crore working capital facility</w:t>
            </w:r>
          </w:p>
        </w:tc>
        <w:tc>
          <w:tcPr>
            <w:tcW w:type="dxa" w:w="5146"/>
            <w:shd w:fill="FFF2CC"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A Rs 380 crore overdraft was drawn by the end of FY2026</w:t>
            </w:r>
          </w:p>
        </w:tc>
      </w:tr>
      <w:tr>
        <w:tc>
          <w:tcPr>
            <w:tcW w:type="dxa" w:w="4600"/>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Online arm operating in 24 cities, with a prudent expansion plan limiting the risk</w:t>
            </w:r>
          </w:p>
        </w:tc>
        <w:tc>
          <w:tcPr>
            <w:tcW w:type="dxa" w:w="5146"/>
            <w:shd w:fill="FCE4D6" w:color="auto" w:val="clear"/>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8"/>
                <w:szCs w:val="18"/>
              </w:rPr>
              <w:t xml:space="preserve">Cut back to 11 cities, with losses still widening to Rs 307 crore</w:t>
            </w:r>
          </w:p>
        </w:tc>
      </w:tr>
    </w:tbl>
    <w:p>
      <w:pPr>
        <w:spacing w:after="140" w:before="140"/>
      </w:pPr>
      <w:r>
        <w:rPr>
          <w:rFonts w:ascii="Arial" w:cs="Arial" w:eastAsia="Arial" w:hAnsi="Arial"/>
          <w:b w:val="false"/>
          <w:bCs w:val="false"/>
          <w:i w:val="false"/>
          <w:iCs w:val="false"/>
          <w:color w:val="000000"/>
          <w:sz w:val="21"/>
          <w:szCs w:val="21"/>
        </w:rPr>
        <w:t xml:space="preserve">None of these individually threatens the rating, and CRISIL reaffirmed AAA on the bond itself in August 2026 with full knowledge of the plan. But together they show a company that has moved from self-funded growth to externally funded growth in about eighteen months. That is the single most important shift in the whole assessment.</w:t>
      </w:r>
    </w:p>
    <w:p>
      <w:pPr>
        <w:pStyle w:val="Heading1"/>
        <w:spacing w:after="140" w:before="280"/>
      </w:pPr>
      <w:r>
        <w:rPr>
          <w:rFonts w:ascii="Arial" w:cs="Arial" w:eastAsia="Arial" w:hAnsi="Arial"/>
          <w:b/>
          <w:bCs/>
          <w:color w:val="1F3864"/>
          <w:sz w:val="27"/>
          <w:szCs w:val="27"/>
        </w:rPr>
        <w:t xml:space="preserve">4. Summary verdict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Overall credit view</w:t>
            </w:r>
          </w:p>
        </w:tc>
        <w:tc>
          <w:tcPr>
            <w:tcW w:type="dxa" w:w="71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Very strong, and the AAA rating is well earned. Leverage, coverage and governance are all comfortably inside investment-grade expectations, and the Rs 1,000 crore bond does not change that.</w:t>
            </w:r>
          </w:p>
        </w:tc>
      </w:tr>
      <w:tr>
        <w:tc>
          <w:tcPr>
            <w:tcW w:type="dxa" w:w="26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Where the risk actually is</w:t>
            </w:r>
          </w:p>
        </w:tc>
        <w:tc>
          <w:tcPr>
            <w:tcW w:type="dxa" w:w="71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Not in the balance sheet. It is in the income statement and the sector. Margins are slowly eroding, like-for-like growth has halved since FY2023, revenue per square foot has fallen for the first time, and the company has no profitable answer to quick commerce.</w:t>
            </w:r>
          </w:p>
        </w:tc>
      </w:tr>
      <w:tr>
        <w:tc>
          <w:tcPr>
            <w:tcW w:type="dxa" w:w="26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What a lender would monitor</w:t>
            </w:r>
          </w:p>
        </w:tc>
        <w:tc>
          <w:tcPr>
            <w:tcW w:type="dxa" w:w="71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Gearing against the 0.20x line; whether capex keeps outrunning operating cash for a third year; whether like-for-like growth stabilises above 8%; and whether the DMart Ready losses narrow now that the city footprint has been cut.</w:t>
            </w:r>
          </w:p>
        </w:tc>
      </w:tr>
      <w:tr>
        <w:tc>
          <w:tcPr>
            <w:tcW w:type="dxa" w:w="2600"/>
            <w:shd w:fill="D9E2F3" w:color="auto" w:val="clear"/>
            <w:tcMar>
              <w:top w:type="dxa" w:w="70"/>
              <w:left w:type="dxa" w:w="90"/>
              <w:bottom w:type="dxa" w:w="70"/>
              <w:right w:type="dxa" w:w="90"/>
            </w:tcMar>
            <w:vAlign w:val="top"/>
          </w:tcPr>
          <w:p>
            <w:pPr>
              <w:spacing w:after="20" w:before="20"/>
              <w:jc w:val="left"/>
            </w:pPr>
            <w:r>
              <w:rPr>
                <w:rFonts w:ascii="Arial" w:cs="Arial" w:eastAsia="Arial" w:hAnsi="Arial"/>
                <w:b/>
                <w:bCs/>
                <w:i w:val="false"/>
                <w:iCs w:val="false"/>
                <w:color w:val="000000"/>
                <w:sz w:val="19"/>
                <w:szCs w:val="19"/>
              </w:rPr>
              <w:t xml:space="preserve">What would change the view</w:t>
            </w:r>
          </w:p>
        </w:tc>
        <w:tc>
          <w:tcPr>
            <w:tcW w:type="dxa" w:w="7146"/>
            <w:tcMar>
              <w:top w:type="dxa" w:w="70"/>
              <w:left w:type="dxa" w:w="90"/>
              <w:bottom w:type="dxa" w:w="70"/>
              <w:right w:type="dxa" w:w="90"/>
            </w:tcMar>
            <w:vAlign w:val="top"/>
          </w:tcPr>
          <w:p>
            <w:pPr>
              <w:spacing w:after="20" w:before="20"/>
              <w:jc w:val="left"/>
            </w:pPr>
            <w:r>
              <w:rPr>
                <w:rFonts w:ascii="Arial" w:cs="Arial" w:eastAsia="Arial" w:hAnsi="Arial"/>
                <w:b w:val="false"/>
                <w:bCs w:val="false"/>
                <w:i w:val="false"/>
                <w:iCs w:val="false"/>
                <w:color w:val="000000"/>
                <w:sz w:val="19"/>
                <w:szCs w:val="19"/>
              </w:rPr>
              <w:t xml:space="preserve">Downgrade risk arises if debt-funded capex continues at this pace for two to three more years. Upside arises if the smaller online footprint reaches breakeven and margin stabilises around 7.5%.</w:t>
            </w:r>
          </w:p>
        </w:tc>
      </w:tr>
    </w:tbl>
    <w:p>
      <w:pPr>
        <w:pStyle w:val="Heading1"/>
        <w:spacing w:after="140" w:before="280"/>
      </w:pPr>
      <w:r>
        <w:rPr>
          <w:rFonts w:ascii="Arial" w:cs="Arial" w:eastAsia="Arial" w:hAnsi="Arial"/>
          <w:b/>
          <w:bCs/>
          <w:color w:val="1F3864"/>
          <w:sz w:val="27"/>
          <w:szCs w:val="27"/>
        </w:rPr>
        <w:t xml:space="preserve">5. Where the numbers come from</w:t>
      </w:r>
    </w:p>
    <w:p>
      <w:pPr>
        <w:pStyle w:val="ListParagraph"/>
        <w:numPr>
          <w:ilvl w:val="0"/>
          <w:numId w:val="2"/>
        </w:numPr>
        <w:spacing w:after="80"/>
      </w:pPr>
      <w:r>
        <w:rPr>
          <w:rFonts w:ascii="Arial" w:cs="Arial" w:eastAsia="Arial" w:hAnsi="Arial"/>
          <w:sz w:val="19"/>
          <w:szCs w:val="19"/>
        </w:rPr>
        <w:t xml:space="preserve">CRISIL rating rationale on Avenue Supermarts Limited, August 2025, including rating sensitivity factors, liquidity assessment and ESG commentary.</w:t>
      </w:r>
    </w:p>
    <w:p>
      <w:pPr>
        <w:pStyle w:val="ListParagraph"/>
        <w:numPr>
          <w:ilvl w:val="0"/>
          <w:numId w:val="2"/>
        </w:numPr>
        <w:spacing w:after="80"/>
      </w:pPr>
      <w:r>
        <w:rPr>
          <w:rFonts w:ascii="Arial" w:cs="Arial" w:eastAsia="Arial" w:hAnsi="Arial"/>
          <w:sz w:val="19"/>
          <w:szCs w:val="19"/>
        </w:rPr>
        <w:t xml:space="preserve">CRISIL rating letter, 31 August 2026, assigning AAA/Stable to the Rs 1,000 crore non-convertible debentures.</w:t>
      </w:r>
    </w:p>
    <w:p>
      <w:pPr>
        <w:pStyle w:val="ListParagraph"/>
        <w:numPr>
          <w:ilvl w:val="0"/>
          <w:numId w:val="2"/>
        </w:numPr>
        <w:spacing w:after="80"/>
      </w:pPr>
      <w:r>
        <w:rPr>
          <w:rFonts w:ascii="Arial" w:cs="Arial" w:eastAsia="Arial" w:hAnsi="Arial"/>
          <w:sz w:val="19"/>
          <w:szCs w:val="19"/>
        </w:rPr>
        <w:t xml:space="preserve">DMart Corporate Presentation for the Analyst / Investor Meet, July 2026, covering FY2026 results, store additions, like-for-like growth, debt and equity, returns, and the financials of Avenue E-Commerce, Align Retail Trades and Avenue Food Plaza.</w:t>
      </w:r>
    </w:p>
    <w:p>
      <w:pPr>
        <w:pStyle w:val="ListParagraph"/>
        <w:numPr>
          <w:ilvl w:val="0"/>
          <w:numId w:val="2"/>
        </w:numPr>
        <w:spacing w:after="80"/>
      </w:pPr>
      <w:r>
        <w:rPr>
          <w:rFonts w:ascii="Arial" w:cs="Arial" w:eastAsia="Arial" w:hAnsi="Arial"/>
          <w:sz w:val="19"/>
          <w:szCs w:val="19"/>
        </w:rPr>
        <w:t xml:space="preserve">DMart Annual Reports FY2023-24, FY2024-25 and FY2025-26 (consolidated accounts).</w:t>
      </w:r>
    </w:p>
    <w:p>
      <w:pPr>
        <w:pStyle w:val="ListParagraph"/>
        <w:numPr>
          <w:ilvl w:val="0"/>
          <w:numId w:val="2"/>
        </w:numPr>
        <w:spacing w:after="80"/>
      </w:pPr>
      <w:r>
        <w:rPr>
          <w:rFonts w:ascii="Arial" w:cs="Arial" w:eastAsia="Arial" w:hAnsi="Arial"/>
          <w:sz w:val="19"/>
          <w:szCs w:val="19"/>
        </w:rPr>
        <w:t xml:space="preserve">Unaudited results for the quarter ended 30 June 2026, including the company's own disclosed debt-equity and interest service coverage ratios.</w:t>
      </w:r>
    </w:p>
    <w:p>
      <w:pPr>
        <w:pStyle w:val="ListParagraph"/>
        <w:numPr>
          <w:ilvl w:val="0"/>
          <w:numId w:val="2"/>
        </w:numPr>
        <w:spacing w:after="80"/>
      </w:pPr>
      <w:r>
        <w:rPr>
          <w:rFonts w:ascii="Arial" w:cs="Arial" w:eastAsia="Arial" w:hAnsi="Arial"/>
          <w:sz w:val="19"/>
          <w:szCs w:val="19"/>
        </w:rPr>
        <w:t xml:space="preserve">Shareholding pattern as on 30 June 2026, confirming promoter holding of 74.48% and nil pledged or encumbered shares.</w:t>
      </w:r>
    </w:p>
    <w:p>
      <w:pPr>
        <w:pStyle w:val="ListParagraph"/>
        <w:numPr>
          <w:ilvl w:val="0"/>
          <w:numId w:val="2"/>
        </w:numPr>
        <w:spacing w:after="80"/>
      </w:pPr>
      <w:r>
        <w:rPr>
          <w:rFonts w:ascii="Arial" w:cs="Arial" w:eastAsia="Arial" w:hAnsi="Arial"/>
          <w:sz w:val="19"/>
          <w:szCs w:val="19"/>
        </w:rPr>
        <w:t xml:space="preserve">Avenue E-Commerce Limited historical financials, FY2020 to FY2024, for the loss trend.</w:t>
      </w:r>
    </w:p>
    <w:p>
      <w:pPr>
        <w:spacing w:after="140" w:before="100"/>
      </w:pPr>
      <w:r>
        <w:rPr>
          <w:rFonts w:ascii="Arial" w:cs="Arial" w:eastAsia="Arial" w:hAnsi="Arial"/>
          <w:b w:val="false"/>
          <w:bCs w:val="false"/>
          <w:i/>
          <w:iCs/>
          <w:color w:val="595959"/>
          <w:sz w:val="18"/>
          <w:szCs w:val="18"/>
        </w:rPr>
        <w:t xml:space="preserve">Note: the pro-forma gearing of 0.14x assumes the full Rs 1,000 crore is drawn against FY2026 net worth. As at 15 September 2026 no allotment filing for the bond had been published, so the issue is approved and rated but not yet placed.</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DMart - Block D: Market / Rating Risk Assessment</dc:title>
  <dc:creator>Assignment 2</dc:creator>
  <cp:lastModifiedBy>Un-named</cp:lastModifiedBy>
  <cp:revision>1</cp:revision>
  <dcterms:created xsi:type="dcterms:W3CDTF">2026-09-14T18:48:53.341Z</dcterms:created>
  <dcterms:modified xsi:type="dcterms:W3CDTF">2026-09-14T18:48:53.352Z</dcterms:modified>
</cp:coreProperties>
</file>

<file path=docProps/custom.xml><?xml version="1.0" encoding="utf-8"?>
<Properties xmlns="http://schemas.openxmlformats.org/officeDocument/2006/custom-properties" xmlns:vt="http://schemas.openxmlformats.org/officeDocument/2006/docPropsVTypes"/>
</file>