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03087"/>
          <w:sz w:val="52"/>
          <w:szCs w:val="52"/>
        </w:rPr>
        <w:t xml:space="preserve">CAPSTONE PROJECT PLAN</w:t>
      </w:r>
    </w:p>
    <w:p>
      <w:pPr>
        <w:spacing w:after="160"/>
      </w:pPr>
    </w:p>
    <w:p>
      <w:pPr>
        <w:spacing w:after="120"/>
        <w:jc w:val="center"/>
      </w:pPr>
      <w:r>
        <w:rPr>
          <w:rFonts w:ascii="Arial" w:cs="Arial" w:eastAsia="Arial" w:hAnsi="Arial"/>
          <w:color w:val="1A2332"/>
          <w:sz w:val="32"/>
          <w:szCs w:val="32"/>
        </w:rPr>
        <w:t xml:space="preserve">Store-Level Sales Target Model for Lowe’s</w:t>
      </w:r>
    </w:p>
    <w:p>
      <w:pPr>
        <w:spacing w:after="120"/>
        <w:jc w:val="center"/>
      </w:pPr>
      <w:r>
        <w:rPr>
          <w:rFonts w:ascii="Arial" w:cs="Arial" w:eastAsia="Arial" w:hAnsi="Arial"/>
          <w:color w:val="64748B"/>
          <w:sz w:val="24"/>
          <w:szCs w:val="24"/>
        </w:rPr>
        <w:t xml:space="preserve">Supervised ML Pipeline + Interactive Demo App + Capstone Report</w:t>
      </w:r>
    </w:p>
    <w:p>
      <w:pPr>
        <w:spacing w:after="600"/>
      </w:pPr>
    </w:p>
    <w:p>
      <w:pPr>
        <w:spacing w:after="100"/>
        <w:jc w:val="center"/>
      </w:pPr>
      <w:r>
        <w:rPr>
          <w:rFonts w:ascii="Arial" w:cs="Arial" w:eastAsia="Arial" w:hAnsi="Arial"/>
          <w:color w:val="1A2332"/>
          <w:sz w:val="24"/>
          <w:szCs w:val="24"/>
        </w:rPr>
        <w:t xml:space="preserve">Group 8 | IIM Calcutta | APAL02</w:t>
      </w:r>
    </w:p>
    <w:p>
      <w:pPr>
        <w:spacing w:after="100"/>
        <w:jc w:val="center"/>
      </w:pPr>
      <w:r>
        <w:rPr>
          <w:rFonts w:ascii="Arial" w:cs="Arial" w:eastAsia="Arial" w:hAnsi="Arial"/>
          <w:color w:val="64748B"/>
          <w:sz w:val="22"/>
          <w:szCs w:val="22"/>
        </w:rPr>
        <w:t xml:space="preserve">April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jc w:val="left"/>
      </w:pPr>
      <w:r>
        <w:rPr>
          <w:rFonts w:ascii="Arial" w:cs="Arial" w:eastAsia="Arial" w:hAnsi="Arial"/>
          <w:color w:val="1A2332"/>
          <w:sz w:val="22"/>
          <w:szCs w:val="22"/>
        </w:rPr>
        <w:t xml:space="preserve">This document provides the complete implementation plan for the Lowe’s Store-Level Sales Target capstone project. The goal is to replace Lowe’s current top-down “peanut butter spread” approach to setting store sales targets with a data-driven, ML-powered system that accounts for local market dynamics, store characteristics, and competitive pressure.</w:t>
      </w:r>
    </w:p>
    <w:p>
      <w:pPr>
        <w:spacing w:after="160"/>
        <w:jc w:val="left"/>
      </w:pPr>
      <w:r>
        <w:rPr>
          <w:rFonts w:ascii="Arial" w:cs="Arial" w:eastAsia="Arial" w:hAnsi="Arial"/>
          <w:color w:val="1A2332"/>
          <w:sz w:val="22"/>
          <w:szCs w:val="22"/>
        </w:rPr>
        <w:t xml:space="preserve">The project delivers three integrated outputs: a working Python ML pipeline that trains and evaluates a LightGBM model on 269,412 store-week records across 1,727 stores; an interactive Streamlit demo application for stakeholder presentations; and a comprehensive capstone report with full methodology, results, and business recommendations.</w:t>
      </w:r>
    </w:p>
    <w:p>
      <w:pPr>
        <w:spacing w:after="160"/>
        <w:jc w:val="left"/>
      </w:pPr>
      <w:r>
        <w:rPr>
          <w:rFonts w:ascii="Arial" w:cs="Arial" w:eastAsia="Arial" w:hAnsi="Arial"/>
          <w:color w:val="1A2332"/>
          <w:sz w:val="22"/>
          <w:szCs w:val="22"/>
        </w:rPr>
        <w:t xml:space="preserve">Based on a thorough analysis of the dataset, three independent analytical reviews, and the Phase 1 feature justification work, this plan recommends focusing on the supervised sales prediction model (40 features) as the primary deliverable, with store clustering (Role of Store) integrated as a post-prediction analytical layer rather than a separate modeling track. This keeps the project scope achievable while still addressing both the prediction and segmentation requirements of the original brief.</w:t>
      </w:r>
    </w:p>
    <w:p>
      <w:pPr>
        <w:pStyle w:val="Heading1"/>
      </w:pPr>
      <w:r>
        <w:t xml:space="preserve">Scope Decision: Supervised Model + Clustering as Overlay</w:t>
      </w:r>
    </w:p>
    <w:p>
      <w:pPr>
        <w:pStyle w:val="Heading2"/>
      </w:pPr>
      <w:r>
        <w:t xml:space="preserve">Why Supervised Model First</w:t>
      </w:r>
    </w:p>
    <w:p>
      <w:pPr>
        <w:spacing w:after="160"/>
        <w:jc w:val="left"/>
      </w:pPr>
      <w:r>
        <w:rPr>
          <w:rFonts w:ascii="Arial" w:cs="Arial" w:eastAsia="Arial" w:hAnsi="Arial"/>
          <w:color w:val="1A2332"/>
          <w:sz w:val="22"/>
          <w:szCs w:val="22"/>
        </w:rPr>
        <w:t xml:space="preserve">Your three documents converge on the supervised weekly sales prediction model as the core analytical engine. The dataset health check confirms 269,412 clean rows with zero missing values, the feature justification document provides rigorous data-backed reasoning for each of the 40 Phase 1 features, and the Google AI Studio HTML app already sketches the full pipeline from feature engineering through model training, store-level accuracy loop, and AI-powered commentary.</w:t>
      </w:r>
    </w:p>
    <w:p>
      <w:pPr>
        <w:spacing w:after="160"/>
        <w:jc w:val="left"/>
      </w:pPr>
      <w:r>
        <w:rPr>
          <w:rFonts w:ascii="Arial" w:cs="Arial" w:eastAsia="Arial" w:hAnsi="Arial"/>
          <w:color w:val="1A2332"/>
          <w:sz w:val="22"/>
          <w:szCs w:val="22"/>
        </w:rPr>
        <w:t xml:space="preserve">The naive baseline (previous-year same-week sales) already achieves a wAPE of 8.90“9.88% on your data. This means the supervised model needs to beat roughly 9% wAPE to demonstrate value. With lag features showing correlations of 0.95+ with the target, the model has strong signal to work with.</w:t>
      </w:r>
    </w:p>
    <w:p>
      <w:pPr>
        <w:pStyle w:val="Heading2"/>
      </w:pPr>
      <w:r>
        <w:t xml:space="preserve">Where Clustering Fits</w:t>
      </w:r>
    </w:p>
    <w:p>
      <w:pPr>
        <w:spacing w:after="160"/>
        <w:jc w:val="left"/>
      </w:pPr>
      <w:r>
        <w:rPr>
          <w:rFonts w:ascii="Arial" w:cs="Arial" w:eastAsia="Arial" w:hAnsi="Arial"/>
          <w:color w:val="1A2332"/>
          <w:sz w:val="22"/>
          <w:szCs w:val="22"/>
        </w:rPr>
        <w:t xml:space="preserve">Rather than building a separate unsupervised clustering pipeline, the recommended approach is to derive the 5 Role-of-Store segments (High Growth, Growth, Neutral, Maintain, Defend) from the supervised model’s outputs. After the model produces store-level predictions and bias metrics, stores can be segmented based on their predicted growth trajectory, historical bias patterns, and market characteristics. This approach is more defensible because the segments are anchored to actual model behavior rather than arbitrary feature combinations.</w:t>
      </w:r>
    </w:p>
    <w:p>
      <w:pPr>
        <w:pStyle w:val="Heading2"/>
      </w:pPr>
      <w:r>
        <w:t xml:space="preserve">POC Scope</w:t>
      </w:r>
    </w:p>
    <w:p>
      <w:pPr>
        <w:spacing w:after="160"/>
        <w:jc w:val="left"/>
      </w:pPr>
      <w:r>
        <w:rPr>
          <w:rFonts w:ascii="Arial" w:cs="Arial" w:eastAsia="Arial" w:hAnsi="Arial"/>
          <w:color w:val="1A2332"/>
          <w:sz w:val="22"/>
          <w:szCs w:val="22"/>
        </w:rPr>
        <w:t xml:space="preserve">Train on all 1,727 stores (full chain) but present POC results focused on the West Division (~492 stores). This avoids the data-reduction problems flagged in earlier analyses while keeping the presentation scope manageable.</w:t>
      </w:r>
    </w:p>
    <w:p>
      <w:pPr>
        <w:pStyle w:val="Heading1"/>
      </w:pPr>
      <w: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Total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269,412 store-weeks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Columns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195 (14 identity/time/measures + 73 demographics + 108 competition)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Unique Stores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1,727</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Fiscal Years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2023, 2024, 2025 (52 weeks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 columns with missing values (post-fix dataset)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Duplicate Rows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Zero-Sales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12 (exclude from training)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Actual Sales USD (mean ~$1.1M/week, range $146K–$4.5M)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Naive Baseline wAPE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8.90% (FY2025) / 9.88% (FY2024) using lag-52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Plan Miss Rate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25.83% of store-weeks miss plan by &gt;10% in FY2025</w:t>
            </w:r>
          </w:p>
        </w:tc>
      </w:tr>
    </w:tbl>
    <w:p>
      <w:pPr>
        <w:spacing w:after="120"/>
      </w:pPr>
    </w:p>
    <w:p>
      <w:pPr>
        <w:pStyle w:val="Heading2"/>
      </w:pPr>
      <w:r>
        <w:t xml:space="preserve">Data Quality Highlights</w:t>
      </w:r>
    </w:p>
    <w:p>
      <w:pPr>
        <w:pStyle w:val="ListParagraph"/>
        <w:numPr>
          <w:ilvl w:val="0"/>
          <w:numId w:val="2"/>
        </w:numPr>
        <w:spacing w:after="100"/>
      </w:pPr>
      <w:r>
        <w:rPr>
          <w:rFonts w:ascii="Arial" w:cs="Arial" w:eastAsia="Arial" w:hAnsi="Arial"/>
          <w:color w:val="1A2332"/>
          <w:sz w:val="22"/>
          <w:szCs w:val="22"/>
        </w:rPr>
        <w:t xml:space="preserve">All 6 half-year files have exactly 44,902 rows each, confirming perfect panel balance.</w:t>
      </w:r>
    </w:p>
    <w:p>
      <w:pPr>
        <w:pStyle w:val="ListParagraph"/>
        <w:numPr>
          <w:ilvl w:val="0"/>
          <w:numId w:val="2"/>
        </w:numPr>
        <w:spacing w:after="100"/>
      </w:pPr>
      <w:r>
        <w:rPr>
          <w:rFonts w:ascii="Arial" w:cs="Arial" w:eastAsia="Arial" w:hAnsi="Arial"/>
          <w:color w:val="1A2332"/>
          <w:sz w:val="22"/>
          <w:szCs w:val="22"/>
        </w:rPr>
        <w:t xml:space="preserve">Leakage risks identified and blacklisted: Plan Sales USD (corr=0.986), Invoice Count (corr=0.972), and Avg Ticket (corr=0.133) must not be used as model inputs.</w:t>
      </w:r>
    </w:p>
    <w:p>
      <w:pPr>
        <w:pStyle w:val="ListParagraph"/>
        <w:numPr>
          <w:ilvl w:val="0"/>
          <w:numId w:val="2"/>
        </w:numPr>
        <w:spacing w:after="100"/>
      </w:pPr>
      <w:r>
        <w:rPr>
          <w:rFonts w:ascii="Arial" w:cs="Arial" w:eastAsia="Arial" w:hAnsi="Arial"/>
          <w:color w:val="1A2332"/>
          <w:sz w:val="22"/>
          <w:szCs w:val="22"/>
        </w:rPr>
        <w:t xml:space="preserve">102 numeric feature pairs have |corr| &gt;= 0.95, confirming the need for aggressive feature pruning (already addressed in the 40-feature Phase 1 set).</w:t>
      </w:r>
    </w:p>
    <w:p>
      <w:pPr>
        <w:pStyle w:val="ListParagraph"/>
        <w:numPr>
          <w:ilvl w:val="0"/>
          <w:numId w:val="2"/>
        </w:numPr>
        <w:spacing w:after="100"/>
      </w:pPr>
      <w:r>
        <w:rPr>
          <w:rFonts w:ascii="Arial" w:cs="Arial" w:eastAsia="Arial" w:hAnsi="Arial"/>
          <w:color w:val="1A2332"/>
          <w:sz w:val="22"/>
          <w:szCs w:val="22"/>
        </w:rPr>
        <w:t xml:space="preserve">IQR outlier share is 5.45% for Actual Sales USD. Retain outliers for training; they represent legitimate high-volume stores.</w:t>
      </w:r>
    </w:p>
    <w:p>
      <w:r>
        <w:br w:type="page"/>
      </w:r>
    </w:p>
    <w:p>
      <w:pPr>
        <w:pStyle w:val="Heading1"/>
      </w:pPr>
      <w:r>
        <w:t xml:space="preserve">Phase 1 Feature Set (40 Features)</w:t>
      </w:r>
    </w:p>
    <w:p>
      <w:pPr>
        <w:spacing w:after="160"/>
        <w:jc w:val="left"/>
      </w:pPr>
      <w:r>
        <w:rPr>
          <w:rFonts w:ascii="Arial" w:cs="Arial" w:eastAsia="Arial" w:hAnsi="Arial"/>
          <w:color w:val="1A2332"/>
          <w:sz w:val="22"/>
          <w:szCs w:val="22"/>
        </w:rPr>
        <w:t xml:space="preserve">The feature set is organized into 6 families. Each feature has been justified with data-driven evidence from the 269,412-row analytical dataset, including correlation with target, missing-value rates, and business rationale. The full justification is in the Section 6 document; below is the implementation-ready summary.</w:t>
      </w:r>
    </w:p>
    <w:p>
      <w:pPr>
        <w:pStyle w:val="Heading2"/>
      </w:pPr>
      <w:r>
        <w:t xml:space="preserve">Calendar Features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4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-0.059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Include directly. Captures macro drift (sales declined ~13% from 2023 to 2025).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Fiscal Week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-0.086</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Include directly. 96% spread between peak and trough weeks.</w:t>
            </w:r>
          </w:p>
        </w:tc>
      </w:tr>
    </w:tbl>
    <w:p>
      <w:pPr>
        <w:spacing w:after="120"/>
      </w:pPr>
    </w:p>
    <w:p>
      <w:pPr>
        <w:pStyle w:val="Heading2"/>
      </w:pPr>
      <w:r>
        <w:t xml:space="preserve">Engineered Lag Features (6)</w:t>
      </w:r>
    </w:p>
    <w:p>
      <w:pPr>
        <w:spacing w:after="160"/>
        <w:jc w:val="left"/>
      </w:pPr>
      <w:r>
        <w:rPr>
          <w:rFonts w:ascii="Arial" w:cs="Arial" w:eastAsia="Arial" w:hAnsi="Arial"/>
          <w:color w:val="1A2332"/>
          <w:sz w:val="22"/>
          <w:szCs w:val="22"/>
        </w:rPr>
        <w:t xml:space="preserve">These are the most powerful predictors in the entire dataset. All are engineered with a minimum shift of 1 week to prevent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4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Lag Sales (t-1)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0.982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groupby(Store ID).shift(1). Strongest single predictor.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Lag Sales (t-4)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0.964</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shift(4). Monthly demand rhythm.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Lag Sales (t-13)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0.913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shift(13). Quarterly seasonality.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Lag Sales (t-52)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0.953</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shift(52). Year-over-year weekly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Rolling Mean (4wk)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0.981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shift(1).rolling(4).mean(). Short-term smoother.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Rolling Mean (13wk)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0.964</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shift(1).rolling(13).mean(). Seasonal smoother.</w:t>
            </w:r>
          </w:p>
        </w:tc>
      </w:tr>
    </w:tbl>
    <w:p>
      <w:pPr>
        <w:spacing w:after="120"/>
      </w:pPr>
    </w:p>
    <w:p>
      <w:pPr>
        <w:pStyle w:val="Heading2"/>
      </w:pPr>
      <w:r>
        <w:t xml:space="preserve">Store/Market Features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4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Sales Floor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0.035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Continuous. Q4 stores avg 10% higher sales than Q1.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Garden Ctr Size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0.062</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Continuous. 468 zeros are valid (no garden center).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Urbanicity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Categorical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7 levels. LabelEncode. Metropolis=$1.63M vs Large City=$930K.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CBSA Type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Categorical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N/A</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3 levels (Metro, Micro, non-CBSA). LabelEncode.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CBSA Metro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Categorical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4 levels. Small Metro outperforms Large Metro.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Area Sq Mi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0.038</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Include only if holdout validation shows incremental lift.</w:t>
            </w:r>
          </w:p>
        </w:tc>
      </w:tr>
    </w:tbl>
    <w:p>
      <w:pPr>
        <w:spacing w:after="120"/>
      </w:pPr>
    </w:p>
    <w:p>
      <w:pPr>
        <w:pStyle w:val="Heading2"/>
      </w:pPr>
      <w:r>
        <w:t xml:space="preserve">Demand/Housing Features (16)</w:t>
      </w:r>
    </w:p>
    <w:p>
      <w:pPr>
        <w:spacing w:after="160"/>
        <w:jc w:val="left"/>
      </w:pPr>
      <w:r>
        <w:rPr>
          <w:rFonts w:ascii="Arial" w:cs="Arial" w:eastAsia="Arial" w:hAnsi="Arial"/>
          <w:color w:val="1A2332"/>
          <w:sz w:val="22"/>
          <w:szCs w:val="22"/>
        </w:rPr>
        <w:t xml:space="preserve">This is the largest feature block, covering household demographics, income mix, housing stock, and population characteristics. Key engineered features include Income Mix (3 features replacing 8 raw bins), Housing Age (2 features replacing 9 raw decade columns), and growth trajectory (CAGR).</w:t>
      </w:r>
    </w:p>
    <w:p>
      <w:pPr>
        <w:pStyle w:val="ListParagraph"/>
        <w:numPr>
          <w:ilvl w:val="0"/>
          <w:numId w:val="2"/>
        </w:numPr>
        <w:spacing w:after="100"/>
      </w:pPr>
      <w:r>
        <w:rPr>
          <w:rFonts w:ascii="Arial" w:cs="Arial" w:eastAsia="Arial" w:hAnsi="Arial"/>
          <w:color w:val="1A2332"/>
          <w:sz w:val="22"/>
          <w:szCs w:val="22"/>
        </w:rPr>
        <w:t xml:space="preserve">Household block: CYE Total Households, HH Density/SqMi, Median HH Income, CAGR HH 2010–2020</w:t>
      </w:r>
    </w:p>
    <w:p>
      <w:pPr>
        <w:pStyle w:val="ListParagraph"/>
        <w:numPr>
          <w:ilvl w:val="0"/>
          <w:numId w:val="2"/>
        </w:numPr>
        <w:spacing w:after="100"/>
      </w:pPr>
      <w:r>
        <w:rPr>
          <w:rFonts w:ascii="Arial" w:cs="Arial" w:eastAsia="Arial" w:hAnsi="Arial"/>
          <w:color w:val="1A2332"/>
          <w:sz w:val="22"/>
          <w:szCs w:val="22"/>
        </w:rPr>
        <w:t xml:space="preserve">Engineered income mix: income_low_share, income_diy_core, income_affluent (reserve)</w:t>
      </w:r>
    </w:p>
    <w:p>
      <w:pPr>
        <w:pStyle w:val="ListParagraph"/>
        <w:numPr>
          <w:ilvl w:val="0"/>
          <w:numId w:val="2"/>
        </w:numPr>
        <w:spacing w:after="100"/>
      </w:pPr>
      <w:r>
        <w:rPr>
          <w:rFonts w:ascii="Arial" w:cs="Arial" w:eastAsia="Arial" w:hAnsi="Arial"/>
          <w:color w:val="1A2332"/>
          <w:sz w:val="22"/>
          <w:szCs w:val="22"/>
        </w:rPr>
        <w:t xml:space="preserve">Housing block: Total Housing Units, % Owned, Median Year Built, Avg Residence Years</w:t>
      </w:r>
    </w:p>
    <w:p>
      <w:pPr>
        <w:pStyle w:val="ListParagraph"/>
        <w:numPr>
          <w:ilvl w:val="0"/>
          <w:numId w:val="2"/>
        </w:numPr>
        <w:spacing w:after="100"/>
      </w:pPr>
      <w:r>
        <w:rPr>
          <w:rFonts w:ascii="Arial" w:cs="Arial" w:eastAsia="Arial" w:hAnsi="Arial"/>
          <w:color w:val="1A2332"/>
          <w:sz w:val="22"/>
          <w:szCs w:val="22"/>
        </w:rPr>
        <w:t xml:space="preserve">Engineered housing age: housing_old_share (pre-1969), housing_new_share (post-2000, corr=0.088 — top static feature)</w:t>
      </w:r>
    </w:p>
    <w:p>
      <w:pPr>
        <w:pStyle w:val="ListParagraph"/>
        <w:numPr>
          <w:ilvl w:val="0"/>
          <w:numId w:val="2"/>
        </w:numPr>
        <w:spacing w:after="100"/>
      </w:pPr>
      <w:r>
        <w:rPr>
          <w:rFonts w:ascii="Arial" w:cs="Arial" w:eastAsia="Arial" w:hAnsi="Arial"/>
          <w:color w:val="1A2332"/>
          <w:sz w:val="22"/>
          <w:szCs w:val="22"/>
        </w:rPr>
        <w:t xml:space="preserve">Population: Total Population, Median Age, Veteran Population</w:t>
      </w:r>
    </w:p>
    <w:p>
      <w:pPr>
        <w:pStyle w:val="ListParagraph"/>
        <w:numPr>
          <w:ilvl w:val="0"/>
          <w:numId w:val="2"/>
        </w:numPr>
        <w:spacing w:after="100"/>
      </w:pPr>
      <w:r>
        <w:rPr>
          <w:rFonts w:ascii="Arial" w:cs="Arial" w:eastAsia="Arial" w:hAnsi="Arial"/>
          <w:color w:val="1A2332"/>
          <w:sz w:val="22"/>
          <w:szCs w:val="22"/>
        </w:rPr>
        <w:t xml:space="preserve">Reserve: % College Grad, Per Capita Income (add only if validation improves WAPE)</w:t>
      </w:r>
    </w:p>
    <w:p>
      <w:pPr>
        <w:pStyle w:val="Heading2"/>
      </w:pPr>
      <w:r>
        <w:t xml:space="preserve">Competition Features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100"/>
        <w:gridCol w:w="4360"/>
      </w:tblGrid>
      <w:tr>
        <w:tc>
          <w:tcPr>
            <w:tcW w:type="dxa" w:w="27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4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Sister Store Count (TA)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-0.029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Self-cannibalization proxy.</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Total Competitor Count (TA)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Engineered</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-0.035</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Sum of 17 competitor TA counts. Key engineered feature.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Nut Cracker Tools (TA)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-0.024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Major competitor, broad presence.</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Wallflowers Depot (TA)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-0.006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Highest avg count (4.69) across all competitors.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Iggy Pop Hardware (TA)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-0.043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Highest correlation among individual competitors.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Horn Ok Tools (TA)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Raw</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0.008</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High-coverage regional competitor.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Bo Jacks Hardware (TA)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Include only if incremental over Total Competitor.</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Greek Baths Hardware (TA)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N/A</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Reserve. Confirmed collinear with radius variants.</w:t>
            </w:r>
          </w:p>
        </w:tc>
      </w:tr>
    </w:tbl>
    <w:p>
      <w:pPr>
        <w:spacing w:after="120"/>
      </w:pPr>
    </w:p>
    <w:p>
      <w:r>
        <w:br w:type="page"/>
      </w:r>
    </w:p>
    <w:p>
      <w:pPr>
        <w:pStyle w:val="Heading1"/>
      </w:pPr>
      <w:r>
        <w:t xml:space="preserve">Implementation Plan: Step-by-Step</w:t>
      </w:r>
    </w:p>
    <w:p>
      <w:pPr>
        <w:spacing w:after="160"/>
        <w:jc w:val="left"/>
      </w:pPr>
      <w:r>
        <w:rPr>
          <w:rFonts w:ascii="Arial" w:cs="Arial" w:eastAsia="Arial" w:hAnsi="Arial"/>
          <w:color w:val="1A2332"/>
          <w:sz w:val="22"/>
          <w:szCs w:val="22"/>
        </w:rPr>
        <w:t xml:space="preserve">Below is the full build sequence, from data loading to final deliverable. Each step includes what to code, what to validate, and what output it produces.</w:t>
      </w:r>
    </w:p>
    <w:p>
      <w:pPr>
        <w:pStyle w:val="Heading2"/>
      </w:pPr>
      <w:r>
        <w:t xml:space="preserve">Step 1: Data Ingestion and Validation</w:t>
      </w:r>
    </w:p>
    <w:p>
      <w:pPr>
        <w:spacing w:after="160"/>
        <w:jc w:val="left"/>
      </w:pPr>
      <w:r>
        <w:rPr>
          <w:rFonts w:ascii="Arial" w:cs="Arial" w:eastAsia="Arial" w:hAnsi="Arial"/>
          <w:b/>
          <w:bCs/>
          <w:color w:val="1A2332"/>
          <w:sz w:val="22"/>
          <w:szCs w:val="22"/>
        </w:rPr>
        <w:t xml:space="preserve">Objective: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Load the 6 half-year CSV files, concatenate into a single dataframe, and run integrity checks to confirm dataset health.</w:t>
      </w:r>
    </w:p>
    <w:p>
      <w:pPr>
        <w:spacing w:after="160"/>
        <w:jc w:val="left"/>
      </w:pPr>
      <w:r>
        <w:rPr>
          <w:rFonts w:ascii="Arial" w:cs="Arial" w:eastAsia="Arial" w:hAnsi="Arial"/>
          <w:b/>
          <w:bCs/>
          <w:color w:val="1A2332"/>
          <w:sz w:val="22"/>
          <w:szCs w:val="22"/>
        </w:rPr>
        <w:t xml:space="preserve">Key Actions:</w:t>
      </w:r>
      <w:r>
        <w:rPr>
          <w:rFonts w:ascii="Arial" w:cs="Arial" w:eastAsia="Arial" w:hAnsi="Arial"/>
          <w:color w:val="1A2332"/>
          <w:sz w:val="22"/>
          <w:szCs w:val="22"/>
        </w:rPr>
        <w:t xml:space="preserve"/>
      </w:r>
    </w:p>
    <w:p>
      <w:pPr>
        <w:pStyle w:val="ListParagraph"/>
        <w:numPr>
          <w:ilvl w:val="0"/>
          <w:numId w:val="3"/>
        </w:numPr>
        <w:spacing w:after="100"/>
      </w:pPr>
      <w:r>
        <w:rPr>
          <w:rFonts w:ascii="Arial" w:cs="Arial" w:eastAsia="Arial" w:hAnsi="Arial"/>
          <w:color w:val="1A2332"/>
          <w:sz w:val="22"/>
          <w:szCs w:val="22"/>
        </w:rPr>
        <w:t xml:space="preserve">Load all 6 CSV files (H1/H2 for 2023, 2024, 2025) and concatenate into a single DataFrame.</w:t>
      </w:r>
    </w:p>
    <w:p>
      <w:pPr>
        <w:pStyle w:val="ListParagraph"/>
        <w:numPr>
          <w:ilvl w:val="0"/>
          <w:numId w:val="3"/>
        </w:numPr>
        <w:spacing w:after="100"/>
      </w:pPr>
      <w:r>
        <w:rPr>
          <w:rFonts w:ascii="Arial" w:cs="Arial" w:eastAsia="Arial" w:hAnsi="Arial"/>
          <w:color w:val="1A2332"/>
          <w:sz w:val="22"/>
          <w:szCs w:val="22"/>
        </w:rPr>
        <w:t xml:space="preserve">Verify: 269,412 rows, 195 columns, 1,727 unique stores, 0 duplicates on (Store ID, Year, Fiscal Week).</w:t>
      </w:r>
    </w:p>
    <w:p>
      <w:pPr>
        <w:pStyle w:val="ListParagraph"/>
        <w:numPr>
          <w:ilvl w:val="0"/>
          <w:numId w:val="3"/>
        </w:numPr>
        <w:spacing w:after="100"/>
      </w:pPr>
      <w:r>
        <w:rPr>
          <w:rFonts w:ascii="Arial" w:cs="Arial" w:eastAsia="Arial" w:hAnsi="Arial"/>
          <w:color w:val="1A2332"/>
          <w:sz w:val="22"/>
          <w:szCs w:val="22"/>
        </w:rPr>
        <w:t xml:space="preserve">Confirm 0 missing values across all columns (post-fix dataset).</w:t>
      </w:r>
    </w:p>
    <w:p>
      <w:pPr>
        <w:pStyle w:val="ListParagraph"/>
        <w:numPr>
          <w:ilvl w:val="0"/>
          <w:numId w:val="3"/>
        </w:numPr>
        <w:spacing w:after="100"/>
      </w:pPr>
      <w:r>
        <w:rPr>
          <w:rFonts w:ascii="Arial" w:cs="Arial" w:eastAsia="Arial" w:hAnsi="Arial"/>
          <w:color w:val="1A2332"/>
          <w:sz w:val="22"/>
          <w:szCs w:val="22"/>
        </w:rPr>
        <w:t xml:space="preserve">Exclude the 12 zero-sales rows from training/evaluation data.</w:t>
      </w:r>
    </w:p>
    <w:p>
      <w:pPr>
        <w:pStyle w:val="ListParagraph"/>
        <w:numPr>
          <w:ilvl w:val="0"/>
          <w:numId w:val="3"/>
        </w:numPr>
        <w:spacing w:after="100"/>
      </w:pPr>
      <w:r>
        <w:rPr>
          <w:rFonts w:ascii="Arial" w:cs="Arial" w:eastAsia="Arial" w:hAnsi="Arial"/>
          <w:color w:val="1A2332"/>
          <w:sz w:val="22"/>
          <w:szCs w:val="22"/>
        </w:rPr>
        <w:t xml:space="preserve">Sort by Store ID, Year, Fiscal Week (critical for lag feature engineering).</w:t>
      </w:r>
    </w:p>
    <w:p>
      <w:pPr>
        <w:spacing w:after="160"/>
        <w:jc w:val="left"/>
      </w:pPr>
      <w:r>
        <w:rPr>
          <w:rFonts w:ascii="Arial" w:cs="Arial" w:eastAsia="Arial" w:hAnsi="Arial"/>
          <w:b/>
          <w:bCs/>
          <w:color w:val="1A2332"/>
          <w:sz w:val="22"/>
          <w:szCs w:val="22"/>
        </w:rPr>
        <w:t xml:space="preserve">Output: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Clean master DataFrame ready for feature engineering. Print summary statistics matching the dataset health check report.</w:t>
      </w:r>
    </w:p>
    <w:p>
      <w:pPr>
        <w:pStyle w:val="Heading2"/>
      </w:pPr>
      <w:r>
        <w:t xml:space="preserve">Step 2: Feature Engineering</w:t>
      </w:r>
    </w:p>
    <w:p>
      <w:pPr>
        <w:spacing w:after="160"/>
        <w:jc w:val="left"/>
      </w:pPr>
      <w:r>
        <w:rPr>
          <w:rFonts w:ascii="Arial" w:cs="Arial" w:eastAsia="Arial" w:hAnsi="Arial"/>
          <w:b/>
          <w:bCs/>
          <w:color w:val="1A2332"/>
          <w:sz w:val="22"/>
          <w:szCs w:val="22"/>
        </w:rPr>
        <w:t xml:space="preserve">Objective: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Build all 40 Phase 1 features including 6 lag/rolling features, 3 income mix features, 2 housing age features, and 1 total competitor count.</w:t>
      </w:r>
    </w:p>
    <w:p>
      <w:pPr>
        <w:spacing w:after="160"/>
        <w:jc w:val="left"/>
      </w:pPr>
      <w:r>
        <w:rPr>
          <w:rFonts w:ascii="Arial" w:cs="Arial" w:eastAsia="Arial" w:hAnsi="Arial"/>
          <w:b/>
          <w:bCs/>
          <w:color w:val="1A2332"/>
          <w:sz w:val="22"/>
          <w:szCs w:val="22"/>
        </w:rPr>
        <w:t xml:space="preserve">Key Actions:</w:t>
      </w:r>
      <w:r>
        <w:rPr>
          <w:rFonts w:ascii="Arial" w:cs="Arial" w:eastAsia="Arial" w:hAnsi="Arial"/>
          <w:color w:val="1A2332"/>
          <w:sz w:val="22"/>
          <w:szCs w:val="22"/>
        </w:rPr>
        <w:t xml:space="preserve"/>
      </w:r>
    </w:p>
    <w:p>
      <w:pPr>
        <w:pStyle w:val="ListParagraph"/>
        <w:numPr>
          <w:ilvl w:val="0"/>
          <w:numId w:val="4"/>
        </w:numPr>
        <w:spacing w:after="100"/>
      </w:pPr>
      <w:r>
        <w:rPr>
          <w:rFonts w:ascii="Arial" w:cs="Arial" w:eastAsia="Arial" w:hAnsi="Arial"/>
          <w:color w:val="1A2332"/>
          <w:sz w:val="22"/>
          <w:szCs w:val="22"/>
        </w:rPr>
        <w:t xml:space="preserve">Engineer lag features: groupby(Store ID)[Actual Sales USD].shift(n) for n = 1, 4, 13, 52.</w:t>
      </w:r>
    </w:p>
    <w:p>
      <w:pPr>
        <w:pStyle w:val="ListParagraph"/>
        <w:numPr>
          <w:ilvl w:val="0"/>
          <w:numId w:val="4"/>
        </w:numPr>
        <w:spacing w:after="100"/>
      </w:pPr>
      <w:r>
        <w:rPr>
          <w:rFonts w:ascii="Arial" w:cs="Arial" w:eastAsia="Arial" w:hAnsi="Arial"/>
          <w:color w:val="1A2332"/>
          <w:sz w:val="22"/>
          <w:szCs w:val="22"/>
        </w:rPr>
        <w:t xml:space="preserve">Engineer rolling means: shift(1).rolling(window).mean() for windows = 4, 13.</w:t>
      </w:r>
    </w:p>
    <w:p>
      <w:pPr>
        <w:pStyle w:val="ListParagraph"/>
        <w:numPr>
          <w:ilvl w:val="0"/>
          <w:numId w:val="4"/>
        </w:numPr>
        <w:spacing w:after="100"/>
      </w:pPr>
      <w:r>
        <w:rPr>
          <w:rFonts w:ascii="Arial" w:cs="Arial" w:eastAsia="Arial" w:hAnsi="Arial"/>
          <w:color w:val="1A2332"/>
          <w:sz w:val="22"/>
          <w:szCs w:val="22"/>
        </w:rPr>
        <w:t xml:space="preserve">Engineer income mix: sum low-income brackets into income_low_share, mid-brackets into income_diy_core, high-brackets into income_affluent.</w:t>
      </w:r>
    </w:p>
    <w:p>
      <w:pPr>
        <w:pStyle w:val="ListParagraph"/>
        <w:numPr>
          <w:ilvl w:val="0"/>
          <w:numId w:val="4"/>
        </w:numPr>
        <w:spacing w:after="100"/>
      </w:pPr>
      <w:r>
        <w:rPr>
          <w:rFonts w:ascii="Arial" w:cs="Arial" w:eastAsia="Arial" w:hAnsi="Arial"/>
          <w:color w:val="1A2332"/>
          <w:sz w:val="22"/>
          <w:szCs w:val="22"/>
        </w:rPr>
        <w:t xml:space="preserve">Engineer housing age: sum pre-1969 decade bins into housing_old_share, post-2000 bins into housing_new_share.</w:t>
      </w:r>
    </w:p>
    <w:p>
      <w:pPr>
        <w:pStyle w:val="ListParagraph"/>
        <w:numPr>
          <w:ilvl w:val="0"/>
          <w:numId w:val="4"/>
        </w:numPr>
        <w:spacing w:after="100"/>
      </w:pPr>
      <w:r>
        <w:rPr>
          <w:rFonts w:ascii="Arial" w:cs="Arial" w:eastAsia="Arial" w:hAnsi="Arial"/>
          <w:color w:val="1A2332"/>
          <w:sz w:val="22"/>
          <w:szCs w:val="22"/>
        </w:rPr>
        <w:t xml:space="preserve">Engineer total competitor count: sum all 17 competitor TradeArea columns into total_competitor_ta.</w:t>
      </w:r>
    </w:p>
    <w:p>
      <w:pPr>
        <w:pStyle w:val="ListParagraph"/>
        <w:numPr>
          <w:ilvl w:val="0"/>
          <w:numId w:val="4"/>
        </w:numPr>
        <w:spacing w:after="100"/>
      </w:pPr>
      <w:r>
        <w:rPr>
          <w:rFonts w:ascii="Arial" w:cs="Arial" w:eastAsia="Arial" w:hAnsi="Arial"/>
          <w:color w:val="1A2332"/>
          <w:sz w:val="22"/>
          <w:szCs w:val="22"/>
        </w:rPr>
        <w:t xml:space="preserve">LabelEncode categorical features: Urbanicity (7 levels), CBSA Type (3), CBSA Metro Size (4).</w:t>
      </w:r>
    </w:p>
    <w:p>
      <w:pPr>
        <w:pStyle w:val="ListParagraph"/>
        <w:numPr>
          <w:ilvl w:val="0"/>
          <w:numId w:val="4"/>
        </w:numPr>
        <w:spacing w:after="100"/>
      </w:pPr>
      <w:r>
        <w:rPr>
          <w:rFonts w:ascii="Arial" w:cs="Arial" w:eastAsia="Arial" w:hAnsi="Arial"/>
          <w:color w:val="1A2332"/>
          <w:sz w:val="22"/>
          <w:szCs w:val="22"/>
        </w:rPr>
        <w:t xml:space="preserve">Drop rows with NaN in lag features (first ~52 weeks per store will have missing lag-52).</w:t>
      </w:r>
    </w:p>
    <w:p>
      <w:pPr>
        <w:spacing w:after="160"/>
        <w:jc w:val="left"/>
      </w:pPr>
      <w:r>
        <w:rPr>
          <w:rFonts w:ascii="Arial" w:cs="Arial" w:eastAsia="Arial" w:hAnsi="Arial"/>
          <w:b/>
          <w:bCs/>
          <w:color w:val="1A2332"/>
          <w:sz w:val="22"/>
          <w:szCs w:val="22"/>
        </w:rPr>
        <w:t xml:space="preserve">Leakage Guard: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Explicitly blacklist Plan Sales USD, Invoice Count, and Avg Ticket from the feature list. These are contemporaneous measures with correlations of 0.986, 0.972, and 0.133 respectively.</w:t>
      </w:r>
    </w:p>
    <w:p>
      <w:pPr>
        <w:spacing w:after="160"/>
        <w:jc w:val="left"/>
      </w:pPr>
      <w:r>
        <w:rPr>
          <w:rFonts w:ascii="Arial" w:cs="Arial" w:eastAsia="Arial" w:hAnsi="Arial"/>
          <w:b/>
          <w:bCs/>
          <w:color w:val="1A2332"/>
          <w:sz w:val="22"/>
          <w:szCs w:val="22"/>
        </w:rPr>
        <w:t xml:space="preserve">Output: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DataFrame with 40 engineered features plus target column, ready for train/test split.</w:t>
      </w:r>
    </w:p>
    <w:p>
      <w:pPr>
        <w:pStyle w:val="Heading2"/>
      </w:pPr>
      <w:r>
        <w:t xml:space="preserve">Step 3: Train/Holdout Split</w:t>
      </w:r>
    </w:p>
    <w:p>
      <w:pPr>
        <w:spacing w:after="160"/>
        <w:jc w:val="left"/>
      </w:pPr>
      <w:r>
        <w:rPr>
          <w:rFonts w:ascii="Arial" w:cs="Arial" w:eastAsia="Arial" w:hAnsi="Arial"/>
          <w:b/>
          <w:bCs/>
          <w:color w:val="1A2332"/>
          <w:sz w:val="22"/>
          <w:szCs w:val="22"/>
        </w:rPr>
        <w:t xml:space="preserve">Objective: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Create a time-based split that respects the temporal structure of the data (no future leakage in the split itself).</w:t>
      </w:r>
    </w:p>
    <w:p>
      <w:pPr>
        <w:spacing w:after="160"/>
        <w:jc w:val="left"/>
      </w:pPr>
      <w:r>
        <w:rPr>
          <w:rFonts w:ascii="Arial" w:cs="Arial" w:eastAsia="Arial" w:hAnsi="Arial"/>
          <w:b/>
          <w:bCs/>
          <w:color w:val="1A2332"/>
          <w:sz w:val="22"/>
          <w:szCs w:val="22"/>
        </w:rPr>
        <w:t xml:space="preserve">Recommended Strategy: Rolling Time Split</w:t>
      </w:r>
      <w:r>
        <w:rPr>
          <w:rFonts w:ascii="Arial" w:cs="Arial" w:eastAsia="Arial" w:hAnsi="Arial"/>
          <w:color w:val="1A2332"/>
          <w:sz w:val="22"/>
          <w:szCs w:val="22"/>
        </w:rPr>
        <w:t xml:space="preserve"/>
      </w:r>
    </w:p>
    <w:p>
      <w:pPr>
        <w:pStyle w:val="ListParagraph"/>
        <w:numPr>
          <w:ilvl w:val="0"/>
          <w:numId w:val="2"/>
        </w:numPr>
        <w:spacing w:after="100"/>
      </w:pPr>
      <w:r>
        <w:rPr>
          <w:rFonts w:ascii="Arial" w:cs="Arial" w:eastAsia="Arial" w:hAnsi="Arial"/>
          <w:color w:val="1A2332"/>
          <w:sz w:val="22"/>
          <w:szCs w:val="22"/>
        </w:rPr>
        <w:t xml:space="preserve">Training set: All store-weeks up to the 85th percentile of fiscal week ending dates.</w:t>
      </w:r>
    </w:p>
    <w:p>
      <w:pPr>
        <w:pStyle w:val="ListParagraph"/>
        <w:numPr>
          <w:ilvl w:val="0"/>
          <w:numId w:val="2"/>
        </w:numPr>
        <w:spacing w:after="100"/>
      </w:pPr>
      <w:r>
        <w:rPr>
          <w:rFonts w:ascii="Arial" w:cs="Arial" w:eastAsia="Arial" w:hAnsi="Arial"/>
          <w:color w:val="1A2332"/>
          <w:sz w:val="22"/>
          <w:szCs w:val="22"/>
        </w:rPr>
        <w:t xml:space="preserve">Holdout set: The latest ~15% of weeks (approximately the most recent 8 fiscal weeks across all stores).</w:t>
      </w:r>
    </w:p>
    <w:p>
      <w:pPr>
        <w:pStyle w:val="ListParagraph"/>
        <w:numPr>
          <w:ilvl w:val="0"/>
          <w:numId w:val="2"/>
        </w:numPr>
        <w:spacing w:after="100"/>
      </w:pPr>
      <w:r>
        <w:rPr>
          <w:rFonts w:ascii="Arial" w:cs="Arial" w:eastAsia="Arial" w:hAnsi="Arial"/>
          <w:color w:val="1A2332"/>
          <w:sz w:val="22"/>
          <w:szCs w:val="22"/>
        </w:rPr>
        <w:t xml:space="preserve">Alternative: Hold out all of FY2025 (68/32 split) for a cleaner year-over-year validation.</w:t>
      </w:r>
    </w:p>
    <w:p>
      <w:pPr>
        <w:spacing w:after="160"/>
        <w:jc w:val="left"/>
      </w:pPr>
      <w:r>
        <w:rPr>
          <w:rFonts w:ascii="Arial" w:cs="Arial" w:eastAsia="Arial" w:hAnsi="Arial"/>
          <w:b/>
          <w:bCs/>
          <w:color w:val="1A2332"/>
          <w:sz w:val="22"/>
          <w:szCs w:val="22"/>
        </w:rPr>
        <w:t xml:space="preserve">Why not random split?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Random splitting would allow the model to see future data during training, inflating accuracy estimates. Time-based splits match how the model would be used in production: trained on historical data, predicting forward.</w:t>
      </w:r>
    </w:p>
    <w:p>
      <w:pPr>
        <w:pStyle w:val="Heading2"/>
      </w:pPr>
      <w:r>
        <w:t xml:space="preserve">Step 4: Model Training (LightGBM Primary)</w:t>
      </w:r>
    </w:p>
    <w:p>
      <w:pPr>
        <w:spacing w:after="160"/>
        <w:jc w:val="left"/>
      </w:pPr>
      <w:r>
        <w:rPr>
          <w:rFonts w:ascii="Arial" w:cs="Arial" w:eastAsia="Arial" w:hAnsi="Arial"/>
          <w:b/>
          <w:bCs/>
          <w:color w:val="1A2332"/>
          <w:sz w:val="22"/>
          <w:szCs w:val="22"/>
        </w:rPr>
        <w:t xml:space="preserve">Objective: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Train a LightGBM regressor as the primary model, with XGBoost as a comparison baseline.</w:t>
      </w:r>
    </w:p>
    <w:p>
      <w:pPr>
        <w:spacing w:after="160"/>
        <w:jc w:val="left"/>
      </w:pPr>
      <w:r>
        <w:rPr>
          <w:rFonts w:ascii="Arial" w:cs="Arial" w:eastAsia="Arial" w:hAnsi="Arial"/>
          <w:b/>
          <w:bCs/>
          <w:color w:val="1A2332"/>
          <w:sz w:val="22"/>
          <w:szCs w:val="22"/>
        </w:rPr>
        <w:t xml:space="preserve">Recommended Hyperparameters (LightGBM):</w:t>
      </w:r>
      <w:r>
        <w:rPr>
          <w:rFonts w:ascii="Arial" w:cs="Arial" w:eastAsia="Arial" w:hAnsi="Arial"/>
          <w:color w:val="1A233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n_estimators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500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Sufficient trees with early stopping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learning_rate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0.05</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Standard rate; balances speed and precision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max_depth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Deep enough for complex interactions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num_leaves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63</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2^(max_depth-1); prevents overfitting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min_child_samples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Conservative; prevents overfitting on small stores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subsample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0.8</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Row sampling for robustness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colsample_bytree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0.8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Feature sampling for robustness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early_stopping_rounds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50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Stop if validation doesn’t improve for 50 rounds</w:t>
            </w:r>
          </w:p>
        </w:tc>
      </w:tr>
    </w:tbl>
    <w:p>
      <w:pPr>
        <w:spacing w:after="120"/>
      </w:pPr>
    </w:p>
    <w:p>
      <w:pPr>
        <w:spacing w:after="160"/>
        <w:jc w:val="left"/>
      </w:pPr>
      <w:r>
        <w:rPr>
          <w:rFonts w:ascii="Arial" w:cs="Arial" w:eastAsia="Arial" w:hAnsi="Arial"/>
          <w:b/>
          <w:bCs/>
          <w:color w:val="1A2332"/>
          <w:sz w:val="22"/>
          <w:szCs w:val="22"/>
        </w:rPr>
        <w:t xml:space="preserve">Secondary Models to Compare:</w:t>
      </w:r>
      <w:r>
        <w:rPr>
          <w:rFonts w:ascii="Arial" w:cs="Arial" w:eastAsia="Arial" w:hAnsi="Arial"/>
          <w:color w:val="1A2332"/>
          <w:sz w:val="22"/>
          <w:szCs w:val="22"/>
        </w:rPr>
        <w:t xml:space="preserve"/>
      </w:r>
    </w:p>
    <w:p>
      <w:pPr>
        <w:pStyle w:val="ListParagraph"/>
        <w:numPr>
          <w:ilvl w:val="0"/>
          <w:numId w:val="2"/>
        </w:numPr>
        <w:spacing w:after="100"/>
      </w:pPr>
      <w:r>
        <w:rPr>
          <w:rFonts w:ascii="Arial" w:cs="Arial" w:eastAsia="Arial" w:hAnsi="Arial"/>
          <w:color w:val="1A2332"/>
          <w:sz w:val="22"/>
          <w:szCs w:val="22"/>
        </w:rPr>
        <w:t xml:space="preserve">XGBoost with equivalent hyperparameters for direct comparison.</w:t>
      </w:r>
    </w:p>
    <w:p>
      <w:pPr>
        <w:pStyle w:val="ListParagraph"/>
        <w:numPr>
          <w:ilvl w:val="0"/>
          <w:numId w:val="2"/>
        </w:numPr>
        <w:spacing w:after="100"/>
      </w:pPr>
      <w:r>
        <w:rPr>
          <w:rFonts w:ascii="Arial" w:cs="Arial" w:eastAsia="Arial" w:hAnsi="Arial"/>
          <w:color w:val="1A2332"/>
          <w:sz w:val="22"/>
          <w:szCs w:val="22"/>
        </w:rPr>
        <w:t xml:space="preserve">Ridge Regression as a linear baseline (after correlation-based pruning).</w:t>
      </w:r>
    </w:p>
    <w:p>
      <w:pPr>
        <w:pStyle w:val="ListParagraph"/>
        <w:numPr>
          <w:ilvl w:val="0"/>
          <w:numId w:val="2"/>
        </w:numPr>
        <w:spacing w:after="100"/>
      </w:pPr>
      <w:r>
        <w:rPr>
          <w:rFonts w:ascii="Arial" w:cs="Arial" w:eastAsia="Arial" w:hAnsi="Arial"/>
          <w:color w:val="1A2332"/>
          <w:sz w:val="22"/>
          <w:szCs w:val="22"/>
        </w:rPr>
        <w:t xml:space="preserve">CatBoost as an optional third tree-based model (handles categoricals natively).</w:t>
      </w:r>
    </w:p>
    <w:p>
      <w:pPr>
        <w:pStyle w:val="Heading2"/>
      </w:pPr>
      <w:r>
        <w:t xml:space="preserve">Step 5: Model Evaluation</w:t>
      </w:r>
    </w:p>
    <w:p>
      <w:pPr>
        <w:spacing w:after="160"/>
        <w:jc w:val="left"/>
      </w:pPr>
      <w:r>
        <w:rPr>
          <w:rFonts w:ascii="Arial" w:cs="Arial" w:eastAsia="Arial" w:hAnsi="Arial"/>
          <w:b/>
          <w:bCs/>
          <w:color w:val="1A2332"/>
          <w:sz w:val="22"/>
          <w:szCs w:val="22"/>
        </w:rPr>
        <w:t xml:space="preserve">Primary Metrics:</w:t>
      </w:r>
      <w:r>
        <w:rPr>
          <w:rFonts w:ascii="Arial" w:cs="Arial" w:eastAsia="Arial" w:hAnsi="Arial"/>
          <w:color w:val="1A233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Target Benchmark</w:t>
            </w:r>
          </w:p>
        </w:tc>
        <w:tc>
          <w:tcPr>
            <w:tcW w:type="dxa" w:w="2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WAPE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|Actual - Predicted| / Actual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&lt; 8.9% (beat lag-52 baseline)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Weighted accuracy; robust to scale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Bias %</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(Predicted - Actual) / Actual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Within ±2%</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Detects systematic over/under-prediction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RMSE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Root Mean Squared Error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Lower = better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Penalizes large individual store errors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R²</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Coefficient of determination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&gt; 0.88</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Variance explained by the model</w:t>
            </w:r>
          </w:p>
        </w:tc>
      </w:tr>
    </w:tbl>
    <w:p>
      <w:pPr>
        <w:spacing w:after="120"/>
      </w:pPr>
    </w:p>
    <w:p>
      <w:pPr>
        <w:spacing w:after="160"/>
        <w:jc w:val="left"/>
      </w:pPr>
      <w:r>
        <w:rPr>
          <w:rFonts w:ascii="Arial" w:cs="Arial" w:eastAsia="Arial" w:hAnsi="Arial"/>
          <w:b/>
          <w:bCs/>
          <w:color w:val="1A2332"/>
          <w:sz w:val="22"/>
          <w:szCs w:val="22"/>
        </w:rPr>
        <w:t xml:space="preserve">Beat-the-Baseline Test: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The naive lag-52 baseline achieves 8.90% wAPE on FY2025 data. Your supervised model must beat this to demonstrate value. With lag features at 0.95+ correlation, the model should comfortably achieve 6–8% wAPE, representing a meaningful improvement.</w:t>
      </w:r>
    </w:p>
    <w:p>
      <w:pPr>
        <w:pStyle w:val="Heading2"/>
      </w:pPr>
      <w:r>
        <w:t xml:space="preserve">Step 6: Store-Level Accuracy Loop</w:t>
      </w:r>
    </w:p>
    <w:p>
      <w:pPr>
        <w:spacing w:after="160"/>
        <w:jc w:val="left"/>
      </w:pPr>
      <w:r>
        <w:rPr>
          <w:rFonts w:ascii="Arial" w:cs="Arial" w:eastAsia="Arial" w:hAnsi="Arial"/>
          <w:color w:val="1A2332"/>
          <w:sz w:val="22"/>
          <w:szCs w:val="22"/>
        </w:rPr>
        <w:t xml:space="preserve">This is the key differentiator of your project. Instead of just reporting global metrics, compute WAPE, RMSE, and Bias for every individual store on the holdout set.</w:t>
      </w:r>
    </w:p>
    <w:p>
      <w:pPr>
        <w:spacing w:after="160"/>
        <w:jc w:val="left"/>
      </w:pPr>
      <w:r>
        <w:rPr>
          <w:rFonts w:ascii="Arial" w:cs="Arial" w:eastAsia="Arial" w:hAnsi="Arial"/>
          <w:b/>
          <w:bCs/>
          <w:color w:val="1A2332"/>
          <w:sz w:val="22"/>
          <w:szCs w:val="22"/>
        </w:rPr>
        <w:t xml:space="preserve">Key Actions:</w:t>
      </w:r>
      <w:r>
        <w:rPr>
          <w:rFonts w:ascii="Arial" w:cs="Arial" w:eastAsia="Arial" w:hAnsi="Arial"/>
          <w:color w:val="1A2332"/>
          <w:sz w:val="22"/>
          <w:szCs w:val="22"/>
        </w:rPr>
        <w:t xml:space="preserve"/>
      </w:r>
    </w:p>
    <w:p>
      <w:pPr>
        <w:pStyle w:val="ListParagraph"/>
        <w:numPr>
          <w:ilvl w:val="0"/>
          <w:numId w:val="5"/>
        </w:numPr>
        <w:spacing w:after="100"/>
      </w:pPr>
      <w:r>
        <w:rPr>
          <w:rFonts w:ascii="Arial" w:cs="Arial" w:eastAsia="Arial" w:hAnsi="Arial"/>
          <w:color w:val="1A2332"/>
          <w:sz w:val="22"/>
          <w:szCs w:val="22"/>
        </w:rPr>
        <w:t xml:space="preserve">Group holdout predictions by Store ID.</w:t>
      </w:r>
    </w:p>
    <w:p>
      <w:pPr>
        <w:pStyle w:val="ListParagraph"/>
        <w:numPr>
          <w:ilvl w:val="0"/>
          <w:numId w:val="5"/>
        </w:numPr>
        <w:spacing w:after="100"/>
      </w:pPr>
      <w:r>
        <w:rPr>
          <w:rFonts w:ascii="Arial" w:cs="Arial" w:eastAsia="Arial" w:hAnsi="Arial"/>
          <w:color w:val="1A2332"/>
          <w:sz w:val="22"/>
          <w:szCs w:val="22"/>
        </w:rPr>
        <w:t xml:space="preserve">For each store: compute store-level WAPE, Bias %, RMSE, and quarterly bias breakdown (Q1–Q4).</w:t>
      </w:r>
    </w:p>
    <w:p>
      <w:pPr>
        <w:pStyle w:val="ListParagraph"/>
        <w:numPr>
          <w:ilvl w:val="0"/>
          <w:numId w:val="5"/>
        </w:numPr>
        <w:spacing w:after="100"/>
      </w:pPr>
      <w:r>
        <w:rPr>
          <w:rFonts w:ascii="Arial" w:cs="Arial" w:eastAsia="Arial" w:hAnsi="Arial"/>
          <w:color w:val="1A2332"/>
          <w:sz w:val="22"/>
          <w:szCs w:val="22"/>
        </w:rPr>
        <w:t xml:space="preserve">Classify each store as Under-Targeted (bias &lt; -5%), Over-Targeted (bias &gt; +5%), or Well-Calibrated (±5%).</w:t>
      </w:r>
    </w:p>
    <w:p>
      <w:pPr>
        <w:pStyle w:val="ListParagraph"/>
        <w:numPr>
          <w:ilvl w:val="0"/>
          <w:numId w:val="5"/>
        </w:numPr>
        <w:spacing w:after="100"/>
      </w:pPr>
      <w:r>
        <w:rPr>
          <w:rFonts w:ascii="Arial" w:cs="Arial" w:eastAsia="Arial" w:hAnsi="Arial"/>
          <w:color w:val="1A2332"/>
          <w:sz w:val="22"/>
          <w:szCs w:val="22"/>
        </w:rPr>
        <w:t xml:space="preserve">Rank stores by absolute bias to identify the worst-performing stores for override attention.</w:t>
      </w:r>
    </w:p>
    <w:p>
      <w:pPr>
        <w:pStyle w:val="ListParagraph"/>
        <w:numPr>
          <w:ilvl w:val="0"/>
          <w:numId w:val="5"/>
        </w:numPr>
        <w:spacing w:after="100"/>
      </w:pPr>
      <w:r>
        <w:rPr>
          <w:rFonts w:ascii="Arial" w:cs="Arial" w:eastAsia="Arial" w:hAnsi="Arial"/>
          <w:color w:val="1A2332"/>
          <w:sz w:val="22"/>
          <w:szCs w:val="22"/>
        </w:rPr>
        <w:t xml:space="preserve">Export results to a CSV: store_accuracy_loop_results.csv.</w:t>
      </w:r>
    </w:p>
    <w:p>
      <w:pPr>
        <w:spacing w:after="160"/>
        <w:jc w:val="left"/>
      </w:pPr>
      <w:r>
        <w:rPr>
          <w:rFonts w:ascii="Arial" w:cs="Arial" w:eastAsia="Arial" w:hAnsi="Arial"/>
          <w:b/>
          <w:bCs/>
          <w:color w:val="1A2332"/>
          <w:sz w:val="22"/>
          <w:szCs w:val="22"/>
        </w:rPr>
        <w:t xml:space="preserve">Business Value: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This loop enables planners to identify specific stores where the model’s targets need manual adjustment, rather than applying blanket overrides across the chain. It directly addresses the 25.83% plan-miss rate identified in the current process.</w:t>
      </w:r>
    </w:p>
    <w:p>
      <w:r>
        <w:br w:type="page"/>
      </w:r>
    </w:p>
    <w:p>
      <w:pPr>
        <w:pStyle w:val="Heading2"/>
      </w:pPr>
      <w:r>
        <w:t xml:space="preserve">Step 7: Role of Store Clustering (Post-Prediction Overlay)</w:t>
      </w:r>
    </w:p>
    <w:p>
      <w:pPr>
        <w:spacing w:after="160"/>
        <w:jc w:val="left"/>
      </w:pPr>
      <w:r>
        <w:rPr>
          <w:rFonts w:ascii="Arial" w:cs="Arial" w:eastAsia="Arial" w:hAnsi="Arial"/>
          <w:color w:val="1A2332"/>
          <w:sz w:val="22"/>
          <w:szCs w:val="22"/>
        </w:rPr>
        <w:t xml:space="preserve">After the supervised model produces store-level predictions and accuracy metrics, derive the 5 Role-of-Store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Criteria (Derived from Model Outputs)</w:t>
            </w:r>
          </w:p>
        </w:tc>
        <w:tc>
          <w:tcPr>
            <w:tcW w:type="dxa" w:w="2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Typical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High Growth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Predicted growth &gt; +5%, strong market fundamentals (high CAGR, new housing)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Aggressive target; invest in inventory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Growth</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Predicted growth +2% to +5%, positive market trends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Moderate stretch 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Neutral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Predicted growth ±2%, stable market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Maintain current trajectory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Maintain</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Predicted growth -2% to -5%, some market pressure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Conservative target; efficiency focus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Defend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Predicted growth &lt; -5%, high competition, declining market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Defensive target; protect share</w:t>
            </w:r>
          </w:p>
        </w:tc>
      </w:tr>
    </w:tbl>
    <w:p>
      <w:pPr>
        <w:spacing w:after="120"/>
      </w:pPr>
    </w:p>
    <w:p>
      <w:pPr>
        <w:spacing w:after="160"/>
        <w:jc w:val="left"/>
      </w:pPr>
      <w:r>
        <w:rPr>
          <w:rFonts w:ascii="Arial" w:cs="Arial" w:eastAsia="Arial" w:hAnsi="Arial"/>
          <w:b/>
          <w:bCs/>
          <w:color w:val="1A2332"/>
          <w:sz w:val="22"/>
          <w:szCs w:val="22"/>
        </w:rPr>
        <w:t xml:space="preserve">Implementation: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Use the model’s predicted YoY growth rate, store-level bias, CAGR HH, Housing Age New Stock, and Total Competitor Count as inputs to a simple rule-based or K-means clustering. The key insight is that these segments are derived from the supervised model’s view of each store, not from an independent unsupervised pipeline.</w:t>
      </w:r>
    </w:p>
    <w:p>
      <w:pPr>
        <w:pStyle w:val="Heading2"/>
      </w:pPr>
      <w:r>
        <w:t xml:space="preserve">Step 8: Interactive Demo App (Streamlit)</w:t>
      </w:r>
    </w:p>
    <w:p>
      <w:pPr>
        <w:spacing w:after="160"/>
        <w:jc w:val="left"/>
      </w:pPr>
      <w:r>
        <w:rPr>
          <w:rFonts w:ascii="Arial" w:cs="Arial" w:eastAsia="Arial" w:hAnsi="Arial"/>
          <w:color w:val="1A2332"/>
          <w:sz w:val="22"/>
          <w:szCs w:val="22"/>
        </w:rPr>
        <w:t xml:space="preserve">Build a Streamlit application that demonstrates the full pipeline interactively. The HTML prototype from Google AI Studio provides the exact UI specification.</w:t>
      </w:r>
    </w:p>
    <w:p>
      <w:pPr>
        <w:spacing w:after="160"/>
        <w:jc w:val="left"/>
      </w:pPr>
      <w:r>
        <w:rPr>
          <w:rFonts w:ascii="Arial" w:cs="Arial" w:eastAsia="Arial" w:hAnsi="Arial"/>
          <w:b/>
          <w:bCs/>
          <w:color w:val="1A2332"/>
          <w:sz w:val="22"/>
          <w:szCs w:val="22"/>
        </w:rPr>
        <w:t xml:space="preserve">App Pages/Sections:</w:t>
      </w:r>
      <w:r>
        <w:rPr>
          <w:rFonts w:ascii="Arial" w:cs="Arial" w:eastAsia="Arial" w:hAnsi="Arial"/>
          <w:color w:val="1A2332"/>
          <w:sz w:val="22"/>
          <w:szCs w:val="22"/>
        </w:rPr>
        <w:t xml:space="preserve"/>
      </w:r>
    </w:p>
    <w:p>
      <w:pPr>
        <w:pStyle w:val="ListParagraph"/>
        <w:numPr>
          <w:ilvl w:val="0"/>
          <w:numId w:val="6"/>
        </w:numPr>
        <w:spacing w:after="100"/>
      </w:pPr>
      <w:r>
        <w:rPr>
          <w:rFonts w:ascii="Arial" w:cs="Arial" w:eastAsia="Arial" w:hAnsi="Arial"/>
          <w:color w:val="1A2332"/>
          <w:sz w:val="22"/>
          <w:szCs w:val="22"/>
        </w:rPr>
        <w:t xml:space="preserve">Data Upload and Summary: Upload CSV, display row counts, store counts, fiscal year range, sales distribution.</w:t>
      </w:r>
    </w:p>
    <w:p>
      <w:pPr>
        <w:pStyle w:val="ListParagraph"/>
        <w:numPr>
          <w:ilvl w:val="0"/>
          <w:numId w:val="6"/>
        </w:numPr>
        <w:spacing w:after="100"/>
      </w:pPr>
      <w:r>
        <w:rPr>
          <w:rFonts w:ascii="Arial" w:cs="Arial" w:eastAsia="Arial" w:hAnsi="Arial"/>
          <w:color w:val="1A2332"/>
          <w:sz w:val="22"/>
          <w:szCs w:val="22"/>
        </w:rPr>
        <w:t xml:space="preserve">Feature Engineering Dashboard: Show the 40 Phase 1 features grouped by family, with correlation values and descriptions.</w:t>
      </w:r>
    </w:p>
    <w:p>
      <w:pPr>
        <w:pStyle w:val="ListParagraph"/>
        <w:numPr>
          <w:ilvl w:val="0"/>
          <w:numId w:val="6"/>
        </w:numPr>
        <w:spacing w:after="100"/>
      </w:pPr>
      <w:r>
        <w:rPr>
          <w:rFonts w:ascii="Arial" w:cs="Arial" w:eastAsia="Arial" w:hAnsi="Arial"/>
          <w:color w:val="1A2332"/>
          <w:sz w:val="22"/>
          <w:szCs w:val="22"/>
        </w:rPr>
        <w:t xml:space="preserve">Model Configuration: Select model type (LightGBM/XGBoost/CatBoost/Ridge), holdout strategy, lag configuration, max stores for loop.</w:t>
      </w:r>
    </w:p>
    <w:p>
      <w:pPr>
        <w:pStyle w:val="ListParagraph"/>
        <w:numPr>
          <w:ilvl w:val="0"/>
          <w:numId w:val="6"/>
        </w:numPr>
        <w:spacing w:after="100"/>
      </w:pPr>
      <w:r>
        <w:rPr>
          <w:rFonts w:ascii="Arial" w:cs="Arial" w:eastAsia="Arial" w:hAnsi="Arial"/>
          <w:color w:val="1A2332"/>
          <w:sz w:val="22"/>
          <w:szCs w:val="22"/>
        </w:rPr>
        <w:t xml:space="preserve">Training Progress: Live progress bar and log output during model training.</w:t>
      </w:r>
    </w:p>
    <w:p>
      <w:pPr>
        <w:pStyle w:val="ListParagraph"/>
        <w:numPr>
          <w:ilvl w:val="0"/>
          <w:numId w:val="6"/>
        </w:numPr>
        <w:spacing w:after="100"/>
      </w:pPr>
      <w:r>
        <w:rPr>
          <w:rFonts w:ascii="Arial" w:cs="Arial" w:eastAsia="Arial" w:hAnsi="Arial"/>
          <w:color w:val="1A2332"/>
          <w:sz w:val="22"/>
          <w:szCs w:val="22"/>
        </w:rPr>
        <w:t xml:space="preserve">Results Dashboard: Global metrics (WAPE, RMSE, Bias, R²), feature importance bar chart, store-level accuracy table with under/over-targeted filtering.</w:t>
      </w:r>
    </w:p>
    <w:p>
      <w:pPr>
        <w:pStyle w:val="ListParagraph"/>
        <w:numPr>
          <w:ilvl w:val="0"/>
          <w:numId w:val="6"/>
        </w:numPr>
        <w:spacing w:after="100"/>
      </w:pPr>
      <w:r>
        <w:rPr>
          <w:rFonts w:ascii="Arial" w:cs="Arial" w:eastAsia="Arial" w:hAnsi="Arial"/>
          <w:color w:val="1A2332"/>
          <w:sz w:val="22"/>
          <w:szCs w:val="22"/>
        </w:rPr>
        <w:t xml:space="preserve">AI Commentary: Integration with Gemini API (or Claude API) for natural-language interpretation of model results.</w:t>
      </w:r>
    </w:p>
    <w:p>
      <w:pPr>
        <w:pStyle w:val="ListParagraph"/>
        <w:numPr>
          <w:ilvl w:val="0"/>
          <w:numId w:val="6"/>
        </w:numPr>
        <w:spacing w:after="100"/>
      </w:pPr>
      <w:r>
        <w:rPr>
          <w:rFonts w:ascii="Arial" w:cs="Arial" w:eastAsia="Arial" w:hAnsi="Arial"/>
          <w:color w:val="1A2332"/>
          <w:sz w:val="22"/>
          <w:szCs w:val="22"/>
        </w:rPr>
        <w:t xml:space="preserve">Code Export: Copy-paste Python code for the full pipeline, feature engineering, store loop, and API setup.</w:t>
      </w:r>
    </w:p>
    <w:p>
      <w:pPr>
        <w:spacing w:after="160"/>
        <w:jc w:val="left"/>
      </w:pPr>
      <w:r>
        <w:rPr>
          <w:rFonts w:ascii="Arial" w:cs="Arial" w:eastAsia="Arial" w:hAnsi="Arial"/>
          <w:b/>
          <w:bCs/>
          <w:color w:val="1A2332"/>
          <w:sz w:val="22"/>
          <w:szCs w:val="22"/>
        </w:rPr>
        <w:t xml:space="preserve">Technology Stack: </w:t>
      </w:r>
      <w:r>
        <w:rPr>
          <w:rFonts w:ascii="Arial" w:cs="Arial" w:eastAsia="Arial" w:hAnsi="Arial"/>
          <w:color w:val="1A2332"/>
          <w:sz w:val="22"/>
          <w:szCs w:val="22"/>
        </w:rPr>
        <w:t xml:space="preserve"/>
      </w:r>
    </w:p>
    <w:p>
      <w:pPr>
        <w:spacing w:after="160"/>
        <w:jc w:val="left"/>
      </w:pPr>
      <w:r>
        <w:rPr>
          <w:rFonts w:ascii="Arial" w:cs="Arial" w:eastAsia="Arial" w:hAnsi="Arial"/>
          <w:color w:val="1A2332"/>
          <w:sz w:val="22"/>
          <w:szCs w:val="22"/>
        </w:rPr>
        <w:t xml:space="preserve">Streamlit for the UI, with Plotly for interactive charts. The model runs server-side in Python using the same pipeline code from the notebook. For the AI commentary, use the Gemini 2.0 Flash API via google-generativeai SDK (API key auto-injected in Google AI Studio, manual in Streamlit).</w:t>
      </w:r>
    </w:p>
    <w:p>
      <w:r>
        <w:br w:type="page"/>
      </w:r>
    </w:p>
    <w:p>
      <w:pPr>
        <w:pStyle w:val="Heading2"/>
      </w:pPr>
      <w:r>
        <w:t xml:space="preserve">Step 9: Capstone Report</w:t>
      </w:r>
    </w:p>
    <w:p>
      <w:pPr>
        <w:spacing w:after="160"/>
        <w:jc w:val="left"/>
      </w:pPr>
      <w:r>
        <w:rPr>
          <w:rFonts w:ascii="Arial" w:cs="Arial" w:eastAsia="Arial" w:hAnsi="Arial"/>
          <w:color w:val="1A2332"/>
          <w:sz w:val="22"/>
          <w:szCs w:val="22"/>
        </w:rPr>
        <w:t xml:space="preserve">The written report ties everything together for academic submission. Recommended structure:</w:t>
      </w:r>
    </w:p>
    <w:p>
      <w:pPr>
        <w:pStyle w:val="ListParagraph"/>
        <w:numPr>
          <w:ilvl w:val="0"/>
          <w:numId w:val="7"/>
        </w:numPr>
        <w:spacing w:after="100"/>
      </w:pPr>
      <w:r>
        <w:rPr>
          <w:rFonts w:ascii="Arial" w:cs="Arial" w:eastAsia="Arial" w:hAnsi="Arial"/>
          <w:color w:val="1A2332"/>
          <w:sz w:val="22"/>
          <w:szCs w:val="22"/>
        </w:rPr>
        <w:t xml:space="preserve">Executive Summary: Problem statement, approach, key results (1 page).</w:t>
      </w:r>
    </w:p>
    <w:p>
      <w:pPr>
        <w:pStyle w:val="ListParagraph"/>
        <w:numPr>
          <w:ilvl w:val="0"/>
          <w:numId w:val="7"/>
        </w:numPr>
        <w:spacing w:after="100"/>
      </w:pPr>
      <w:r>
        <w:rPr>
          <w:rFonts w:ascii="Arial" w:cs="Arial" w:eastAsia="Arial" w:hAnsi="Arial"/>
          <w:color w:val="1A2332"/>
          <w:sz w:val="22"/>
          <w:szCs w:val="22"/>
        </w:rPr>
        <w:t xml:space="preserve">Business Context: Lowe’s current planning process, pain points (25.83% miss rate), POC scope.</w:t>
      </w:r>
    </w:p>
    <w:p>
      <w:pPr>
        <w:pStyle w:val="ListParagraph"/>
        <w:numPr>
          <w:ilvl w:val="0"/>
          <w:numId w:val="7"/>
        </w:numPr>
        <w:spacing w:after="100"/>
      </w:pPr>
      <w:r>
        <w:rPr>
          <w:rFonts w:ascii="Arial" w:cs="Arial" w:eastAsia="Arial" w:hAnsi="Arial"/>
          <w:color w:val="1A2332"/>
          <w:sz w:val="22"/>
          <w:szCs w:val="22"/>
        </w:rPr>
        <w:t xml:space="preserve">Data Description: Dataset overview, quality checks, feature inventory (reference your existing health check report).</w:t>
      </w:r>
    </w:p>
    <w:p>
      <w:pPr>
        <w:pStyle w:val="ListParagraph"/>
        <w:numPr>
          <w:ilvl w:val="0"/>
          <w:numId w:val="7"/>
        </w:numPr>
        <w:spacing w:after="100"/>
      </w:pPr>
      <w:r>
        <w:rPr>
          <w:rFonts w:ascii="Arial" w:cs="Arial" w:eastAsia="Arial" w:hAnsi="Arial"/>
          <w:color w:val="1A2332"/>
          <w:sz w:val="22"/>
          <w:szCs w:val="22"/>
        </w:rPr>
        <w:t xml:space="preserve">Methodology: Feature engineering (with justification table from Section 6 doc), leakage controls, model selection, time-based validation.</w:t>
      </w:r>
    </w:p>
    <w:p>
      <w:pPr>
        <w:pStyle w:val="ListParagraph"/>
        <w:numPr>
          <w:ilvl w:val="0"/>
          <w:numId w:val="7"/>
        </w:numPr>
        <w:spacing w:after="100"/>
      </w:pPr>
      <w:r>
        <w:rPr>
          <w:rFonts w:ascii="Arial" w:cs="Arial" w:eastAsia="Arial" w:hAnsi="Arial"/>
          <w:color w:val="1A2332"/>
          <w:sz w:val="22"/>
          <w:szCs w:val="22"/>
        </w:rPr>
        <w:t xml:space="preserve">Results: Global metrics vs. baseline, feature importance analysis, store-level accuracy loop findings, Role-of-Store segmentation.</w:t>
      </w:r>
    </w:p>
    <w:p>
      <w:pPr>
        <w:pStyle w:val="ListParagraph"/>
        <w:numPr>
          <w:ilvl w:val="0"/>
          <w:numId w:val="7"/>
        </w:numPr>
        <w:spacing w:after="100"/>
      </w:pPr>
      <w:r>
        <w:rPr>
          <w:rFonts w:ascii="Arial" w:cs="Arial" w:eastAsia="Arial" w:hAnsi="Arial"/>
          <w:color w:val="1A2332"/>
          <w:sz w:val="22"/>
          <w:szCs w:val="22"/>
        </w:rPr>
        <w:t xml:space="preserve">Business Recommendations: Override reduction strategy, quarterly re-scoring cadence, Phase 2 feature expansion (reserve features, promo calendar, weather data).</w:t>
      </w:r>
    </w:p>
    <w:p>
      <w:pPr>
        <w:pStyle w:val="ListParagraph"/>
        <w:numPr>
          <w:ilvl w:val="0"/>
          <w:numId w:val="7"/>
        </w:numPr>
        <w:spacing w:after="100"/>
      </w:pPr>
      <w:r>
        <w:rPr>
          <w:rFonts w:ascii="Arial" w:cs="Arial" w:eastAsia="Arial" w:hAnsi="Arial"/>
          <w:color w:val="1A2332"/>
          <w:sz w:val="22"/>
          <w:szCs w:val="22"/>
        </w:rPr>
        <w:t xml:space="preserve">Appendix: Full feature justification table, Python code listings, model comparison tables.</w:t>
      </w:r>
    </w:p>
    <w:p>
      <w:pPr>
        <w:pStyle w:val="Heading1"/>
      </w:pPr>
      <w:r>
        <w:t xml:space="preserve">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7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 Check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Week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Data + Features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Ingested dataset, 40 engineered features, leakage guard validated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Print feature correlations matching Section 6 doc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Week 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Model Training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LightGBM trained, holdout WAPE &lt; 9%, baseline comparison done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WAPE and Bias numbers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Week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Store Loop + Clustering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Store-level accuracy CSV, Role-of-Store segments assigned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Top 10 under/over stores identified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Week 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Streamlit App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Working demo with all 7 sections from HTML prototype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App runs end-to-end on uploaded CSV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Week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Report + Polish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Written capstone report, final validation, presentation prep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All numbers cross-checked against code outputs</w:t>
            </w:r>
          </w:p>
        </w:tc>
      </w:tr>
    </w:tbl>
    <w:p>
      <w:pPr>
        <w:spacing w:after="120"/>
      </w:pPr>
    </w:p>
    <w:p>
      <w:pPr>
        <w:pStyle w:val="Heading1"/>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Model does not beat lag-52 baseline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The 6 lag features alone provide 0.95+ correlation. If global model underperforms, check for leakage in split or feature errors. Run Ridge baseline first as sanity check.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Lag-52 creates NaN for first year of data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Medium</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Expect ~89,804 rows lost (FY2023). Training on FY2024–2025 with holdout on late FY2025 still gives ~130K+ training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Overfitting on lag features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Early stopping (50 rounds), subsample=0.8, min_child_samples=50. Also test a no-lags static-only model to quantify lag dependence.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Streamlit app performance with 269K rows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Medium</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Pre-compute model results and store in pickle files. App loads pre-computed results rather than training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Reserve features do not improve WAPE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This is expected. The 40 Phase 1 features were selected precisely because reserve features showed redundancy. Document the negative result as evidence of feature discipline.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Clustering segments feel arbitrary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Medium</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Anchor segments to model-derived metrics (predicted growth, bias) rather than raw features. Present business rules alongside any K-means results.</w:t>
            </w:r>
          </w:p>
        </w:tc>
      </w:tr>
    </w:tbl>
    <w:p>
      <w:pPr>
        <w:spacing w:after="120"/>
      </w:pPr>
    </w:p>
    <w:p>
      <w:pPr>
        <w:pStyle w:val="Heading1"/>
      </w:pPr>
      <w:r>
        <w:t xml:space="preserve">Key Technical Decisions (Pre-Resolved)</w:t>
      </w:r>
    </w:p>
    <w:p>
      <w:pPr>
        <w:spacing w:after="160"/>
        <w:jc w:val="left"/>
      </w:pPr>
      <w:r>
        <w:rPr>
          <w:rFonts w:ascii="Arial" w:cs="Arial" w:eastAsia="Arial" w:hAnsi="Arial"/>
          <w:color w:val="1A2332"/>
          <w:sz w:val="22"/>
          <w:szCs w:val="22"/>
        </w:rPr>
        <w:t xml:space="preserve">These decisions have been resolved based on your three documents and do not need further debate:</w:t>
      </w:r>
    </w:p>
    <w:p>
      <w:pPr>
        <w:pStyle w:val="ListParagraph"/>
        <w:numPr>
          <w:ilvl w:val="0"/>
          <w:numId w:val="2"/>
        </w:numPr>
        <w:spacing w:after="100"/>
      </w:pPr>
      <w:r>
        <w:rPr>
          <w:rFonts w:ascii="Arial" w:cs="Arial" w:eastAsia="Arial" w:hAnsi="Arial"/>
          <w:color w:val="1A2332"/>
          <w:sz w:val="22"/>
          <w:szCs w:val="22"/>
        </w:rPr>
        <w:t xml:space="preserve">Target variable: Actual Sales USD at the store-week grain. Aggregate to quarterly/annual for business reporting only after prediction.</w:t>
      </w:r>
    </w:p>
    <w:p>
      <w:pPr>
        <w:pStyle w:val="ListParagraph"/>
        <w:numPr>
          <w:ilvl w:val="0"/>
          <w:numId w:val="2"/>
        </w:numPr>
        <w:spacing w:after="100"/>
      </w:pPr>
      <w:r>
        <w:rPr>
          <w:rFonts w:ascii="Arial" w:cs="Arial" w:eastAsia="Arial" w:hAnsi="Arial"/>
          <w:color w:val="1A2332"/>
          <w:sz w:val="22"/>
          <w:szCs w:val="22"/>
        </w:rPr>
        <w:t xml:space="preserve">Feature count: 40 Phase 1 features (with 7 reserve features to test in Phase 2 validation).</w:t>
      </w:r>
    </w:p>
    <w:p>
      <w:pPr>
        <w:pStyle w:val="ListParagraph"/>
        <w:numPr>
          <w:ilvl w:val="0"/>
          <w:numId w:val="2"/>
        </w:numPr>
        <w:spacing w:after="100"/>
      </w:pPr>
      <w:r>
        <w:rPr>
          <w:rFonts w:ascii="Arial" w:cs="Arial" w:eastAsia="Arial" w:hAnsi="Arial"/>
          <w:color w:val="1A2332"/>
          <w:sz w:val="22"/>
          <w:szCs w:val="22"/>
        </w:rPr>
        <w:t xml:space="preserve">Leakage blacklist: Plan Sales USD, Invoice Count, Avg Ticket are permanently excluded as inputs.</w:t>
      </w:r>
    </w:p>
    <w:p>
      <w:pPr>
        <w:pStyle w:val="ListParagraph"/>
        <w:numPr>
          <w:ilvl w:val="0"/>
          <w:numId w:val="2"/>
        </w:numPr>
        <w:spacing w:after="100"/>
      </w:pPr>
      <w:r>
        <w:rPr>
          <w:rFonts w:ascii="Arial" w:cs="Arial" w:eastAsia="Arial" w:hAnsi="Arial"/>
          <w:color w:val="1A2332"/>
          <w:sz w:val="22"/>
          <w:szCs w:val="22"/>
        </w:rPr>
        <w:t xml:space="preserve">Competition geography: Trade Area variants only (not 3mi/5mi/10mi radius variants, which were confirmed collinear in the 103-pair scan).</w:t>
      </w:r>
    </w:p>
    <w:p>
      <w:pPr>
        <w:pStyle w:val="ListParagraph"/>
        <w:numPr>
          <w:ilvl w:val="0"/>
          <w:numId w:val="2"/>
        </w:numPr>
        <w:spacing w:after="100"/>
      </w:pPr>
      <w:r>
        <w:rPr>
          <w:rFonts w:ascii="Arial" w:cs="Arial" w:eastAsia="Arial" w:hAnsi="Arial"/>
          <w:color w:val="1A2332"/>
          <w:sz w:val="22"/>
          <w:szCs w:val="22"/>
        </w:rPr>
        <w:t xml:space="preserve">Encoding: LabelEncoder for the 3 categorical features (Urbanicity, CBSA Type, CBSA Metro Size). LightGBM handles ordinal encoding natively.</w:t>
      </w:r>
    </w:p>
    <w:p>
      <w:pPr>
        <w:pStyle w:val="ListParagraph"/>
        <w:numPr>
          <w:ilvl w:val="0"/>
          <w:numId w:val="2"/>
        </w:numPr>
        <w:spacing w:after="100"/>
      </w:pPr>
      <w:r>
        <w:rPr>
          <w:rFonts w:ascii="Arial" w:cs="Arial" w:eastAsia="Arial" w:hAnsi="Arial"/>
          <w:color w:val="1A2332"/>
          <w:sz w:val="22"/>
          <w:szCs w:val="22"/>
        </w:rPr>
        <w:t xml:space="preserve">Outlier treatment: Retain the 5.45% IQR outliers for training. They represent legitimate high-volume and low-volume stores.</w:t>
      </w:r>
    </w:p>
    <w:p>
      <w:pPr>
        <w:pStyle w:val="ListParagraph"/>
        <w:numPr>
          <w:ilvl w:val="0"/>
          <w:numId w:val="2"/>
        </w:numPr>
        <w:spacing w:after="100"/>
      </w:pPr>
      <w:r>
        <w:rPr>
          <w:rFonts w:ascii="Arial" w:cs="Arial" w:eastAsia="Arial" w:hAnsi="Arial"/>
          <w:color w:val="1A2332"/>
          <w:sz w:val="22"/>
          <w:szCs w:val="22"/>
        </w:rPr>
        <w:t xml:space="preserve">Missing value strategy: No imputation needed. The post-fix dataset has 0 missing values across all 195 columns.</w:t>
      </w:r>
    </w:p>
    <w:p>
      <w:pPr>
        <w:pStyle w:val="ListParagraph"/>
        <w:numPr>
          <w:ilvl w:val="0"/>
          <w:numId w:val="2"/>
        </w:numPr>
        <w:spacing w:after="100"/>
      </w:pPr>
      <w:r>
        <w:rPr>
          <w:rFonts w:ascii="Arial" w:cs="Arial" w:eastAsia="Arial" w:hAnsi="Arial"/>
          <w:color w:val="1A2332"/>
          <w:sz w:val="22"/>
          <w:szCs w:val="22"/>
        </w:rPr>
        <w:t xml:space="preserve">Train/test ratio: ~85/15 time-based split (rolling) or 68/32 (hold out FY2025). Prefer rolling for more training data.</w:t>
      </w:r>
    </w:p>
    <w:p>
      <w:r>
        <w:br w:type="page"/>
      </w:r>
    </w:p>
    <w:p>
      <w:pPr>
        <w:pStyle w:val="Heading1"/>
      </w:pPr>
      <w:r>
        <w:t xml:space="preserve">Final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000"/>
        <w:gridCol w:w="5260"/>
      </w:tblGrid>
      <w:tr>
        <w:tc>
          <w:tcPr>
            <w:tcW w:type="dxa" w:w="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2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Model Training Notebook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.ipynb</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Full pipeline: data loading, feature engineering, model training, evaluation, store loop</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Feature Engineering Module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.py</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Standalone Python module for build_phase1_features() function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Store Accuracy Loop Module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Standalone run_store_accuracy_loop() function with CSV export</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Store Accuracy Results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.csv</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Per-store WAPE, Bias, RMSE, quarterly breakdown, Role-of-Store label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Streamlit Demo App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.py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Interactive app with 7 sections matching the HTML prototype spec</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6</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Model Artifacts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.pkl</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Trained LightGBM model, LabelEncoders, feature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Capstone Report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.docx/.pdf</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20"/>
                <w:szCs w:val="20"/>
              </w:rPr>
              <w:t xml:space="preserve">Full written report with methodology, results, and recommendations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8</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Presentation Deck</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.pptx</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332"/>
                <w:sz w:val="20"/>
                <w:szCs w:val="20"/>
              </w:rPr>
              <w:t xml:space="preserve">Executive summary for professor/stakeholder presentation</w:t>
            </w:r>
          </w:p>
        </w:tc>
      </w:tr>
    </w:tbl>
    <w:p>
      <w:pPr>
        <w:spacing w:after="120"/>
      </w:pPr>
    </w:p>
    <w:p>
      <w:pPr>
        <w:pStyle w:val="Heading1"/>
      </w:pPr>
      <w:r>
        <w:t xml:space="preserve">Recommended Next Steps</w:t>
      </w:r>
    </w:p>
    <w:p>
      <w:pPr>
        <w:pStyle w:val="ListParagraph"/>
        <w:numPr>
          <w:ilvl w:val="0"/>
          <w:numId w:val="8"/>
        </w:numPr>
        <w:spacing w:after="100"/>
      </w:pPr>
      <w:r>
        <w:rPr>
          <w:rFonts w:ascii="Arial" w:cs="Arial" w:eastAsia="Arial" w:hAnsi="Arial"/>
          <w:color w:val="1A2332"/>
          <w:sz w:val="22"/>
          <w:szCs w:val="22"/>
        </w:rPr>
        <w:t xml:space="preserve">Set up the Python environment: Install lightgbm, xgboost, scikit-learn, pandas, numpy, streamlit, plotly, google-generativeai.</w:t>
      </w:r>
    </w:p>
    <w:p>
      <w:pPr>
        <w:pStyle w:val="ListParagraph"/>
        <w:numPr>
          <w:ilvl w:val="0"/>
          <w:numId w:val="8"/>
        </w:numPr>
        <w:spacing w:after="100"/>
      </w:pPr>
      <w:r>
        <w:rPr>
          <w:rFonts w:ascii="Arial" w:cs="Arial" w:eastAsia="Arial" w:hAnsi="Arial"/>
          <w:color w:val="1A2332"/>
          <w:sz w:val="22"/>
          <w:szCs w:val="22"/>
        </w:rPr>
        <w:t xml:space="preserve">Start with Step 1 (Data Ingestion): Load the CSV, run validation checks, confirm numbers match the dataset health report.</w:t>
      </w:r>
    </w:p>
    <w:p>
      <w:pPr>
        <w:pStyle w:val="ListParagraph"/>
        <w:numPr>
          <w:ilvl w:val="0"/>
          <w:numId w:val="8"/>
        </w:numPr>
        <w:spacing w:after="100"/>
      </w:pPr>
      <w:r>
        <w:rPr>
          <w:rFonts w:ascii="Arial" w:cs="Arial" w:eastAsia="Arial" w:hAnsi="Arial"/>
          <w:color w:val="1A2332"/>
          <w:sz w:val="22"/>
          <w:szCs w:val="22"/>
        </w:rPr>
        <w:t xml:space="preserve">Build Step 2 (Feature Engineering) immediately after: The build_phase1_features() function from the HTML app’s code export is production-ready and can be used directly.</w:t>
      </w:r>
    </w:p>
    <w:p>
      <w:pPr>
        <w:pStyle w:val="ListParagraph"/>
        <w:numPr>
          <w:ilvl w:val="0"/>
          <w:numId w:val="8"/>
        </w:numPr>
        <w:spacing w:after="100"/>
      </w:pPr>
      <w:r>
        <w:rPr>
          <w:rFonts w:ascii="Arial" w:cs="Arial" w:eastAsia="Arial" w:hAnsi="Arial"/>
          <w:color w:val="1A2332"/>
          <w:sz w:val="22"/>
          <w:szCs w:val="22"/>
        </w:rPr>
        <w:t xml:space="preserve">Get the first model result quickly: Even a default LightGBM with the 40 features will likely beat the baseline. Refine hyperparameters after.</w:t>
      </w:r>
    </w:p>
    <w:p>
      <w:pPr>
        <w:pStyle w:val="ListParagraph"/>
        <w:numPr>
          <w:ilvl w:val="0"/>
          <w:numId w:val="8"/>
        </w:numPr>
        <w:spacing w:after="100"/>
      </w:pPr>
      <w:r>
        <w:rPr>
          <w:rFonts w:ascii="Arial" w:cs="Arial" w:eastAsia="Arial" w:hAnsi="Arial"/>
          <w:color w:val="1A2332"/>
          <w:sz w:val="22"/>
          <w:szCs w:val="22"/>
        </w:rPr>
        <w:t xml:space="preserve">Build the store accuracy loop early: This is the project’s strongest differentiator and should be validated well before the final report.</w:t>
      </w:r>
    </w:p>
    <w:p>
      <w:pPr>
        <w:spacing w:after="300"/>
      </w:pPr>
    </w:p>
    <w:p>
      <w:pPr>
        <w:spacing w:after="160"/>
        <w:jc w:val="left"/>
      </w:pPr>
      <w:r>
        <w:rPr>
          <w:rFonts w:ascii="Arial" w:cs="Arial" w:eastAsia="Arial" w:hAnsi="Arial"/>
          <w:i/>
          <w:iCs/>
          <w:color w:val="1A2332"/>
          <w:sz w:val="22"/>
          <w:szCs w:val="22"/>
        </w:rPr>
        <w:t xml:space="preserve">This plan is designed to take you from zero code to a complete capstone submission. Each step builds on the previous one, and the HTML prototype provides the exact specification for the final demo app. Focus on getting the core model working first — everything else flows from those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Capstone 8 — Store-Level Sales Target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308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0308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2026-04-13T07:31:11.601Z</dcterms:created>
  <dcterms:modified xsi:type="dcterms:W3CDTF">2026-04-13T07:31:11.602Z</dcterms:modified>
</cp:coreProperties>
</file>

<file path=docProps/custom.xml><?xml version="1.0" encoding="utf-8"?>
<Properties xmlns="http://schemas.openxmlformats.org/officeDocument/2006/custom-properties" xmlns:vt="http://schemas.openxmlformats.org/officeDocument/2006/docPropsVTypes"/>
</file>