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4E79"/>
          <w:sz w:val="28"/>
          <w:szCs w:val="28"/>
        </w:rPr>
        <w:t xml:space="preserve">Section 6: Recommended Final Feature Set — Enhanced with Data / Analysis Justification</w:t>
      </w:r>
    </w:p>
    <w:p>
      <w:pPr>
        <w:spacing w:after="200" w:before="80"/>
      </w:pPr>
      <w:r>
        <w:rPr>
          <w:rFonts w:ascii="Arial" w:cs="Arial" w:eastAsia="Arial" w:hAnsi="Arial"/>
          <w:sz w:val="18"/>
          <w:szCs w:val="18"/>
        </w:rPr>
        <w:t xml:space="preserve">The table below extends the Phase 1 recommended feature list with a fifth column providing data-driven justification for each feature's inclusion, derived from the analytical dataset (269,412 rows, 1,727 stores, fiscal years 2023–2025). Color coding: </w:t>
      </w:r>
      <w:r>
        <w:rPr>
          <w:rFonts w:ascii="Arial" w:cs="Arial" w:eastAsia="Arial" w:hAnsi="Arial"/>
          <w:color w:val="2E7D32"/>
          <w:sz w:val="18"/>
          <w:szCs w:val="18"/>
        </w:rPr>
        <w:t xml:space="preserve">Green = Keep (raw)</w:t>
      </w:r>
      <w:r>
        <w:rPr>
          <w:rFonts w:ascii="Arial" w:cs="Arial" w:eastAsia="Arial" w:hAnsi="Arial"/>
          <w:sz w:val="18"/>
          <w:szCs w:val="18"/>
        </w:rPr>
        <w:t xml:space="preserve"> | </w:t>
      </w:r>
      <w:r>
        <w:rPr>
          <w:rFonts w:ascii="Arial" w:cs="Arial" w:eastAsia="Arial" w:hAnsi="Arial"/>
          <w:color w:val="1565C0"/>
          <w:sz w:val="18"/>
          <w:szCs w:val="18"/>
        </w:rPr>
        <w:t xml:space="preserve">Blue = Engineer &amp; Keep</w:t>
      </w:r>
      <w:r>
        <w:rPr>
          <w:rFonts w:ascii="Arial" w:cs="Arial" w:eastAsia="Arial" w:hAnsi="Arial"/>
          <w:sz w:val="18"/>
          <w:szCs w:val="18"/>
        </w:rPr>
        <w:t xml:space="preserve"> | </w:t>
      </w:r>
      <w:r>
        <w:rPr>
          <w:rFonts w:ascii="Arial" w:cs="Arial" w:eastAsia="Arial" w:hAnsi="Arial"/>
          <w:color w:val="F57F17"/>
          <w:sz w:val="18"/>
          <w:szCs w:val="18"/>
        </w:rPr>
        <w:t xml:space="preserve">Yellow = Reserve / Optional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2800"/>
        <w:gridCol w:w="62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 / Engineered Feature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 Family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1 Recommendation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It Is Included</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 Analysis Justification</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Year</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Calendar</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Year-over-year shift / macro drift</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Dataset spans 3 fiscal years (2023–2025). Mean sales declined from $1.25M (2023) → $1.09M (2024) → $1.08M (2025), a ~13% macro shift. Including Year prevents the model from blending across different macro environments. 0% missing across 269,412 rows.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Fiscal Week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Calendar</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Weekly seasonality</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52 distinct fiscal weeks present. Weekly mean sales range from $753K (low weeks) to $1.47M (peak weeks) — a 96% spread with std=$163K. Correlation with target = -0.086 (non-linear week pattern). 0% missing; captures intra-year seasonality critical for target setting.</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Lag Actual Sales USD (t-1)</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dynamic</w:t>
            </w:r>
          </w:p>
        </w:tc>
        <w:tc>
          <w:tcPr>
            <w:tcW w:type="dxa" w:w="1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 &amp; 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Recent store signal without leakage</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Lag-1 correlation with Actual Sales USD = 0.982 — the single strongest predictor in the dataset. Derived via store-level sort (Store ID → Year → Fiscal Week) then shift(1). Pure historical; no forward leakage. Available for all stores across 1,727 locations.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Lag Actual Sales USD (t-4)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dynamic</w:t>
            </w:r>
          </w:p>
        </w:tc>
        <w:tc>
          <w:tcPr>
            <w:tcW w:type="dxa" w:w="1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 &amp; 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Monthly rhythm</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Lag-4 (≈1 month back) correlation = 0.964. Captures monthly demand rhythms and promotional cycle effects. Stable across all 1,727 stores; 0% null at source. Complements lag-1 by adding a medium-term store signal without leakage.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Lag Actual Sales USD (t-13)</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dynamic</w:t>
            </w:r>
          </w:p>
        </w:tc>
        <w:tc>
          <w:tcPr>
            <w:tcW w:type="dxa" w:w="1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 &amp; 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Quarterly rhythm</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Lag-13 (≈1 quarter back) correlation = 0.913. Captures quarterly seasonality — especially important for spring/fall home improvement cycles. No contemporaneous leakage; validated via strict store-level sort. Strong signal even 13 weeks out.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Lag Actual Sales USD (t-52)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dynamic</w:t>
            </w:r>
          </w:p>
        </w:tc>
        <w:tc>
          <w:tcPr>
            <w:tcW w:type="dxa" w:w="1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 &amp; 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Annual weekly seasonality</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Lag-52 (same week, prior year) correlation = 0.953. Captures year-over-year weekly patterns (e.g., holiday weeks, tax season). Strongest long-horizon predictor. Available from fiscal year 2024 onward for training data; 0% missing in valid range.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Rolling mean of lagged sales (4 wks)</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dynamic</w:t>
            </w:r>
          </w:p>
        </w:tc>
        <w:tc>
          <w:tcPr>
            <w:tcW w:type="dxa" w:w="1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 &amp; 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Smoother short-term trend</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4-week rolling mean of lagged sales (shift-1 then rolling) correlation = 0.981. Reduces week-to-week noise in the lag-1 signal. Mean rolling value closely tracks store baseline performance. Better for stores with high weekly variance than raw lag-1 alone.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Rolling mean of lagged sales (13 wks)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dynamic</w:t>
            </w:r>
          </w:p>
        </w:tc>
        <w:tc>
          <w:tcPr>
            <w:tcW w:type="dxa" w:w="1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 &amp; 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Smoother seasonal trend</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13-week rolling mean correlation = 0.964. Represents a stable quarterly sales baseline per store. Useful as a smoother for stores with irregular weekly spikes. Together with 4-week rolling, provides two temporal granularities of smoothed signal.</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Sales Floor Size</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Store structure</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Store capacity / assortment proxy</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112,311 sqft, std = 9,774 sqft; 0% missing. Sales floor quartile analysis: Q1 stores avg $1.08M vs Q4 stores avg $1.19M (+10% uplift). No zero values; clean numeric column. Direct capacity and assortment proxy — larger floor allows more SKUs and higher throughput.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Garden Ctr Size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Store structure</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Business-prioritized traffic driver</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33,166 sqft, std = 8,336 sqft; 0% missing. Correlation 0.062 with target. 468 zero values confirmed valid (stores without garden centers). Garden center drives seasonal traffic specifically in spring/summer — a key Lowe's business driver differentiated from general floor size.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Urbanicity</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Store / market context</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Master store segmentation variable</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7 categories present. Mean sales range: Metropolis=$1.63M vs Large City=$930K — a 75% spread across tiers. Non-linear relationship; cannot be captured by a single continuous variable. 0% missing. Strongest categorical separator in the dataset and master segmentation variable for business review.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CBSA 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Store / market context</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Metro structure context</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3 categories: Metropolitan Statistical Area (185K rows), Micropolitan (26K), and non-CBSA (14K). Metro avg sales = $1.12M vs non-CBSA = $1.04M. 0% missing. Provides official market-classification context that complements the finer Urbanicity segmentation.</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CBSA Metro Size</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Store / market context</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Market scale context</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4 categories. Small Metro stores avg $1.27M vs Large Metro $1.06M — counter-intuitive pattern indicating premium small-market performance. 0% missing. Non-linear market-scale signal distinct from CBSA Type; together they describe both the type and size of the metro structure.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Area Sq Mi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Store / market context</w:t>
            </w:r>
          </w:p>
        </w:tc>
        <w:tc>
          <w:tcPr>
            <w:tcW w:type="dxa" w:w="1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vAlign w:val="top"/>
          </w:tcPr>
          <w:p>
            <w:r>
              <w:rPr>
                <w:rFonts w:ascii="Arial" w:cs="Arial" w:eastAsia="Arial" w:hAnsi="Arial"/>
                <w:b w:val="false"/>
                <w:bCs w:val="false"/>
                <w:sz w:val="16"/>
                <w:szCs w:val="16"/>
              </w:rPr>
              <w:t xml:space="preserve">Reserve / optional 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Use only if incremental</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530 sqmi, std = 531 sqmi; 0% missing. Correlation 0.038 with target. High variability (range spans remote rural to dense metro). Reserved as it largely overlaps with Urbanicity and CBSA Type; include only if validation shows incremental lift over those two features.</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CYE Total Households</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Demand potential</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Core addressable market size</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137K households, std = 143K (high variance signals broad market-size spread). Correlation -0.045 with target. 0% missing. Core addressable market size variable. High std confirms meaningful cross-store differentiation. Anchors the demand-potential block alongside density and income.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CYE Household Density HH SqMi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Demand potential</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Density improves demand interpretation</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575 HH/sqmi, std = 949 HH/sqmi; 0% missing. Orthogonal complement to total households — a store in a dense small area vs. a sparse large area can have the same total HH count but very different market dynamics. Density helps the model interpret absolute household size correctly.</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CYE Median Household Income</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Demand potential</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Best single purchasing-power summary</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$71,649, std = $19,911; 0% missing. Q1 income stores avg $1.14M vs Q4 income stores avg $1.05M — lower-income markets slightly outperform in sales (value-oriented DIY). Clean numeric with no nulls. Best single-variable purchasing-power summary; preferred over mean/aggregate variants.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Income Mix – Low Income Share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demand mix</w:t>
            </w:r>
          </w:p>
        </w:tc>
        <w:tc>
          <w:tcPr>
            <w:tcW w:type="dxa" w:w="1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 &amp; 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Value-sensitive trade area signal</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from CYE % HH Income &lt;25k (mean=15.5%, 0% null). Correlation 0.027 with target. Captures the value-conscious segment share, which drives volume in certain categories. Avoids compositional instability by grouping the bottom income tiers into a single interpretable signal.</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Income Mix – Core DIY Share</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demand mix</w:t>
            </w:r>
          </w:p>
        </w:tc>
        <w:tc>
          <w:tcPr>
            <w:tcW w:type="dxa" w:w="1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 &amp; 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Middle-income / DIY demand signal</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from CYE % HH Income 50k–75k + 75k–100k (0% null). Correlation 0.040 — slightly higher than any individual income bracket. This tier represents the primary DIY home improvement customer segment. Avoids collinearity from using all raw income-share bins simultaneously.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Income Mix – Affluent Share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demand mix</w:t>
            </w:r>
          </w:p>
        </w:tc>
        <w:tc>
          <w:tcPr>
            <w:tcW w:type="dxa" w:w="1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 &amp; keep if stable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Premium / remodel demand signal</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from CYE % HH Income 150k–250k + 250k+ (0% null). Correlation -0.032. Affluent share drives premium remodel and décor spend. Kept conditionally — reserve if the engineered variable shows instability in holdout validation; confirm directional consistency across years.</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Compound Annual HH Growth Rate 2010–2020</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Demand trend</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Forward-looking market growth context</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1.22%, std = 1.41%; 0% missing. Correlation 0.073 with target — meaningful for a static demographic variable. Captures market trajectory (growing vs. declining markets). Positive CAGR markets trend toward higher sales potential. Distinct from static household count; adds dynamic market context.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CYE Total Housing Units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Housing demand</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Housing stock size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149K units, std = 154K; 0% missing. Correlation -0.040 with target. Housing stock size is the primary demand driver for home improvement; more units = more potential repair/remodel events. Closely related to but distinct from total households (vacancy rate embedded in the difference).</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CYE % Housing Units Owned</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Housing demand</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More direct improvement-spend proxy than rented</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65.2%, std = 8.5%; 0% missing. Correlation 0.019. Homeowners spend significantly more on improvement vs. renters. The ownership rate directly sizes the most valuable customer segment per trade area. Preferred over % Rented (near-inverse pair — confirmed correlated pair in leakage scan).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CYE Median Year Housing Unit Built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Housing demand</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Repair / remodel demand proxy</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1982, std = 13 years; 0% missing. Correlation 0.078 — among the stronger static-feature correlations. Older median build year → more repair and replacement demand (roofing, HVAC, plumbing, flooring). One of the top correlated features in the housing block based on data scan.</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Housing Age – Old Stock Share</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housing mix</w:t>
            </w:r>
          </w:p>
        </w:tc>
        <w:tc>
          <w:tcPr>
            <w:tcW w:type="dxa" w:w="1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 &amp; 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Captures very old housing stock</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by summing CYE % Housing Units Built before 1949 + 1950–59 + 1960–69 (all 0% null). Combined correlation -0.075 with target. Old housing stock creates repair-driven demand but may suppress large-project remodels. Reduces the full housing-age decade block (7+ raw columns) into one interpretable signal.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Housing Age – New Stock Share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housing mix</w:t>
            </w:r>
          </w:p>
        </w:tc>
        <w:tc>
          <w:tcPr>
            <w:tcW w:type="dxa" w:w="1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 &amp; 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Captures recent development</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from CYE % Housing Unit Built 2000–2009 + 2009–2019 (both 0% null). Combined correlation 0.088 — one of the highest correlations among all static features in the numeric scan. New stock areas drive new-home accessory and décor spend. Cleanly separates growth markets from legacy ones.</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CYE Avg Mean Length of Residence Years</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Housing demand</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Behavioral improvement trigger</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15.0 yrs, std = 2.5 yrs; 0% missing. Correlation -0.038. Longer tenure is associated with accumulated deferred maintenance and major renovation projects — a behavioral trigger distinct from age of housing stock. Clean continuous variable; no zero or negative values detected.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CYE Total Population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Demographic context</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Market size complement to households</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351K, std = 368K; 0% missing. Correlation -0.044. Complements CYE Total Households by capturing persons-per-household dynamics and overall market scale. Areas with high population but lower household count signal multi-family/rental markets — important context for store positioning.</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CYE Median Age Total Pop</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Demographic context</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Lifecycle / maintenance behavior</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39.1 yrs, std = 4.2 yrs; 0% missing. Correlation 0.034. Age 35–55 represents peak home improvement spending lifecycle — homeowners in this bracket are most likely to undertake major projects. Median age acts as a lifecycle-stage proxy for the trade area's dominant customer segment.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CYE Veteran Population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Demographic context</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Business-specific relevance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17,213, std = 14,100; 0% missing. Correlation -0.018 in linear scan, but likely non-linear. Veterans represent a business-prioritized segment with known promotional and discount program relevance. Validated presence in 0% null check; included per business mapping workbook priority.</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CYE % College Graduate Pop 25plus</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Demographic context</w:t>
            </w:r>
          </w:p>
        </w:tc>
        <w:tc>
          <w:tcPr>
            <w:tcW w:type="dxa" w:w="1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vAlign w:val="top"/>
          </w:tcPr>
          <w:p>
            <w:r>
              <w:rPr>
                <w:rFonts w:ascii="Arial" w:cs="Arial" w:eastAsia="Arial" w:hAnsi="Arial"/>
                <w:b w:val="false"/>
                <w:bCs w:val="false"/>
                <w:sz w:val="16"/>
                <w:szCs w:val="16"/>
              </w:rPr>
              <w:t xml:space="preserve">Reserve / optional 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Use only if it adds separation</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37%; 0% missing. Correlation -0.035 with target. Included conditionally — higher education correlates with higher income (already captured) and DIY confidence. Reserve status reflects potential redundancy with CYE Median HH Income. Add to Phase 1 only if holdout validation shows incremental WAPE improvement.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CYE Per Capita Income Total Pop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Demographic context</w:t>
            </w:r>
          </w:p>
        </w:tc>
        <w:tc>
          <w:tcPr>
            <w:tcW w:type="dxa" w:w="1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vAlign w:val="top"/>
          </w:tcPr>
          <w:p>
            <w:r>
              <w:rPr>
                <w:rFonts w:ascii="Arial" w:cs="Arial" w:eastAsia="Arial" w:hAnsi="Arial"/>
                <w:b w:val="false"/>
                <w:bCs w:val="false"/>
                <w:sz w:val="16"/>
                <w:szCs w:val="16"/>
              </w:rPr>
              <w:t xml:space="preserve">Reserve / optional 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Avoid if fully redundant with household income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$32.4K; 0% missing. Correlation -0.030. Confirmed highly correlated with CYE Median Household Income (one of the 103 pairs ≥0.95 identified in collinearity scan). Reserve — use only if it provides distinct signal beyond median HH income in the full feature-set validation.</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Sister Store Count in TradeArea</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Competition</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Self-cannibalization / overlap</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1.16, std = 1.51; 0% missing. Correlation -0.029. Directly captures self-cannibalization — stores with higher sister-store count may underperform their trade-area potential. Clean non-negative integer; 0 negative values in data scan. Used at Trade Area level to minimize overlap with radius-based variants.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Total Competitor Count in TradeArea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Competition (engineered)</w:t>
            </w:r>
          </w:p>
        </w:tc>
        <w:tc>
          <w:tcPr>
            <w:tcW w:type="dxa" w:w="1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 &amp; 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Simple market pressure summary</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Engineered by summing all 17 competitor Trade Area counts. Mean = 29.8, std = 23.1; 0% missing at source. Correlation -0.035 with target. Compresses the 17-column competitor block into a single market pressure signal, reducing collinearity from individual competitor counts while retaining competitive intensity information.</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Nut Cracker Tools Count in TradeArea</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Competition</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Major competitor</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3.46, std = 3.24; 0% missing. Correlation -0.024. Identified as a major DIY competitor in the business mapping workbook. Present across most trade areas (low zero count). Trade Area radius preferred over 5mi/10mi variants to avoid redundant geography overlap identified in the 103-pair collinearity scan.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Wallflowers Depot Count in TradeArea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Competition</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Highly prevalent competitor</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4.69, std = 4.31; 0% missing. Correlation -0.006. Highest average count among all named competitors — most broadly distributed. Included to capture saturation in highly competitive markets. Trade Area level captures full competitive footprint without radius-overlap redundancy.</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Iggy Pop Hardware Count in TradeArea</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Competition</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Dense competitor presence</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5.28, std = 5.05; 0% missing. Correlation -0.043 — highest absolute correlation with target among all individual TradeArea competitor counts. Represents dense hardware competition. Second highest std (5.05) indicates high variability across markets, providing meaningful model signal.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Horn Ok Tools Count in TradeArea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Competition</w:t>
            </w:r>
          </w:p>
        </w:tc>
        <w:tc>
          <w:tcPr>
            <w:tcW w:type="dxa" w:w="1400"/>
            <w:tcBorders>
              <w:top w:val="single" w:color="CCCCCC" w:sz="1"/>
              <w:left w:val="single" w:color="CCCCCC" w:sz="1"/>
              <w:bottom w:val="single" w:color="CCCCCC" w:sz="1"/>
              <w:right w:val="single" w:color="CCCCCC" w:sz="1"/>
            </w:tcBorders>
            <w:shd w:fill="E8F4E8" w:val="clear"/>
            <w:tcMar>
              <w:top w:type="dxa" w:w="60"/>
              <w:left w:type="dxa" w:w="120"/>
              <w:bottom w:type="dxa" w:w="60"/>
              <w:right w:type="dxa" w:w="120"/>
            </w:tcMar>
            <w:vAlign w:val="top"/>
          </w:tcPr>
          <w:p>
            <w:r>
              <w:rPr>
                <w:rFonts w:ascii="Arial" w:cs="Arial" w:eastAsia="Arial" w:hAnsi="Arial"/>
                <w:b w:val="false"/>
                <w:bCs w:val="false"/>
                <w:sz w:val="16"/>
                <w:szCs w:val="16"/>
              </w:rPr>
              <w:t xml:space="preserve">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High-coverage competitor</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3.43, std = 3.79; 0% missing. Correlation 0.008. High-coverage regional competitor with broad geographic distribution. Included per business prioritization workbook. Trade Area variant selected over radius variants to avoid collinearity with overlapping geography bands (confirmed 2-pair redundancy in collinearity scan).</w:t>
            </w:r>
          </w:p>
        </w:tc>
      </w:tr>
      <w:tr>
        <w:tc>
          <w:tcPr>
            <w:tcW w:type="dxa" w:w="24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bCs/>
                <w:sz w:val="16"/>
                <w:szCs w:val="16"/>
              </w:rPr>
              <w:t xml:space="preserve">Bo Jacks Hardware Count in TradeArea</w:t>
            </w:r>
          </w:p>
        </w:tc>
        <w:tc>
          <w:tcPr>
            <w:tcW w:type="dxa" w:w="16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Competition</w:t>
            </w:r>
          </w:p>
        </w:tc>
        <w:tc>
          <w:tcPr>
            <w:tcW w:type="dxa" w:w="1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vAlign w:val="top"/>
          </w:tcPr>
          <w:p>
            <w:r>
              <w:rPr>
                <w:rFonts w:ascii="Arial" w:cs="Arial" w:eastAsia="Arial" w:hAnsi="Arial"/>
                <w:b w:val="false"/>
                <w:bCs w:val="false"/>
                <w:sz w:val="16"/>
                <w:szCs w:val="16"/>
              </w:rPr>
              <w:t xml:space="preserve">Reserve / optional keep</w:t>
            </w:r>
          </w:p>
        </w:tc>
        <w:tc>
          <w:tcPr>
            <w:tcW w:type="dxa" w:w="28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Add only if validation improves</w:t>
            </w:r>
          </w:p>
        </w:tc>
        <w:tc>
          <w:tcPr>
            <w:tcW w:type="dxa" w:w="6200"/>
            <w:tcBorders>
              <w:top w:val="single" w:color="CCCCCC" w:sz="1"/>
              <w:left w:val="single" w:color="CCCCCC" w:sz="1"/>
              <w:bottom w:val="single" w:color="CCCCCC" w:sz="1"/>
              <w:right w:val="single" w:color="CCCCCC" w:sz="1"/>
            </w:tcBorders>
            <w:shd w:fill="F7FB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3.96 (from data); 0% missing. Reserve status — partially overlaps with other competitor counts in the engineered Total Competitor Count. Include only if holdout WAPE or Bias improves meaningfully and consistently when added beyond the Total Competitor engineered feature.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bCs/>
                <w:sz w:val="16"/>
                <w:szCs w:val="16"/>
              </w:rPr>
              <w:t xml:space="preserve">Greek Baths Hardware Count in TradeArea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Competition</w:t>
            </w:r>
          </w:p>
        </w:tc>
        <w:tc>
          <w:tcPr>
            <w:tcW w:type="dxa" w:w="14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vAlign w:val="top"/>
          </w:tcPr>
          <w:p>
            <w:r>
              <w:rPr>
                <w:rFonts w:ascii="Arial" w:cs="Arial" w:eastAsia="Arial" w:hAnsi="Arial"/>
                <w:b w:val="false"/>
                <w:bCs w:val="false"/>
                <w:sz w:val="16"/>
                <w:szCs w:val="16"/>
              </w:rPr>
              <w:t xml:space="preserve">Reserve / optional keep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Add only if validation improves</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b w:val="false"/>
                <w:bCs w:val="false"/>
                <w:sz w:val="16"/>
                <w:szCs w:val="16"/>
              </w:rPr>
              <w:t xml:space="preserve">Mean = 2.84 (from data); 0% missing. Reserve status — confirmed 2-pair collinearity with its radius variants (Greek Baths Cnt 0-11mi / 10mi). Include only after confirming that the Total Competitor engineered feature does not already absorb this signal in Phase 1 validation.</w:t>
            </w:r>
          </w:p>
        </w:tc>
      </w:tr>
    </w:tbl>
    <w:p>
      <w:pPr>
        <w:spacing w:after="80" w:before="240"/>
      </w:pPr>
      <w:r>
        <w:rPr>
          <w:rFonts w:ascii="Arial" w:cs="Arial" w:eastAsia="Arial" w:hAnsi="Arial"/>
          <w:b/>
          <w:bCs/>
          <w:sz w:val="18"/>
          <w:szCs w:val="18"/>
        </w:rPr>
        <w:t xml:space="preserve">Notes on Data Justification Column:</w:t>
      </w:r>
    </w:p>
    <w:p>
      <w:pPr>
        <w:spacing w:after="40" w:before="40"/>
      </w:pPr>
      <w:r>
        <w:rPr>
          <w:rFonts w:ascii="Arial" w:cs="Arial" w:eastAsia="Arial" w:hAnsi="Arial"/>
          <w:color w:val="555555"/>
          <w:sz w:val="16"/>
          <w:szCs w:val="16"/>
        </w:rPr>
        <w:t xml:space="preserve">All correlations are Pearson correlations computed against Actual Sales USD on the cleaned dataset (excluding 12 zero-sales rows). Lag features are derived via store-level time sort. Engineered features are built from raw source columns in the dataset. Missing % computed on the full 269,412-row analytical file. IQR outlier flags (5.45% of sales rows) are retained for model training per the robustness recommendation in Section 2.</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2026-04-12T15:31:35.527Z</dcterms:created>
  <dcterms:modified xsi:type="dcterms:W3CDTF">2026-04-12T15:31:35.528Z</dcterms:modified>
</cp:coreProperties>
</file>

<file path=docProps/custom.xml><?xml version="1.0" encoding="utf-8"?>
<Properties xmlns="http://schemas.openxmlformats.org/officeDocument/2006/custom-properties" xmlns:vt="http://schemas.openxmlformats.org/officeDocument/2006/docPropsVTypes"/>
</file>