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087"/>
          <w:sz w:val="44"/>
        </w:rPr>
        <w:t>Talking-Point Q&amp;A — Detailed Answers</w:t>
      </w:r>
    </w:p>
    <w:p>
      <w:pPr>
        <w:jc w:val="center"/>
      </w:pPr>
      <w:r>
        <w:rPr>
          <w:i/>
          <w:color w:val="0277BD"/>
          <w:sz w:val="22"/>
        </w:rPr>
        <w:t>Lowe's Store-Level AI Sales Targeting · Capstone 8 · Group 8 · IIM Calcutta APAL02</w:t>
      </w:r>
    </w:p>
    <w:p>
      <w:pPr>
        <w:jc w:val="center"/>
      </w:pPr>
      <w:r>
        <w:rPr>
          <w:color w:val="555555"/>
          <w:sz w:val="20"/>
        </w:rPr>
        <w:t>Prepared for review · Seven questions answered in technical depth</w:t>
      </w:r>
    </w:p>
    <w:p>
      <w:pPr>
        <w:spacing w:after="160"/>
      </w:pPr>
    </w:p>
    <w:tbl>
      <w:tblPr>
        <w:tblStyle w:val="LightGrid-Accent1"/>
        <w:tblW w:type="auto" w:w="0"/>
        <w:tblLook w:firstColumn="1" w:firstRow="1" w:lastColumn="0" w:lastRow="0" w:noHBand="0" w:noVBand="1" w:val="04A0"/>
      </w:tblPr>
      <w:tblGrid>
        <w:gridCol w:w="5112"/>
        <w:gridCol w:w="5112"/>
      </w:tblGrid>
      <w:tr>
        <w:tc>
          <w:tcPr>
            <w:tcW w:type="dxa" w:w="8064"/>
            <w:shd w:val="clear" w:color="auto" w:fill="003087"/>
          </w:tcPr>
          <w:p>
            <w:r/>
            <w:r>
              <w:rPr>
                <w:b/>
                <w:color w:val="FFFFFF"/>
              </w:rPr>
              <w:t>Question</w:t>
            </w:r>
          </w:p>
        </w:tc>
        <w:tc>
          <w:tcPr>
            <w:tcW w:type="dxa" w:w="1440"/>
            <w:shd w:val="clear" w:color="auto" w:fill="003087"/>
          </w:tcPr>
          <w:p>
            <w:r/>
            <w:r>
              <w:rPr>
                <w:b/>
                <w:color w:val="FFFFFF"/>
              </w:rPr>
              <w:t>Page</w:t>
            </w:r>
          </w:p>
        </w:tc>
      </w:tr>
      <w:tr>
        <w:tc>
          <w:tcPr>
            <w:tcW w:type="dxa" w:w="8064"/>
          </w:tcPr>
          <w:p>
            <w:r/>
            <w:r>
              <w:rPr>
                <w:sz w:val="21"/>
              </w:rPr>
              <w:t>Q1 · Feature engineering techniques used to decide features</w:t>
            </w:r>
          </w:p>
        </w:tc>
        <w:tc>
          <w:tcPr>
            <w:tcW w:type="dxa" w:w="1440"/>
          </w:tcPr>
          <w:p>
            <w:pPr>
              <w:jc w:val="right"/>
            </w:pPr>
            <w:r/>
            <w:r>
              <w:rPr>
                <w:sz w:val="21"/>
              </w:rPr>
              <w:t>p. 2</w:t>
            </w:r>
          </w:p>
        </w:tc>
      </w:tr>
      <w:tr>
        <w:tc>
          <w:tcPr>
            <w:tcW w:type="dxa" w:w="8064"/>
          </w:tcPr>
          <w:p>
            <w:r/>
            <w:r>
              <w:rPr>
                <w:sz w:val="21"/>
              </w:rPr>
              <w:t>Q2 · Standardization &amp; normalization techniques (and why)</w:t>
            </w:r>
          </w:p>
        </w:tc>
        <w:tc>
          <w:tcPr>
            <w:tcW w:type="dxa" w:w="1440"/>
          </w:tcPr>
          <w:p>
            <w:pPr>
              <w:jc w:val="right"/>
            </w:pPr>
            <w:r/>
            <w:r>
              <w:rPr>
                <w:sz w:val="21"/>
              </w:rPr>
              <w:t>p. 4</w:t>
            </w:r>
          </w:p>
        </w:tc>
      </w:tr>
      <w:tr>
        <w:tc>
          <w:tcPr>
            <w:tcW w:type="dxa" w:w="8064"/>
          </w:tcPr>
          <w:p>
            <w:r/>
            <w:r>
              <w:rPr>
                <w:sz w:val="21"/>
              </w:rPr>
              <w:t>Q3 · Hyperparameters of each of the 4 models</w:t>
            </w:r>
          </w:p>
        </w:tc>
        <w:tc>
          <w:tcPr>
            <w:tcW w:type="dxa" w:w="1440"/>
          </w:tcPr>
          <w:p>
            <w:pPr>
              <w:jc w:val="right"/>
            </w:pPr>
            <w:r/>
            <w:r>
              <w:rPr>
                <w:sz w:val="21"/>
              </w:rPr>
              <w:t>p. 5</w:t>
            </w:r>
          </w:p>
        </w:tc>
      </w:tr>
      <w:tr>
        <w:tc>
          <w:tcPr>
            <w:tcW w:type="dxa" w:w="8064"/>
          </w:tcPr>
          <w:p>
            <w:r/>
            <w:r>
              <w:rPr>
                <w:sz w:val="21"/>
              </w:rPr>
              <w:t>Q4 · Why WAPE? + the final 16 feature importance weights</w:t>
            </w:r>
          </w:p>
        </w:tc>
        <w:tc>
          <w:tcPr>
            <w:tcW w:type="dxa" w:w="1440"/>
          </w:tcPr>
          <w:p>
            <w:pPr>
              <w:jc w:val="right"/>
            </w:pPr>
            <w:r/>
            <w:r>
              <w:rPr>
                <w:sz w:val="21"/>
              </w:rPr>
              <w:t>p. 7</w:t>
            </w:r>
          </w:p>
        </w:tc>
      </w:tr>
      <w:tr>
        <w:tc>
          <w:tcPr>
            <w:tcW w:type="dxa" w:w="8064"/>
          </w:tcPr>
          <w:p>
            <w:r/>
            <w:r>
              <w:rPr>
                <w:sz w:val="21"/>
              </w:rPr>
              <w:t>Q5 · How the 5 store-role groups are chosen + thresholds</w:t>
            </w:r>
          </w:p>
        </w:tc>
        <w:tc>
          <w:tcPr>
            <w:tcW w:type="dxa" w:w="1440"/>
          </w:tcPr>
          <w:p>
            <w:pPr>
              <w:jc w:val="right"/>
            </w:pPr>
            <w:r/>
            <w:r>
              <w:rPr>
                <w:sz w:val="21"/>
              </w:rPr>
              <w:t>p. 9</w:t>
            </w:r>
          </w:p>
        </w:tc>
      </w:tr>
      <w:tr>
        <w:tc>
          <w:tcPr>
            <w:tcW w:type="dxa" w:w="8064"/>
          </w:tcPr>
          <w:p>
            <w:r/>
            <w:r>
              <w:rPr>
                <w:sz w:val="21"/>
              </w:rPr>
              <w:t>Q6 · Features ignored due to multicollinearity (and why)</w:t>
            </w:r>
          </w:p>
        </w:tc>
        <w:tc>
          <w:tcPr>
            <w:tcW w:type="dxa" w:w="1440"/>
          </w:tcPr>
          <w:p>
            <w:pPr>
              <w:jc w:val="right"/>
            </w:pPr>
            <w:r/>
            <w:r>
              <w:rPr>
                <w:sz w:val="21"/>
              </w:rPr>
              <w:t>p. 11</w:t>
            </w:r>
          </w:p>
        </w:tc>
      </w:tr>
      <w:tr>
        <w:tc>
          <w:tcPr>
            <w:tcW w:type="dxa" w:w="8064"/>
          </w:tcPr>
          <w:p>
            <w:r/>
            <w:r>
              <w:rPr>
                <w:sz w:val="21"/>
              </w:rPr>
              <w:t>Q7 · 'subsample 0.8' &amp; 'colsample 0.8' in plain English</w:t>
            </w:r>
          </w:p>
        </w:tc>
        <w:tc>
          <w:tcPr>
            <w:tcW w:type="dxa" w:w="1440"/>
          </w:tcPr>
          <w:p>
            <w:pPr>
              <w:jc w:val="right"/>
            </w:pPr>
            <w:r/>
            <w:r>
              <w:rPr>
                <w:sz w:val="21"/>
              </w:rPr>
              <w:t>p. 13</w:t>
            </w:r>
          </w:p>
        </w:tc>
      </w:tr>
    </w:tbl>
    <w:p>
      <w:r>
        <w:br w:type="page"/>
      </w:r>
    </w:p>
    <w:p>
      <w:r>
        <w:rPr>
          <w:b/>
          <w:color w:val="003087"/>
          <w:sz w:val="34"/>
        </w:rPr>
        <w:t>Q1 · Feature engineering techniques used to decide features</w:t>
      </w:r>
    </w:p>
    <w:p>
      <w:r>
        <w:rPr>
          <w:b w:val="0"/>
          <w:i/>
          <w:color w:val="555555"/>
          <w:sz w:val="22"/>
        </w:rPr>
        <w:t>We started with 194 raw columns and narrowed to 16 final features across three iterative rounds. Seven distinct techniques drove every keep/drop decision.</w:t>
      </w:r>
    </w:p>
    <w:p>
      <w:pPr>
        <w:spacing w:after="80"/>
      </w:pPr>
    </w:p>
    <w:p>
      <w:r>
        <w:rPr>
          <w:b/>
          <w:color w:val="0277BD"/>
          <w:sz w:val="26"/>
        </w:rPr>
        <w:t>The 7 techniques applied</w:t>
      </w:r>
    </w:p>
    <w:p>
      <w:r>
        <w:rPr>
          <w:b/>
          <w:color w:val="6F42C1"/>
          <w:sz w:val="23"/>
        </w:rPr>
        <w:t>1. Correlation analysis against target</w:t>
      </w:r>
    </w:p>
    <w:p>
      <w:r>
        <w:rPr>
          <w:b w:val="0"/>
          <w:i w:val="0"/>
          <w:sz w:val="22"/>
        </w:rPr>
        <w:t>For every numeric column we computed Pearson correlation with Actual Sales USD. Features with very low absolute correlation (≈ 0) were candidates for removal — but only if no other technique (domain logic, interaction effects) justified keeping them.</w:t>
      </w:r>
    </w:p>
    <w:p>
      <w:r>
        <w:rPr>
          <w:b w:val="0"/>
          <w:i/>
          <w:color w:val="555555"/>
          <w:sz w:val="22"/>
        </w:rPr>
        <w:t>Strongest correlations found in lag features (lag_1 = 0.982, roll_4 = 0.981); weakest in single-decade housing buckets and most distance-band competitor counts (typically |r| &lt; 0.05).</w:t>
      </w:r>
    </w:p>
    <w:p>
      <w:pPr>
        <w:spacing w:after="60"/>
      </w:pPr>
    </w:p>
    <w:p>
      <w:r>
        <w:rPr>
          <w:b/>
          <w:color w:val="6F42C1"/>
          <w:sz w:val="23"/>
        </w:rPr>
        <w:t>2. Multicollinearity check (correlation matrix + sum-to-100 detection)</w:t>
      </w:r>
    </w:p>
    <w:p>
      <w:r>
        <w:rPr>
          <w:b w:val="0"/>
          <w:i w:val="0"/>
          <w:sz w:val="22"/>
        </w:rPr>
        <w:t>We computed pairwise correlations between candidate features and flagged any pair with |r| &gt; 0.85. We also detected feature groups that summed to ~100% (income-bracket columns, housing-decade columns). These were collapsed into 2-3 strategic engineered features to avoid coefficient instability.</w:t>
      </w:r>
    </w:p>
    <w:p>
      <w:pPr>
        <w:spacing w:after="60"/>
      </w:pPr>
    </w:p>
    <w:p>
      <w:r>
        <w:rPr>
          <w:b/>
          <w:color w:val="6F42C1"/>
          <w:sz w:val="23"/>
        </w:rPr>
        <w:t>3. Variance / sparsity threshold</w:t>
      </w:r>
    </w:p>
    <w:p>
      <w:r>
        <w:rPr>
          <w:b w:val="0"/>
          <w:i w:val="0"/>
          <w:sz w:val="22"/>
        </w:rPr>
        <w:t>Features with near-zero variance — for instance, competitor counts that were 0 for &gt;95% of stores — were dropped. These cannot help any model split because they don't separate observations.</w:t>
      </w:r>
    </w:p>
    <w:p>
      <w:r>
        <w:rPr>
          <w:b w:val="0"/>
          <w:i/>
          <w:color w:val="555555"/>
          <w:sz w:val="22"/>
        </w:rPr>
        <w:t>Examples dropped: Thin Lizzy Hardware (100% zeros), Bobs Supplies (99% zeros).</w:t>
      </w:r>
    </w:p>
    <w:p>
      <w:pPr>
        <w:spacing w:after="60"/>
      </w:pPr>
    </w:p>
    <w:p>
      <w:r>
        <w:rPr>
          <w:b/>
          <w:color w:val="6F42C1"/>
          <w:sz w:val="23"/>
        </w:rPr>
        <w:t>4. Lag-feature engineering (time-series shift operations)</w:t>
      </w:r>
    </w:p>
    <w:p>
      <w:r>
        <w:rPr>
          <w:b w:val="0"/>
          <w:i w:val="0"/>
          <w:sz w:val="22"/>
        </w:rPr>
        <w:t>Per-store grouped shift to create temporal features:</w:t>
      </w:r>
    </w:p>
    <w:p>
      <w:r>
        <w:rPr>
          <w:b w:val="0"/>
          <w:i w:val="0"/>
          <w:sz w:val="21"/>
        </w:rPr>
        <w:t>• lag_1, lag_4, lag_13, lag_52 = sales shifted by 1, 4, 13, and 52 weeks per store</w:t>
      </w:r>
    </w:p>
    <w:p>
      <w:r>
        <w:rPr>
          <w:b w:val="0"/>
          <w:i w:val="0"/>
          <w:sz w:val="21"/>
        </w:rPr>
        <w:t>• roll_4, roll_13 = rolling-mean of past 4 / 13 weeks (later dropped — see Q6)</w:t>
      </w:r>
    </w:p>
    <w:p>
      <w:r>
        <w:rPr>
          <w:b w:val="0"/>
          <w:i/>
          <w:color w:val="555555"/>
          <w:sz w:val="22"/>
        </w:rPr>
        <w:t>All lag operations used shift(1) minimum to prevent leakage (the model can never see the week it predicts).</w:t>
      </w:r>
    </w:p>
    <w:p>
      <w:pPr>
        <w:spacing w:after="60"/>
      </w:pPr>
    </w:p>
    <w:p>
      <w:r>
        <w:rPr>
          <w:b/>
          <w:color w:val="6F42C1"/>
          <w:sz w:val="23"/>
        </w:rPr>
        <w:t>5. Aggregation engineering (combining redundant raw columns)</w:t>
      </w:r>
    </w:p>
    <w:p>
      <w:r>
        <w:rPr>
          <w:b w:val="0"/>
          <w:i w:val="0"/>
          <w:sz w:val="22"/>
        </w:rPr>
        <w:t>To preserve signal but avoid multicollinearity, we engineered composite features:</w:t>
      </w:r>
    </w:p>
    <w:p>
      <w:pPr>
        <w:pStyle w:val="ListBullet"/>
        <w:spacing w:after="60"/>
      </w:pPr>
      <w:r>
        <w:rPr>
          <w:sz w:val="22"/>
        </w:rPr>
        <w:t>income_affluent = % HH $150K-250K + % HH $250K+ (collapses 2 income brackets)</w:t>
      </w:r>
    </w:p>
    <w:p>
      <w:pPr>
        <w:pStyle w:val="ListBullet"/>
        <w:spacing w:after="60"/>
      </w:pPr>
      <w:r>
        <w:rPr>
          <w:sz w:val="22"/>
        </w:rPr>
        <w:t>housing_new_share = % built 2000-2009 + % built 2009-2019 (collapses 2 decade buckets)</w:t>
      </w:r>
    </w:p>
    <w:p>
      <w:pPr>
        <w:pStyle w:val="ListBullet"/>
        <w:spacing w:after="60"/>
      </w:pPr>
      <w:r>
        <w:rPr>
          <w:sz w:val="22"/>
        </w:rPr>
        <w:t>housing_old_share = % built pre-1949 + 1950s + 1960s (collapses 3 decade buckets)</w:t>
      </w:r>
    </w:p>
    <w:p>
      <w:pPr>
        <w:pStyle w:val="ListBullet"/>
        <w:spacing w:after="60"/>
      </w:pPr>
      <w:r>
        <w:rPr>
          <w:sz w:val="22"/>
        </w:rPr>
        <w:t>total_competitor_ta = sum of all 17 competitor counts in trade area (collapses 17 columns to 1)</w:t>
      </w:r>
    </w:p>
    <w:p>
      <w:pPr>
        <w:spacing w:after="60"/>
      </w:pPr>
    </w:p>
    <w:p>
      <w:r>
        <w:rPr>
          <w:b/>
          <w:color w:val="6F42C1"/>
          <w:sz w:val="23"/>
        </w:rPr>
        <w:t>6. Categorical encoding</w:t>
      </w:r>
    </w:p>
    <w:p>
      <w:r>
        <w:rPr>
          <w:b w:val="0"/>
          <w:i w:val="0"/>
          <w:sz w:val="22"/>
        </w:rPr>
        <w:t>Three categorical features were converted to integer codes using sklearn LabelEncoder:</w:t>
      </w:r>
    </w:p>
    <w:tbl>
      <w:tblPr>
        <w:tblStyle w:val="LightGrid-Accent1"/>
        <w:tblW w:type="auto" w:w="0"/>
        <w:tblLook w:firstColumn="1" w:firstRow="1" w:lastColumn="0" w:lastRow="0" w:noHBand="0" w:noVBand="1" w:val="04A0"/>
      </w:tblPr>
      <w:tblGrid>
        <w:gridCol w:w="3408"/>
        <w:gridCol w:w="3408"/>
        <w:gridCol w:w="3408"/>
      </w:tblGrid>
      <w:tr>
        <w:tc>
          <w:tcPr>
            <w:tcW w:type="dxa" w:w="2592"/>
            <w:shd w:val="clear" w:color="auto" w:fill="003087"/>
          </w:tcPr>
          <w:p>
            <w:r/>
            <w:r>
              <w:rPr>
                <w:b/>
                <w:color w:val="FFFFFF"/>
                <w:sz w:val="21"/>
              </w:rPr>
              <w:t>Original</w:t>
            </w:r>
          </w:p>
        </w:tc>
        <w:tc>
          <w:tcPr>
            <w:tcW w:type="dxa" w:w="2592"/>
            <w:shd w:val="clear" w:color="auto" w:fill="003087"/>
          </w:tcPr>
          <w:p>
            <w:r/>
            <w:r>
              <w:rPr>
                <w:b/>
                <w:color w:val="FFFFFF"/>
                <w:sz w:val="21"/>
              </w:rPr>
              <w:t>Encoded as</w:t>
            </w:r>
          </w:p>
        </w:tc>
        <w:tc>
          <w:tcPr>
            <w:tcW w:type="dxa" w:w="4896"/>
            <w:shd w:val="clear" w:color="auto" w:fill="003087"/>
          </w:tcPr>
          <w:p>
            <w:r/>
            <w:r>
              <w:rPr>
                <w:b/>
                <w:color w:val="FFFFFF"/>
                <w:sz w:val="21"/>
              </w:rPr>
              <w:t>Levels</w:t>
            </w:r>
          </w:p>
        </w:tc>
      </w:tr>
      <w:tr>
        <w:tc>
          <w:tcPr>
            <w:tcW w:type="dxa" w:w="2592"/>
          </w:tcPr>
          <w:p>
            <w:r/>
            <w:r>
              <w:rPr>
                <w:sz w:val="20"/>
              </w:rPr>
              <w:t>Urbanicity</w:t>
            </w:r>
          </w:p>
        </w:tc>
        <w:tc>
          <w:tcPr>
            <w:tcW w:type="dxa" w:w="2592"/>
          </w:tcPr>
          <w:p>
            <w:r/>
            <w:r>
              <w:rPr>
                <w:sz w:val="20"/>
              </w:rPr>
              <w:t>Urbanicity_enc</w:t>
            </w:r>
          </w:p>
        </w:tc>
        <w:tc>
          <w:tcPr>
            <w:tcW w:type="dxa" w:w="4896"/>
          </w:tcPr>
          <w:p>
            <w:r/>
            <w:r>
              <w:rPr>
                <w:sz w:val="20"/>
              </w:rPr>
              <w:t>0 = Remote, …, 6 = Metropolis (7 levels)</w:t>
            </w:r>
          </w:p>
        </w:tc>
      </w:tr>
      <w:tr>
        <w:tc>
          <w:tcPr>
            <w:tcW w:type="dxa" w:w="2592"/>
          </w:tcPr>
          <w:p>
            <w:r/>
            <w:r>
              <w:rPr>
                <w:sz w:val="20"/>
              </w:rPr>
              <w:t>CBSA Type</w:t>
            </w:r>
          </w:p>
        </w:tc>
        <w:tc>
          <w:tcPr>
            <w:tcW w:type="dxa" w:w="2592"/>
          </w:tcPr>
          <w:p>
            <w:r/>
            <w:r>
              <w:rPr>
                <w:sz w:val="20"/>
              </w:rPr>
              <w:t>CBSA Type_enc</w:t>
            </w:r>
          </w:p>
        </w:tc>
        <w:tc>
          <w:tcPr>
            <w:tcW w:type="dxa" w:w="4896"/>
          </w:tcPr>
          <w:p>
            <w:r/>
            <w:r>
              <w:rPr>
                <w:sz w:val="20"/>
              </w:rPr>
              <w:t>0 = Non-CBSA, 1 = Micro, 2 = Metro (3 levels)</w:t>
            </w:r>
          </w:p>
        </w:tc>
      </w:tr>
      <w:tr>
        <w:tc>
          <w:tcPr>
            <w:tcW w:type="dxa" w:w="2592"/>
          </w:tcPr>
          <w:p>
            <w:r/>
            <w:r>
              <w:rPr>
                <w:sz w:val="20"/>
              </w:rPr>
              <w:t>CBSA Metro Size</w:t>
            </w:r>
          </w:p>
        </w:tc>
        <w:tc>
          <w:tcPr>
            <w:tcW w:type="dxa" w:w="2592"/>
          </w:tcPr>
          <w:p>
            <w:r/>
            <w:r>
              <w:rPr>
                <w:sz w:val="20"/>
              </w:rPr>
              <w:t>CBSA Metro Size_enc</w:t>
            </w:r>
          </w:p>
        </w:tc>
        <w:tc>
          <w:tcPr>
            <w:tcW w:type="dxa" w:w="4896"/>
          </w:tcPr>
          <w:p>
            <w:r/>
            <w:r>
              <w:rPr>
                <w:sz w:val="20"/>
              </w:rPr>
              <w:t>4 ordinal levels</w:t>
            </w:r>
          </w:p>
        </w:tc>
      </w:tr>
    </w:tbl>
    <w:p>
      <w:r>
        <w:rPr>
          <w:b w:val="0"/>
          <w:i/>
          <w:color w:val="555555"/>
          <w:sz w:val="22"/>
        </w:rPr>
        <w:t>LabelEncoder (not OneHotEncoder) chosen because tree-based models split on numeric thresholds and handle ordinal codes natively without inflating the feature count.</w:t>
      </w:r>
    </w:p>
    <w:p>
      <w:pPr>
        <w:spacing w:after="60"/>
      </w:pPr>
    </w:p>
    <w:p>
      <w:r>
        <w:rPr>
          <w:b/>
          <w:color w:val="6F42C1"/>
          <w:sz w:val="23"/>
        </w:rPr>
        <w:t>7. Leakage detection (the critical guard)</w:t>
      </w:r>
    </w:p>
    <w:p>
      <w:r>
        <w:rPr>
          <w:b w:val="0"/>
          <w:i w:val="0"/>
          <w:sz w:val="22"/>
        </w:rPr>
        <w:t>Three columns had correlations dangerously close to 1.0 — they are 'same-period' measures that would give the model the answer instead of features it has to learn from:</w:t>
      </w:r>
    </w:p>
    <w:tbl>
      <w:tblPr>
        <w:tblStyle w:val="LightGrid-Accent1"/>
        <w:tblW w:type="auto" w:w="0"/>
        <w:tblLook w:firstColumn="1" w:firstRow="1" w:lastColumn="0" w:lastRow="0" w:noHBand="0" w:noVBand="1" w:val="04A0"/>
      </w:tblPr>
      <w:tblGrid>
        <w:gridCol w:w="3408"/>
        <w:gridCol w:w="3408"/>
        <w:gridCol w:w="3408"/>
      </w:tblGrid>
      <w:tr>
        <w:tc>
          <w:tcPr>
            <w:tcW w:type="dxa" w:w="2880"/>
            <w:shd w:val="clear" w:color="auto" w:fill="003087"/>
          </w:tcPr>
          <w:p>
            <w:r/>
            <w:r>
              <w:rPr>
                <w:b/>
                <w:color w:val="FFFFFF"/>
                <w:sz w:val="21"/>
              </w:rPr>
              <w:t>Banned column</w:t>
            </w:r>
          </w:p>
        </w:tc>
        <w:tc>
          <w:tcPr>
            <w:tcW w:type="dxa" w:w="2016"/>
            <w:shd w:val="clear" w:color="auto" w:fill="003087"/>
          </w:tcPr>
          <w:p>
            <w:r/>
            <w:r>
              <w:rPr>
                <w:b/>
                <w:color w:val="FFFFFF"/>
                <w:sz w:val="21"/>
              </w:rPr>
              <w:t>Correlation w/ target</w:t>
            </w:r>
          </w:p>
        </w:tc>
        <w:tc>
          <w:tcPr>
            <w:tcW w:type="dxa" w:w="5184"/>
            <w:shd w:val="clear" w:color="auto" w:fill="003087"/>
          </w:tcPr>
          <w:p>
            <w:r/>
            <w:r>
              <w:rPr>
                <w:b/>
                <w:color w:val="FFFFFF"/>
                <w:sz w:val="21"/>
              </w:rPr>
              <w:t>Why it's leakage</w:t>
            </w:r>
          </w:p>
        </w:tc>
      </w:tr>
      <w:tr>
        <w:tc>
          <w:tcPr>
            <w:tcW w:type="dxa" w:w="2880"/>
          </w:tcPr>
          <w:p>
            <w:r/>
            <w:r>
              <w:rPr>
                <w:sz w:val="20"/>
              </w:rPr>
              <w:t>Plan Sales USD</w:t>
            </w:r>
          </w:p>
        </w:tc>
        <w:tc>
          <w:tcPr>
            <w:tcW w:type="dxa" w:w="2016"/>
          </w:tcPr>
          <w:p>
            <w:r/>
            <w:r>
              <w:rPr>
                <w:sz w:val="20"/>
              </w:rPr>
              <w:t>0.986</w:t>
            </w:r>
          </w:p>
        </w:tc>
        <w:tc>
          <w:tcPr>
            <w:tcW w:type="dxa" w:w="5184"/>
          </w:tcPr>
          <w:p>
            <w:r/>
            <w:r>
              <w:rPr>
                <w:sz w:val="20"/>
              </w:rPr>
              <w:t>It IS the target — what we're trying to predict</w:t>
            </w:r>
          </w:p>
        </w:tc>
      </w:tr>
      <w:tr>
        <w:tc>
          <w:tcPr>
            <w:tcW w:type="dxa" w:w="2880"/>
          </w:tcPr>
          <w:p>
            <w:r/>
            <w:r>
              <w:rPr>
                <w:sz w:val="20"/>
              </w:rPr>
              <w:t>Invoice Count</w:t>
            </w:r>
          </w:p>
        </w:tc>
        <w:tc>
          <w:tcPr>
            <w:tcW w:type="dxa" w:w="2016"/>
          </w:tcPr>
          <w:p>
            <w:r/>
            <w:r>
              <w:rPr>
                <w:sz w:val="20"/>
              </w:rPr>
              <w:t>0.972</w:t>
            </w:r>
          </w:p>
        </w:tc>
        <w:tc>
          <w:tcPr>
            <w:tcW w:type="dxa" w:w="5184"/>
          </w:tcPr>
          <w:p>
            <w:r/>
            <w:r>
              <w:rPr>
                <w:sz w:val="20"/>
              </w:rPr>
              <w:t>Same-period transaction count (Sales = Invoices × Avg Ticket)</w:t>
            </w:r>
          </w:p>
        </w:tc>
      </w:tr>
      <w:tr>
        <w:tc>
          <w:tcPr>
            <w:tcW w:type="dxa" w:w="2880"/>
          </w:tcPr>
          <w:p>
            <w:r/>
            <w:r>
              <w:rPr>
                <w:sz w:val="20"/>
              </w:rPr>
              <w:t>Avg Ticket</w:t>
            </w:r>
          </w:p>
        </w:tc>
        <w:tc>
          <w:tcPr>
            <w:tcW w:type="dxa" w:w="2016"/>
          </w:tcPr>
          <w:p>
            <w:r/>
            <w:r>
              <w:rPr>
                <w:sz w:val="20"/>
              </w:rPr>
              <w:t>0.133</w:t>
            </w:r>
          </w:p>
        </w:tc>
        <w:tc>
          <w:tcPr>
            <w:tcW w:type="dxa" w:w="5184"/>
          </w:tcPr>
          <w:p>
            <w:r/>
            <w:r>
              <w:rPr>
                <w:sz w:val="20"/>
              </w:rPr>
              <w:t>Same-period decomposition of Sales</w:t>
            </w:r>
          </w:p>
        </w:tc>
      </w:tr>
    </w:tbl>
    <w:p>
      <w:r>
        <w:rPr>
          <w:b w:val="0"/>
          <w:i/>
          <w:color w:val="555555"/>
          <w:sz w:val="22"/>
        </w:rPr>
        <w:t>A programmatic assertion in feature_engineering.py raises an error if any of these ever enter the feature list.</w:t>
      </w:r>
    </w:p>
    <w:p>
      <w:pPr>
        <w:spacing w:after="80"/>
      </w:pPr>
    </w:p>
    <w:p>
      <w:r>
        <w:rPr>
          <w:b/>
          <w:color w:val="0277BD"/>
          <w:sz w:val="26"/>
        </w:rPr>
        <w:t>The funnel</w:t>
      </w:r>
    </w:p>
    <w:tbl>
      <w:tblPr>
        <w:tblStyle w:val="LightGrid-Accent1"/>
        <w:tblW w:type="auto" w:w="0"/>
        <w:tblLook w:firstColumn="1" w:firstRow="1" w:lastColumn="0" w:lastRow="0" w:noHBand="0" w:noVBand="1" w:val="04A0"/>
      </w:tblPr>
      <w:tblGrid>
        <w:gridCol w:w="3408"/>
        <w:gridCol w:w="3408"/>
        <w:gridCol w:w="3408"/>
      </w:tblGrid>
      <w:tr>
        <w:tc>
          <w:tcPr>
            <w:tcW w:type="dxa" w:w="2880"/>
            <w:shd w:val="clear" w:color="auto" w:fill="003087"/>
          </w:tcPr>
          <w:p>
            <w:r/>
            <w:r>
              <w:rPr>
                <w:b/>
                <w:color w:val="FFFFFF"/>
                <w:sz w:val="21"/>
              </w:rPr>
              <w:t>Iteration</w:t>
            </w:r>
          </w:p>
        </w:tc>
        <w:tc>
          <w:tcPr>
            <w:tcW w:type="dxa" w:w="1152"/>
            <w:shd w:val="clear" w:color="auto" w:fill="003087"/>
          </w:tcPr>
          <w:p>
            <w:r/>
            <w:r>
              <w:rPr>
                <w:b/>
                <w:color w:val="FFFFFF"/>
                <w:sz w:val="21"/>
              </w:rPr>
              <w:t>Count</w:t>
            </w:r>
          </w:p>
        </w:tc>
        <w:tc>
          <w:tcPr>
            <w:tcW w:type="dxa" w:w="6048"/>
            <w:shd w:val="clear" w:color="auto" w:fill="003087"/>
          </w:tcPr>
          <w:p>
            <w:r/>
            <w:r>
              <w:rPr>
                <w:b/>
                <w:color w:val="FFFFFF"/>
                <w:sz w:val="21"/>
              </w:rPr>
              <w:t>What changed</w:t>
            </w:r>
          </w:p>
        </w:tc>
      </w:tr>
      <w:tr>
        <w:tc>
          <w:tcPr>
            <w:tcW w:type="dxa" w:w="2880"/>
          </w:tcPr>
          <w:p>
            <w:r/>
            <w:r>
              <w:rPr>
                <w:sz w:val="20"/>
              </w:rPr>
              <w:t>Raw columns</w:t>
            </w:r>
          </w:p>
        </w:tc>
        <w:tc>
          <w:tcPr>
            <w:tcW w:type="dxa" w:w="1152"/>
          </w:tcPr>
          <w:p>
            <w:r/>
            <w:r>
              <w:rPr>
                <w:sz w:val="20"/>
              </w:rPr>
              <w:t>194</w:t>
            </w:r>
          </w:p>
        </w:tc>
        <w:tc>
          <w:tcPr>
            <w:tcW w:type="dxa" w:w="6048"/>
          </w:tcPr>
          <w:p>
            <w:r/>
            <w:r>
              <w:rPr>
                <w:sz w:val="20"/>
              </w:rPr>
              <w:t>All columns in source CSV</w:t>
            </w:r>
          </w:p>
        </w:tc>
      </w:tr>
      <w:tr>
        <w:tc>
          <w:tcPr>
            <w:tcW w:type="dxa" w:w="2880"/>
          </w:tcPr>
          <w:p>
            <w:r/>
            <w:r>
              <w:rPr>
                <w:sz w:val="20"/>
              </w:rPr>
              <w:t>After identity/leakage drop</w:t>
            </w:r>
          </w:p>
        </w:tc>
        <w:tc>
          <w:tcPr>
            <w:tcW w:type="dxa" w:w="1152"/>
          </w:tcPr>
          <w:p>
            <w:r/>
            <w:r>
              <w:rPr>
                <w:sz w:val="20"/>
              </w:rPr>
              <w:t>165</w:t>
            </w:r>
          </w:p>
        </w:tc>
        <w:tc>
          <w:tcPr>
            <w:tcW w:type="dxa" w:w="6048"/>
          </w:tcPr>
          <w:p>
            <w:r/>
            <w:r>
              <w:rPr>
                <w:sz w:val="20"/>
              </w:rPr>
              <w:t>Removed Plan Sales, Invoice Count, Avg Ticket, store names, IDs</w:t>
            </w:r>
          </w:p>
        </w:tc>
      </w:tr>
      <w:tr>
        <w:tc>
          <w:tcPr>
            <w:tcW w:type="dxa" w:w="2880"/>
          </w:tcPr>
          <w:p>
            <w:r/>
            <w:r>
              <w:rPr>
                <w:sz w:val="20"/>
              </w:rPr>
              <w:t>Phase 1 set (1st round)</w:t>
            </w:r>
          </w:p>
        </w:tc>
        <w:tc>
          <w:tcPr>
            <w:tcW w:type="dxa" w:w="1152"/>
          </w:tcPr>
          <w:p>
            <w:r/>
            <w:r>
              <w:rPr>
                <w:sz w:val="20"/>
              </w:rPr>
              <w:t>40</w:t>
            </w:r>
          </w:p>
        </w:tc>
        <w:tc>
          <w:tcPr>
            <w:tcW w:type="dxa" w:w="6048"/>
          </w:tcPr>
          <w:p>
            <w:r/>
            <w:r>
              <w:rPr>
                <w:sz w:val="20"/>
              </w:rPr>
              <w:t>Business-relevance + correlation + variance threshold</w:t>
            </w:r>
          </w:p>
        </w:tc>
      </w:tr>
      <w:tr>
        <w:tc>
          <w:tcPr>
            <w:tcW w:type="dxa" w:w="2880"/>
          </w:tcPr>
          <w:p>
            <w:r/>
            <w:r>
              <w:rPr>
                <w:sz w:val="20"/>
              </w:rPr>
              <w:t>After 1st model iteration</w:t>
            </w:r>
          </w:p>
        </w:tc>
        <w:tc>
          <w:tcPr>
            <w:tcW w:type="dxa" w:w="1152"/>
          </w:tcPr>
          <w:p>
            <w:r/>
            <w:r>
              <w:rPr>
                <w:sz w:val="20"/>
              </w:rPr>
              <w:t>—</w:t>
            </w:r>
          </w:p>
        </w:tc>
        <w:tc>
          <w:tcPr>
            <w:tcW w:type="dxa" w:w="6048"/>
          </w:tcPr>
          <w:p>
            <w:r/>
            <w:r>
              <w:rPr>
                <w:sz w:val="20"/>
              </w:rPr>
              <w:t>XGBoost feature importance + multicollinearity check</w:t>
            </w:r>
          </w:p>
        </w:tc>
      </w:tr>
      <w:tr>
        <w:tc>
          <w:tcPr>
            <w:tcW w:type="dxa" w:w="2880"/>
          </w:tcPr>
          <w:p>
            <w:r/>
            <w:r>
              <w:rPr>
                <w:sz w:val="20"/>
              </w:rPr>
              <w:t>Final 16 features</w:t>
            </w:r>
          </w:p>
        </w:tc>
        <w:tc>
          <w:tcPr>
            <w:tcW w:type="dxa" w:w="1152"/>
          </w:tcPr>
          <w:p>
            <w:r/>
            <w:r>
              <w:rPr>
                <w:sz w:val="20"/>
              </w:rPr>
              <w:t>16</w:t>
            </w:r>
          </w:p>
        </w:tc>
        <w:tc>
          <w:tcPr>
            <w:tcW w:type="dxa" w:w="6048"/>
          </w:tcPr>
          <w:p>
            <w:r/>
            <w:r>
              <w:rPr>
                <w:sz w:val="20"/>
              </w:rPr>
              <w:t>Removed dominant lag-only features + redundant aggregates</w:t>
            </w:r>
          </w:p>
        </w:tc>
      </w:tr>
    </w:tbl>
    <w:p>
      <w:r>
        <w:br w:type="page"/>
      </w:r>
    </w:p>
    <w:p>
      <w:r>
        <w:rPr>
          <w:b/>
          <w:color w:val="003087"/>
          <w:sz w:val="34"/>
        </w:rPr>
        <w:t>Q2 · Standardization &amp; normalization techniques (and why)</w:t>
      </w:r>
    </w:p>
    <w:p>
      <w:pPr>
        <w:spacing w:after="80"/>
      </w:pPr>
    </w:p>
    <w:p>
      <w:r>
        <w:rPr>
          <w:b/>
          <w:color w:val="0277BD"/>
          <w:sz w:val="26"/>
        </w:rPr>
        <w:t>Short answer</w:t>
      </w:r>
    </w:p>
    <w:p>
      <w:r>
        <w:rPr>
          <w:b/>
          <w:i w:val="0"/>
          <w:sz w:val="22"/>
        </w:rPr>
        <w:t>We did NOT apply z-score standardization or min-max normalization to the features fed into our final XGBoost model. This is intentional and correct for the chosen algorithm.</w:t>
      </w:r>
    </w:p>
    <w:p>
      <w:pPr>
        <w:spacing w:after="60"/>
      </w:pPr>
    </w:p>
    <w:p>
      <w:r>
        <w:rPr>
          <w:b/>
          <w:color w:val="0277BD"/>
          <w:sz w:val="26"/>
        </w:rPr>
        <w:t>Why no scaling for tree-based models</w:t>
      </w:r>
    </w:p>
    <w:p>
      <w:r>
        <w:rPr>
          <w:b w:val="0"/>
          <w:i w:val="0"/>
          <w:sz w:val="22"/>
        </w:rPr>
        <w:t>XGBoost (our primary model) and LightGBM are tree-based ensemble methods. They make splits like:</w:t>
      </w:r>
    </w:p>
    <w:p>
      <w:r>
        <w:rPr>
          <w:b w:val="0"/>
          <w:i/>
          <w:sz w:val="22"/>
        </w:rPr>
        <w:t xml:space="preserve">    "if lag_1 &gt; $900,000 then go right, else go left"</w:t>
      </w:r>
    </w:p>
    <w:p>
      <w:r>
        <w:rPr>
          <w:b w:val="0"/>
          <w:i w:val="0"/>
          <w:sz w:val="22"/>
        </w:rPr>
        <w:t>The split threshold ($900,000) is found by the algorithm itself. The model is invariant to monotonic transformations — multiplying every value by 1000 or taking the log changes no decisions. So scaling adds zero value and adds computational cost.</w:t>
      </w:r>
    </w:p>
    <w:p>
      <w:pPr>
        <w:spacing w:after="60"/>
      </w:pPr>
    </w:p>
    <w:p>
      <w:r>
        <w:rPr>
          <w:b/>
          <w:color w:val="0277BD"/>
          <w:sz w:val="26"/>
        </w:rPr>
        <w:t>What we DID do (data preparation)</w:t>
      </w:r>
    </w:p>
    <w:p>
      <w:r>
        <w:rPr>
          <w:b/>
          <w:color w:val="6F42C1"/>
          <w:sz w:val="23"/>
        </w:rPr>
        <w:t>1. Type conversion</w:t>
      </w:r>
    </w:p>
    <w:p>
      <w:r>
        <w:rPr>
          <w:b w:val="0"/>
          <w:i w:val="0"/>
          <w:sz w:val="22"/>
        </w:rPr>
        <w:t>All numeric columns were forced to numeric type using pd.to_numeric(errors='coerce') to handle any stray strings or formatting issues in the raw CSV.</w:t>
      </w:r>
    </w:p>
    <w:p>
      <w:r>
        <w:rPr>
          <w:b/>
          <w:color w:val="6F42C1"/>
          <w:sz w:val="23"/>
        </w:rPr>
        <w:t>2. Missing value handling</w:t>
      </w:r>
    </w:p>
    <w:p>
      <w:r>
        <w:rPr>
          <w:b w:val="0"/>
          <w:i w:val="0"/>
          <w:sz w:val="22"/>
        </w:rPr>
        <w:t>Three different strategies were applied based on what NaN means for that column:</w:t>
      </w:r>
    </w:p>
    <w:p>
      <w:pPr>
        <w:pStyle w:val="ListBullet"/>
        <w:spacing w:after="60"/>
      </w:pPr>
      <w:r>
        <w:rPr>
          <w:sz w:val="22"/>
        </w:rPr>
        <w:t>Lag features: leave as NaN (drop rows where any lag is NaN — required because the first few weeks per store have no history)</w:t>
      </w:r>
    </w:p>
    <w:p>
      <w:pPr>
        <w:pStyle w:val="ListBullet"/>
        <w:spacing w:after="60"/>
      </w:pPr>
      <w:r>
        <w:rPr>
          <w:sz w:val="22"/>
        </w:rPr>
        <w:t>Competitor counts: fillna(0) — a missing competitor count is treated as 0 competitors</w:t>
      </w:r>
    </w:p>
    <w:p>
      <w:pPr>
        <w:pStyle w:val="ListBullet"/>
        <w:spacing w:after="60"/>
      </w:pPr>
      <w:r>
        <w:rPr>
          <w:sz w:val="22"/>
        </w:rPr>
        <w:t>Income brackets / housing decades: fillna(0) — a missing % is treated as 0 share</w:t>
      </w:r>
    </w:p>
    <w:p>
      <w:r>
        <w:rPr>
          <w:b/>
          <w:color w:val="6F42C1"/>
          <w:sz w:val="23"/>
        </w:rPr>
        <w:t>3. Categorical encoding</w:t>
      </w:r>
    </w:p>
    <w:p>
      <w:r>
        <w:rPr>
          <w:b w:val="0"/>
          <w:i w:val="0"/>
          <w:sz w:val="22"/>
        </w:rPr>
        <w:t>LabelEncoder applied to Urbanicity, CBSA Type, CBSA Metro Size (see Q1 for details).</w:t>
      </w:r>
    </w:p>
    <w:p>
      <w:r>
        <w:rPr>
          <w:b/>
          <w:color w:val="6F42C1"/>
          <w:sz w:val="23"/>
        </w:rPr>
        <w:t>4. Sort ordering (mandatory for lag features)</w:t>
      </w:r>
    </w:p>
    <w:p>
      <w:r>
        <w:rPr>
          <w:b w:val="0"/>
          <w:i w:val="0"/>
          <w:sz w:val="22"/>
        </w:rPr>
        <w:t>Before computing lags, the data is sorted by Store ID → Year → Fiscal Week. This ensures shift(n) operations correctly reach the previous N weeks of THAT store, not a different store.</w:t>
      </w:r>
    </w:p>
    <w:p>
      <w:pPr>
        <w:spacing w:after="80"/>
      </w:pPr>
    </w:p>
    <w:p>
      <w:r>
        <w:rPr>
          <w:b/>
          <w:color w:val="0277BD"/>
          <w:sz w:val="26"/>
        </w:rPr>
        <w:t>Where scaling WOULD matter</w:t>
      </w:r>
    </w:p>
    <w:p>
      <w:r>
        <w:rPr>
          <w:b w:val="0"/>
          <w:i w:val="0"/>
          <w:sz w:val="22"/>
        </w:rPr>
        <w:t>If we ran a different algorithm family, scaling becomes necessary:</w:t>
      </w:r>
    </w:p>
    <w:tbl>
      <w:tblPr>
        <w:tblStyle w:val="LightGrid-Accent1"/>
        <w:tblW w:type="auto" w:w="0"/>
        <w:tblLook w:firstColumn="1" w:firstRow="1" w:lastColumn="0" w:lastRow="0" w:noHBand="0" w:noVBand="1" w:val="04A0"/>
      </w:tblPr>
      <w:tblGrid>
        <w:gridCol w:w="3408"/>
        <w:gridCol w:w="3408"/>
        <w:gridCol w:w="3408"/>
      </w:tblGrid>
      <w:tr>
        <w:tc>
          <w:tcPr>
            <w:tcW w:type="dxa" w:w="3312"/>
            <w:shd w:val="clear" w:color="auto" w:fill="003087"/>
          </w:tcPr>
          <w:p>
            <w:r/>
            <w:r>
              <w:rPr>
                <w:b/>
                <w:color w:val="FFFFFF"/>
                <w:sz w:val="21"/>
              </w:rPr>
              <w:t>Algorithm</w:t>
            </w:r>
          </w:p>
        </w:tc>
        <w:tc>
          <w:tcPr>
            <w:tcW w:type="dxa" w:w="2160"/>
            <w:shd w:val="clear" w:color="auto" w:fill="003087"/>
          </w:tcPr>
          <w:p>
            <w:r/>
            <w:r>
              <w:rPr>
                <w:b/>
                <w:color w:val="FFFFFF"/>
                <w:sz w:val="21"/>
              </w:rPr>
              <w:t>Needs scaling?</w:t>
            </w:r>
          </w:p>
        </w:tc>
        <w:tc>
          <w:tcPr>
            <w:tcW w:type="dxa" w:w="4032"/>
            <w:shd w:val="clear" w:color="auto" w:fill="003087"/>
          </w:tcPr>
          <w:p>
            <w:r/>
            <w:r>
              <w:rPr>
                <w:b/>
                <w:color w:val="FFFFFF"/>
                <w:sz w:val="21"/>
              </w:rPr>
              <w:t>Why</w:t>
            </w:r>
          </w:p>
        </w:tc>
      </w:tr>
      <w:tr>
        <w:tc>
          <w:tcPr>
            <w:tcW w:type="dxa" w:w="3312"/>
          </w:tcPr>
          <w:p>
            <w:r/>
            <w:r>
              <w:rPr>
                <w:sz w:val="20"/>
              </w:rPr>
              <w:t>XGBoost (our model)</w:t>
            </w:r>
          </w:p>
        </w:tc>
        <w:tc>
          <w:tcPr>
            <w:tcW w:type="dxa" w:w="2160"/>
          </w:tcPr>
          <w:p>
            <w:r/>
            <w:r>
              <w:rPr>
                <w:sz w:val="20"/>
              </w:rPr>
              <w:t>No</w:t>
            </w:r>
          </w:p>
        </w:tc>
        <w:tc>
          <w:tcPr>
            <w:tcW w:type="dxa" w:w="4032"/>
          </w:tcPr>
          <w:p>
            <w:r/>
            <w:r>
              <w:rPr>
                <w:sz w:val="20"/>
              </w:rPr>
              <w:t>Trees split on thresholds; scale invariant</w:t>
            </w:r>
          </w:p>
        </w:tc>
      </w:tr>
      <w:tr>
        <w:tc>
          <w:tcPr>
            <w:tcW w:type="dxa" w:w="3312"/>
          </w:tcPr>
          <w:p>
            <w:r/>
            <w:r>
              <w:rPr>
                <w:sz w:val="20"/>
              </w:rPr>
              <w:t>LightGBM</w:t>
            </w:r>
          </w:p>
        </w:tc>
        <w:tc>
          <w:tcPr>
            <w:tcW w:type="dxa" w:w="2160"/>
          </w:tcPr>
          <w:p>
            <w:r/>
            <w:r>
              <w:rPr>
                <w:sz w:val="20"/>
              </w:rPr>
              <w:t>No</w:t>
            </w:r>
          </w:p>
        </w:tc>
        <w:tc>
          <w:tcPr>
            <w:tcW w:type="dxa" w:w="4032"/>
          </w:tcPr>
          <w:p>
            <w:r/>
            <w:r>
              <w:rPr>
                <w:sz w:val="20"/>
              </w:rPr>
              <w:t>Same as XGBoost</w:t>
            </w:r>
          </w:p>
        </w:tc>
      </w:tr>
      <w:tr>
        <w:tc>
          <w:tcPr>
            <w:tcW w:type="dxa" w:w="3312"/>
          </w:tcPr>
          <w:p>
            <w:r/>
            <w:r>
              <w:rPr>
                <w:sz w:val="20"/>
              </w:rPr>
              <w:t>Ridge Regression (our baseline)</w:t>
            </w:r>
          </w:p>
        </w:tc>
        <w:tc>
          <w:tcPr>
            <w:tcW w:type="dxa" w:w="2160"/>
          </w:tcPr>
          <w:p>
            <w:r/>
            <w:r>
              <w:rPr>
                <w:sz w:val="20"/>
              </w:rPr>
              <w:t>Recommended</w:t>
            </w:r>
          </w:p>
        </w:tc>
        <w:tc>
          <w:tcPr>
            <w:tcW w:type="dxa" w:w="4032"/>
          </w:tcPr>
          <w:p>
            <w:r/>
            <w:r>
              <w:rPr>
                <w:sz w:val="20"/>
              </w:rPr>
              <w:t>L2 penalty applies equally to all coefficients — features need comparable scales for fair regularization</w:t>
            </w:r>
          </w:p>
        </w:tc>
      </w:tr>
      <w:tr>
        <w:tc>
          <w:tcPr>
            <w:tcW w:type="dxa" w:w="3312"/>
          </w:tcPr>
          <w:p>
            <w:r/>
            <w:r>
              <w:rPr>
                <w:sz w:val="20"/>
              </w:rPr>
              <w:t>Linear regression (OLS)</w:t>
            </w:r>
          </w:p>
        </w:tc>
        <w:tc>
          <w:tcPr>
            <w:tcW w:type="dxa" w:w="2160"/>
          </w:tcPr>
          <w:p>
            <w:r/>
            <w:r>
              <w:rPr>
                <w:sz w:val="20"/>
              </w:rPr>
              <w:t>No (mathematically)</w:t>
            </w:r>
          </w:p>
        </w:tc>
        <w:tc>
          <w:tcPr>
            <w:tcW w:type="dxa" w:w="4032"/>
          </w:tcPr>
          <w:p>
            <w:r/>
            <w:r>
              <w:rPr>
                <w:sz w:val="20"/>
              </w:rPr>
              <w:t>Coefficients adjust to scale, but interpretation is affected</w:t>
            </w:r>
          </w:p>
        </w:tc>
      </w:tr>
      <w:tr>
        <w:tc>
          <w:tcPr>
            <w:tcW w:type="dxa" w:w="3312"/>
          </w:tcPr>
          <w:p>
            <w:r/>
            <w:r>
              <w:rPr>
                <w:sz w:val="20"/>
              </w:rPr>
              <w:t>Neural networks</w:t>
            </w:r>
          </w:p>
        </w:tc>
        <w:tc>
          <w:tcPr>
            <w:tcW w:type="dxa" w:w="2160"/>
          </w:tcPr>
          <w:p>
            <w:r/>
            <w:r>
              <w:rPr>
                <w:sz w:val="20"/>
              </w:rPr>
              <w:t>Yes (mandatory)</w:t>
            </w:r>
          </w:p>
        </w:tc>
        <w:tc>
          <w:tcPr>
            <w:tcW w:type="dxa" w:w="4032"/>
          </w:tcPr>
          <w:p>
            <w:r/>
            <w:r>
              <w:rPr>
                <w:sz w:val="20"/>
              </w:rPr>
              <w:t>Gradient descent struggles with unscaled features</w:t>
            </w:r>
          </w:p>
        </w:tc>
      </w:tr>
      <w:tr>
        <w:tc>
          <w:tcPr>
            <w:tcW w:type="dxa" w:w="3312"/>
          </w:tcPr>
          <w:p>
            <w:r/>
            <w:r>
              <w:rPr>
                <w:sz w:val="20"/>
              </w:rPr>
              <w:t>K-means / KNN</w:t>
            </w:r>
          </w:p>
        </w:tc>
        <w:tc>
          <w:tcPr>
            <w:tcW w:type="dxa" w:w="2160"/>
          </w:tcPr>
          <w:p>
            <w:r/>
            <w:r>
              <w:rPr>
                <w:sz w:val="20"/>
              </w:rPr>
              <w:t>Yes (mandatory)</w:t>
            </w:r>
          </w:p>
        </w:tc>
        <w:tc>
          <w:tcPr>
            <w:tcW w:type="dxa" w:w="4032"/>
          </w:tcPr>
          <w:p>
            <w:r/>
            <w:r>
              <w:rPr>
                <w:sz w:val="20"/>
              </w:rPr>
              <w:t>Distance metrics dominated by largest-scale feature otherwise</w:t>
            </w:r>
          </w:p>
        </w:tc>
      </w:tr>
    </w:tbl>
    <w:p>
      <w:r>
        <w:rPr>
          <w:b w:val="0"/>
          <w:i/>
          <w:color w:val="555555"/>
          <w:sz w:val="22"/>
        </w:rPr>
        <w:t>For our Ridge baseline we used sklearn's default fit — coefficients are still interpretable as direction, and the WAPE comparison stays fair because all models score on the same actual sales scale.</w:t>
      </w:r>
    </w:p>
    <w:p>
      <w:pPr>
        <w:spacing w:after="60"/>
      </w:pPr>
    </w:p>
    <w:p>
      <w:r>
        <w:rPr>
          <w:b/>
          <w:color w:val="0277BD"/>
          <w:sz w:val="26"/>
        </w:rPr>
        <w:t>Bottom line for the talking point</w:t>
      </w:r>
    </w:p>
    <w:p>
      <w:r>
        <w:rPr>
          <w:b w:val="0"/>
          <w:i/>
          <w:sz w:val="22"/>
        </w:rPr>
        <w:t>"Because our chosen model is tree-based (XGBoost), we deliberately did not apply z-score or min-max scaling. Trees are scale-invariant — they make split decisions on raw thresholds, so scaling would add no benefit. What we did was type-coerce, fill missing values context-appropriately, and label-encode categoricals."</w:t>
      </w:r>
    </w:p>
    <w:p>
      <w:r>
        <w:br w:type="page"/>
      </w:r>
    </w:p>
    <w:p>
      <w:r>
        <w:rPr>
          <w:b/>
          <w:color w:val="003087"/>
          <w:sz w:val="34"/>
        </w:rPr>
        <w:t>Q3 · Hyperparameters of each of the 4 models</w:t>
      </w:r>
    </w:p>
    <w:p>
      <w:r>
        <w:rPr>
          <w:b w:val="0"/>
          <w:i/>
          <w:color w:val="555555"/>
          <w:sz w:val="22"/>
        </w:rPr>
        <w:t>All four models trained on the same train/test split (rolling time split, 85th percentile cutoff). Hyperparameters were chosen for cross-model fairness (same learning rate + tree count for both boosting models) and to mirror industry-standard retail forecasting configurations.</w:t>
      </w:r>
    </w:p>
    <w:p>
      <w:pPr>
        <w:spacing w:after="80"/>
      </w:pPr>
    </w:p>
    <w:p>
      <w:r>
        <w:rPr>
          <w:b/>
          <w:color w:val="2E7D32"/>
          <w:sz w:val="26"/>
        </w:rPr>
        <w:t>1. XGBoost — Primary Production Model</w:t>
      </w:r>
    </w:p>
    <w:tbl>
      <w:tblPr>
        <w:tblStyle w:val="LightGrid-Accent1"/>
        <w:tblW w:type="auto" w:w="0"/>
        <w:tblLook w:firstColumn="1" w:firstRow="1" w:lastColumn="0" w:lastRow="0" w:noHBand="0" w:noVBand="1" w:val="04A0"/>
      </w:tblPr>
      <w:tblGrid>
        <w:gridCol w:w="3408"/>
        <w:gridCol w:w="3408"/>
        <w:gridCol w:w="3408"/>
      </w:tblGrid>
      <w:tr>
        <w:tc>
          <w:tcPr>
            <w:tcW w:type="dxa" w:w="3312"/>
            <w:shd w:val="clear" w:color="auto" w:fill="003087"/>
          </w:tcPr>
          <w:p>
            <w:r/>
            <w:r>
              <w:rPr>
                <w:b/>
                <w:color w:val="FFFFFF"/>
                <w:sz w:val="21"/>
              </w:rPr>
              <w:t>Hyperparameter</w:t>
            </w:r>
          </w:p>
        </w:tc>
        <w:tc>
          <w:tcPr>
            <w:tcW w:type="dxa" w:w="2160"/>
            <w:shd w:val="clear" w:color="auto" w:fill="003087"/>
          </w:tcPr>
          <w:p>
            <w:r/>
            <w:r>
              <w:rPr>
                <w:b/>
                <w:color w:val="FFFFFF"/>
                <w:sz w:val="21"/>
              </w:rPr>
              <w:t>Value</w:t>
            </w:r>
          </w:p>
        </w:tc>
        <w:tc>
          <w:tcPr>
            <w:tcW w:type="dxa" w:w="4320"/>
            <w:shd w:val="clear" w:color="auto" w:fill="003087"/>
          </w:tcPr>
          <w:p>
            <w:r/>
            <w:r>
              <w:rPr>
                <w:b/>
                <w:color w:val="FFFFFF"/>
                <w:sz w:val="21"/>
              </w:rPr>
              <w:t>What it does</w:t>
            </w:r>
          </w:p>
        </w:tc>
      </w:tr>
      <w:tr>
        <w:tc>
          <w:tcPr>
            <w:tcW w:type="dxa" w:w="3312"/>
          </w:tcPr>
          <w:p>
            <w:r/>
            <w:r>
              <w:rPr>
                <w:sz w:val="20"/>
              </w:rPr>
              <w:t>n_estimators</w:t>
            </w:r>
          </w:p>
        </w:tc>
        <w:tc>
          <w:tcPr>
            <w:tcW w:type="dxa" w:w="2160"/>
          </w:tcPr>
          <w:p>
            <w:r/>
            <w:r>
              <w:rPr>
                <w:sz w:val="20"/>
              </w:rPr>
              <w:t>500</w:t>
            </w:r>
          </w:p>
        </w:tc>
        <w:tc>
          <w:tcPr>
            <w:tcW w:type="dxa" w:w="4320"/>
          </w:tcPr>
          <w:p>
            <w:r/>
            <w:r>
              <w:rPr>
                <w:sz w:val="20"/>
              </w:rPr>
              <w:t>Total trees built sequentially</w:t>
            </w:r>
          </w:p>
        </w:tc>
      </w:tr>
      <w:tr>
        <w:tc>
          <w:tcPr>
            <w:tcW w:type="dxa" w:w="3312"/>
          </w:tcPr>
          <w:p>
            <w:r/>
            <w:r>
              <w:rPr>
                <w:sz w:val="20"/>
              </w:rPr>
              <w:t>learning_rate</w:t>
            </w:r>
          </w:p>
        </w:tc>
        <w:tc>
          <w:tcPr>
            <w:tcW w:type="dxa" w:w="2160"/>
          </w:tcPr>
          <w:p>
            <w:r/>
            <w:r>
              <w:rPr>
                <w:sz w:val="20"/>
              </w:rPr>
              <w:t>0.05</w:t>
            </w:r>
          </w:p>
        </w:tc>
        <w:tc>
          <w:tcPr>
            <w:tcW w:type="dxa" w:w="4320"/>
          </w:tcPr>
          <w:p>
            <w:r/>
            <w:r>
              <w:rPr>
                <w:sz w:val="20"/>
              </w:rPr>
              <w:t>Each tree's contribution to the ensemble (small = stable convergence)</w:t>
            </w:r>
          </w:p>
        </w:tc>
      </w:tr>
      <w:tr>
        <w:tc>
          <w:tcPr>
            <w:tcW w:type="dxa" w:w="3312"/>
          </w:tcPr>
          <w:p>
            <w:r/>
            <w:r>
              <w:rPr>
                <w:sz w:val="20"/>
              </w:rPr>
              <w:t>max_depth</w:t>
            </w:r>
          </w:p>
        </w:tc>
        <w:tc>
          <w:tcPr>
            <w:tcW w:type="dxa" w:w="2160"/>
          </w:tcPr>
          <w:p>
            <w:r/>
            <w:r>
              <w:rPr>
                <w:sz w:val="20"/>
              </w:rPr>
              <w:t>7</w:t>
            </w:r>
          </w:p>
        </w:tc>
        <w:tc>
          <w:tcPr>
            <w:tcW w:type="dxa" w:w="4320"/>
          </w:tcPr>
          <w:p>
            <w:r/>
            <w:r>
              <w:rPr>
                <w:sz w:val="20"/>
              </w:rPr>
              <w:t>Maximum depth of each individual tree</w:t>
            </w:r>
          </w:p>
        </w:tc>
      </w:tr>
      <w:tr>
        <w:tc>
          <w:tcPr>
            <w:tcW w:type="dxa" w:w="3312"/>
          </w:tcPr>
          <w:p>
            <w:r/>
            <w:r>
              <w:rPr>
                <w:sz w:val="20"/>
              </w:rPr>
              <w:t>subsample</w:t>
            </w:r>
          </w:p>
        </w:tc>
        <w:tc>
          <w:tcPr>
            <w:tcW w:type="dxa" w:w="2160"/>
          </w:tcPr>
          <w:p>
            <w:r/>
            <w:r>
              <w:rPr>
                <w:sz w:val="20"/>
              </w:rPr>
              <w:t>0.8</w:t>
            </w:r>
          </w:p>
        </w:tc>
        <w:tc>
          <w:tcPr>
            <w:tcW w:type="dxa" w:w="4320"/>
          </w:tcPr>
          <w:p>
            <w:r/>
            <w:r>
              <w:rPr>
                <w:sz w:val="20"/>
              </w:rPr>
              <w:t>Random row sample per tree (see Q7)</w:t>
            </w:r>
          </w:p>
        </w:tc>
      </w:tr>
      <w:tr>
        <w:tc>
          <w:tcPr>
            <w:tcW w:type="dxa" w:w="3312"/>
          </w:tcPr>
          <w:p>
            <w:r/>
            <w:r>
              <w:rPr>
                <w:sz w:val="20"/>
              </w:rPr>
              <w:t>colsample_bytree</w:t>
            </w:r>
          </w:p>
        </w:tc>
        <w:tc>
          <w:tcPr>
            <w:tcW w:type="dxa" w:w="2160"/>
          </w:tcPr>
          <w:p>
            <w:r/>
            <w:r>
              <w:rPr>
                <w:sz w:val="20"/>
              </w:rPr>
              <w:t>0.8</w:t>
            </w:r>
          </w:p>
        </w:tc>
        <w:tc>
          <w:tcPr>
            <w:tcW w:type="dxa" w:w="4320"/>
          </w:tcPr>
          <w:p>
            <w:r/>
            <w:r>
              <w:rPr>
                <w:sz w:val="20"/>
              </w:rPr>
              <w:t>Random feature sample per tree (see Q7)</w:t>
            </w:r>
          </w:p>
        </w:tc>
      </w:tr>
      <w:tr>
        <w:tc>
          <w:tcPr>
            <w:tcW w:type="dxa" w:w="3312"/>
          </w:tcPr>
          <w:p>
            <w:r/>
            <w:r>
              <w:rPr>
                <w:sz w:val="20"/>
              </w:rPr>
              <w:t>objective</w:t>
            </w:r>
          </w:p>
        </w:tc>
        <w:tc>
          <w:tcPr>
            <w:tcW w:type="dxa" w:w="2160"/>
          </w:tcPr>
          <w:p>
            <w:r/>
            <w:r>
              <w:rPr>
                <w:sz w:val="20"/>
              </w:rPr>
              <w:t>reg:squarederror</w:t>
            </w:r>
          </w:p>
        </w:tc>
        <w:tc>
          <w:tcPr>
            <w:tcW w:type="dxa" w:w="4320"/>
          </w:tcPr>
          <w:p>
            <w:r/>
            <w:r>
              <w:rPr>
                <w:sz w:val="20"/>
              </w:rPr>
              <w:t>Mean-squared-error loss for regression</w:t>
            </w:r>
          </w:p>
        </w:tc>
      </w:tr>
      <w:tr>
        <w:tc>
          <w:tcPr>
            <w:tcW w:type="dxa" w:w="3312"/>
          </w:tcPr>
          <w:p>
            <w:r/>
            <w:r>
              <w:rPr>
                <w:sz w:val="20"/>
              </w:rPr>
              <w:t>early_stopping_rounds</w:t>
            </w:r>
          </w:p>
        </w:tc>
        <w:tc>
          <w:tcPr>
            <w:tcW w:type="dxa" w:w="2160"/>
          </w:tcPr>
          <w:p>
            <w:r/>
            <w:r>
              <w:rPr>
                <w:sz w:val="20"/>
              </w:rPr>
              <w:t>50</w:t>
            </w:r>
          </w:p>
        </w:tc>
        <w:tc>
          <w:tcPr>
            <w:tcW w:type="dxa" w:w="4320"/>
          </w:tcPr>
          <w:p>
            <w:r/>
            <w:r>
              <w:rPr>
                <w:sz w:val="20"/>
              </w:rPr>
              <w:t>Stop if validation loss stops improving for 50 rounds</w:t>
            </w:r>
          </w:p>
        </w:tc>
      </w:tr>
      <w:tr>
        <w:tc>
          <w:tcPr>
            <w:tcW w:type="dxa" w:w="3312"/>
          </w:tcPr>
          <w:p>
            <w:r/>
            <w:r>
              <w:rPr>
                <w:sz w:val="20"/>
              </w:rPr>
              <w:t>random_state</w:t>
            </w:r>
          </w:p>
        </w:tc>
        <w:tc>
          <w:tcPr>
            <w:tcW w:type="dxa" w:w="2160"/>
          </w:tcPr>
          <w:p>
            <w:r/>
            <w:r>
              <w:rPr>
                <w:sz w:val="20"/>
              </w:rPr>
              <w:t>42</w:t>
            </w:r>
          </w:p>
        </w:tc>
        <w:tc>
          <w:tcPr>
            <w:tcW w:type="dxa" w:w="4320"/>
          </w:tcPr>
          <w:p>
            <w:r/>
            <w:r>
              <w:rPr>
                <w:sz w:val="20"/>
              </w:rPr>
              <w:t>Fixed seed for reproducibility</w:t>
            </w:r>
          </w:p>
        </w:tc>
      </w:tr>
    </w:tbl>
    <w:p>
      <w:pPr>
        <w:spacing w:after="60"/>
      </w:pPr>
    </w:p>
    <w:p>
      <w:r>
        <w:rPr>
          <w:b/>
          <w:color w:val="0277BD"/>
          <w:sz w:val="26"/>
        </w:rPr>
        <w:t>2. LightGBM — Secondary Benchmark</w:t>
      </w:r>
    </w:p>
    <w:tbl>
      <w:tblPr>
        <w:tblStyle w:val="LightGrid-Accent1"/>
        <w:tblW w:type="auto" w:w="0"/>
        <w:tblLook w:firstColumn="1" w:firstRow="1" w:lastColumn="0" w:lastRow="0" w:noHBand="0" w:noVBand="1" w:val="04A0"/>
      </w:tblPr>
      <w:tblGrid>
        <w:gridCol w:w="3408"/>
        <w:gridCol w:w="3408"/>
        <w:gridCol w:w="3408"/>
      </w:tblGrid>
      <w:tr>
        <w:tc>
          <w:tcPr>
            <w:tcW w:type="dxa" w:w="3312"/>
            <w:shd w:val="clear" w:color="auto" w:fill="003087"/>
          </w:tcPr>
          <w:p>
            <w:r/>
            <w:r>
              <w:rPr>
                <w:b/>
                <w:color w:val="FFFFFF"/>
                <w:sz w:val="21"/>
              </w:rPr>
              <w:t>Hyperparameter</w:t>
            </w:r>
          </w:p>
        </w:tc>
        <w:tc>
          <w:tcPr>
            <w:tcW w:type="dxa" w:w="2160"/>
            <w:shd w:val="clear" w:color="auto" w:fill="003087"/>
          </w:tcPr>
          <w:p>
            <w:r/>
            <w:r>
              <w:rPr>
                <w:b/>
                <w:color w:val="FFFFFF"/>
                <w:sz w:val="21"/>
              </w:rPr>
              <w:t>Value</w:t>
            </w:r>
          </w:p>
        </w:tc>
        <w:tc>
          <w:tcPr>
            <w:tcW w:type="dxa" w:w="4320"/>
            <w:shd w:val="clear" w:color="auto" w:fill="003087"/>
          </w:tcPr>
          <w:p>
            <w:r/>
            <w:r>
              <w:rPr>
                <w:b/>
                <w:color w:val="FFFFFF"/>
                <w:sz w:val="21"/>
              </w:rPr>
              <w:t>What it does</w:t>
            </w:r>
          </w:p>
        </w:tc>
      </w:tr>
      <w:tr>
        <w:tc>
          <w:tcPr>
            <w:tcW w:type="dxa" w:w="3312"/>
          </w:tcPr>
          <w:p>
            <w:r/>
            <w:r>
              <w:rPr>
                <w:sz w:val="20"/>
              </w:rPr>
              <w:t>n_estimators</w:t>
            </w:r>
          </w:p>
        </w:tc>
        <w:tc>
          <w:tcPr>
            <w:tcW w:type="dxa" w:w="2160"/>
          </w:tcPr>
          <w:p>
            <w:r/>
            <w:r>
              <w:rPr>
                <w:sz w:val="20"/>
              </w:rPr>
              <w:t>500</w:t>
            </w:r>
          </w:p>
        </w:tc>
        <w:tc>
          <w:tcPr>
            <w:tcW w:type="dxa" w:w="4320"/>
          </w:tcPr>
          <w:p>
            <w:r/>
            <w:r>
              <w:rPr>
                <w:sz w:val="20"/>
              </w:rPr>
              <w:t>Same as XGBoost for fair comparison</w:t>
            </w:r>
          </w:p>
        </w:tc>
      </w:tr>
      <w:tr>
        <w:tc>
          <w:tcPr>
            <w:tcW w:type="dxa" w:w="3312"/>
          </w:tcPr>
          <w:p>
            <w:r/>
            <w:r>
              <w:rPr>
                <w:sz w:val="20"/>
              </w:rPr>
              <w:t>learning_rate</w:t>
            </w:r>
          </w:p>
        </w:tc>
        <w:tc>
          <w:tcPr>
            <w:tcW w:type="dxa" w:w="2160"/>
          </w:tcPr>
          <w:p>
            <w:r/>
            <w:r>
              <w:rPr>
                <w:sz w:val="20"/>
              </w:rPr>
              <w:t>0.05</w:t>
            </w:r>
          </w:p>
        </w:tc>
        <w:tc>
          <w:tcPr>
            <w:tcW w:type="dxa" w:w="4320"/>
          </w:tcPr>
          <w:p>
            <w:r/>
            <w:r>
              <w:rPr>
                <w:sz w:val="20"/>
              </w:rPr>
              <w:t>Same as XGBoost</w:t>
            </w:r>
          </w:p>
        </w:tc>
      </w:tr>
      <w:tr>
        <w:tc>
          <w:tcPr>
            <w:tcW w:type="dxa" w:w="3312"/>
          </w:tcPr>
          <w:p>
            <w:r/>
            <w:r>
              <w:rPr>
                <w:sz w:val="20"/>
              </w:rPr>
              <w:t>max_depth</w:t>
            </w:r>
          </w:p>
        </w:tc>
        <w:tc>
          <w:tcPr>
            <w:tcW w:type="dxa" w:w="2160"/>
          </w:tcPr>
          <w:p>
            <w:r/>
            <w:r>
              <w:rPr>
                <w:sz w:val="20"/>
              </w:rPr>
              <w:t>8</w:t>
            </w:r>
          </w:p>
        </w:tc>
        <w:tc>
          <w:tcPr>
            <w:tcW w:type="dxa" w:w="4320"/>
          </w:tcPr>
          <w:p>
            <w:r/>
            <w:r>
              <w:rPr>
                <w:sz w:val="20"/>
              </w:rPr>
              <w:t>Slightly deeper because LightGBM grows leaf-wise</w:t>
            </w:r>
          </w:p>
        </w:tc>
      </w:tr>
      <w:tr>
        <w:tc>
          <w:tcPr>
            <w:tcW w:type="dxa" w:w="3312"/>
          </w:tcPr>
          <w:p>
            <w:r/>
            <w:r>
              <w:rPr>
                <w:sz w:val="20"/>
              </w:rPr>
              <w:t>num_leaves</w:t>
            </w:r>
          </w:p>
        </w:tc>
        <w:tc>
          <w:tcPr>
            <w:tcW w:type="dxa" w:w="2160"/>
          </w:tcPr>
          <w:p>
            <w:r/>
            <w:r>
              <w:rPr>
                <w:sz w:val="20"/>
              </w:rPr>
              <w:t>63</w:t>
            </w:r>
          </w:p>
        </w:tc>
        <w:tc>
          <w:tcPr>
            <w:tcW w:type="dxa" w:w="4320"/>
          </w:tcPr>
          <w:p>
            <w:r/>
            <w:r>
              <w:rPr>
                <w:sz w:val="20"/>
              </w:rPr>
              <w:t>Maximum leaves per tree (key LightGBM-specific control)</w:t>
            </w:r>
          </w:p>
        </w:tc>
      </w:tr>
      <w:tr>
        <w:tc>
          <w:tcPr>
            <w:tcW w:type="dxa" w:w="3312"/>
          </w:tcPr>
          <w:p>
            <w:r/>
            <w:r>
              <w:rPr>
                <w:sz w:val="20"/>
              </w:rPr>
              <w:t>min_child_samples</w:t>
            </w:r>
          </w:p>
        </w:tc>
        <w:tc>
          <w:tcPr>
            <w:tcW w:type="dxa" w:w="2160"/>
          </w:tcPr>
          <w:p>
            <w:r/>
            <w:r>
              <w:rPr>
                <w:sz w:val="20"/>
              </w:rPr>
              <w:t>50</w:t>
            </w:r>
          </w:p>
        </w:tc>
        <w:tc>
          <w:tcPr>
            <w:tcW w:type="dxa" w:w="4320"/>
          </w:tcPr>
          <w:p>
            <w:r/>
            <w:r>
              <w:rPr>
                <w:sz w:val="20"/>
              </w:rPr>
              <w:t>Minimum samples required in a leaf — prevents tiny over-fit splits</w:t>
            </w:r>
          </w:p>
        </w:tc>
      </w:tr>
      <w:tr>
        <w:tc>
          <w:tcPr>
            <w:tcW w:type="dxa" w:w="3312"/>
          </w:tcPr>
          <w:p>
            <w:r/>
            <w:r>
              <w:rPr>
                <w:sz w:val="20"/>
              </w:rPr>
              <w:t>subsample</w:t>
            </w:r>
          </w:p>
        </w:tc>
        <w:tc>
          <w:tcPr>
            <w:tcW w:type="dxa" w:w="2160"/>
          </w:tcPr>
          <w:p>
            <w:r/>
            <w:r>
              <w:rPr>
                <w:sz w:val="20"/>
              </w:rPr>
              <w:t>0.8</w:t>
            </w:r>
          </w:p>
        </w:tc>
        <w:tc>
          <w:tcPr>
            <w:tcW w:type="dxa" w:w="4320"/>
          </w:tcPr>
          <w:p>
            <w:r/>
            <w:r>
              <w:rPr>
                <w:sz w:val="20"/>
              </w:rPr>
              <w:t>Same as XGBoost</w:t>
            </w:r>
          </w:p>
        </w:tc>
      </w:tr>
      <w:tr>
        <w:tc>
          <w:tcPr>
            <w:tcW w:type="dxa" w:w="3312"/>
          </w:tcPr>
          <w:p>
            <w:r/>
            <w:r>
              <w:rPr>
                <w:sz w:val="20"/>
              </w:rPr>
              <w:t>colsample_bytree</w:t>
            </w:r>
          </w:p>
        </w:tc>
        <w:tc>
          <w:tcPr>
            <w:tcW w:type="dxa" w:w="2160"/>
          </w:tcPr>
          <w:p>
            <w:r/>
            <w:r>
              <w:rPr>
                <w:sz w:val="20"/>
              </w:rPr>
              <w:t>0.8</w:t>
            </w:r>
          </w:p>
        </w:tc>
        <w:tc>
          <w:tcPr>
            <w:tcW w:type="dxa" w:w="4320"/>
          </w:tcPr>
          <w:p>
            <w:r/>
            <w:r>
              <w:rPr>
                <w:sz w:val="20"/>
              </w:rPr>
              <w:t>Same as XGBoost</w:t>
            </w:r>
          </w:p>
        </w:tc>
      </w:tr>
      <w:tr>
        <w:tc>
          <w:tcPr>
            <w:tcW w:type="dxa" w:w="3312"/>
          </w:tcPr>
          <w:p>
            <w:r/>
            <w:r>
              <w:rPr>
                <w:sz w:val="20"/>
              </w:rPr>
              <w:t>objective</w:t>
            </w:r>
          </w:p>
        </w:tc>
        <w:tc>
          <w:tcPr>
            <w:tcW w:type="dxa" w:w="2160"/>
          </w:tcPr>
          <w:p>
            <w:r/>
            <w:r>
              <w:rPr>
                <w:sz w:val="20"/>
              </w:rPr>
              <w:t>regression</w:t>
            </w:r>
          </w:p>
        </w:tc>
        <w:tc>
          <w:tcPr>
            <w:tcW w:type="dxa" w:w="4320"/>
          </w:tcPr>
          <w:p>
            <w:r/>
            <w:r>
              <w:rPr>
                <w:sz w:val="20"/>
              </w:rPr>
              <w:t>Standard regression objective</w:t>
            </w:r>
          </w:p>
        </w:tc>
      </w:tr>
      <w:tr>
        <w:tc>
          <w:tcPr>
            <w:tcW w:type="dxa" w:w="3312"/>
          </w:tcPr>
          <w:p>
            <w:r/>
            <w:r>
              <w:rPr>
                <w:sz w:val="20"/>
              </w:rPr>
              <w:t>early_stopping_rounds</w:t>
            </w:r>
          </w:p>
        </w:tc>
        <w:tc>
          <w:tcPr>
            <w:tcW w:type="dxa" w:w="2160"/>
          </w:tcPr>
          <w:p>
            <w:r/>
            <w:r>
              <w:rPr>
                <w:sz w:val="20"/>
              </w:rPr>
              <w:t>50</w:t>
            </w:r>
          </w:p>
        </w:tc>
        <w:tc>
          <w:tcPr>
            <w:tcW w:type="dxa" w:w="4320"/>
          </w:tcPr>
          <w:p>
            <w:r/>
            <w:r>
              <w:rPr>
                <w:sz w:val="20"/>
              </w:rPr>
              <w:t>Same as XGBoost</w:t>
            </w:r>
          </w:p>
        </w:tc>
      </w:tr>
      <w:tr>
        <w:tc>
          <w:tcPr>
            <w:tcW w:type="dxa" w:w="3312"/>
          </w:tcPr>
          <w:p>
            <w:r/>
            <w:r>
              <w:rPr>
                <w:sz w:val="20"/>
              </w:rPr>
              <w:t>random_state</w:t>
            </w:r>
          </w:p>
        </w:tc>
        <w:tc>
          <w:tcPr>
            <w:tcW w:type="dxa" w:w="2160"/>
          </w:tcPr>
          <w:p>
            <w:r/>
            <w:r>
              <w:rPr>
                <w:sz w:val="20"/>
              </w:rPr>
              <w:t>42</w:t>
            </w:r>
          </w:p>
        </w:tc>
        <w:tc>
          <w:tcPr>
            <w:tcW w:type="dxa" w:w="4320"/>
          </w:tcPr>
          <w:p>
            <w:r/>
            <w:r>
              <w:rPr>
                <w:sz w:val="20"/>
              </w:rPr>
              <w:t>Same seed for reproducibility</w:t>
            </w:r>
          </w:p>
        </w:tc>
      </w:tr>
    </w:tbl>
    <w:p>
      <w:pPr>
        <w:spacing w:after="60"/>
      </w:pPr>
    </w:p>
    <w:p>
      <w:r>
        <w:rPr>
          <w:b/>
          <w:color w:val="6F42C1"/>
          <w:sz w:val="26"/>
        </w:rPr>
        <w:t>3. Ridge Regression — Linear Baseline</w:t>
      </w:r>
    </w:p>
    <w:tbl>
      <w:tblPr>
        <w:tblStyle w:val="LightGrid-Accent1"/>
        <w:tblW w:type="auto" w:w="0"/>
        <w:tblLook w:firstColumn="1" w:firstRow="1" w:lastColumn="0" w:lastRow="0" w:noHBand="0" w:noVBand="1" w:val="04A0"/>
      </w:tblPr>
      <w:tblGrid>
        <w:gridCol w:w="3408"/>
        <w:gridCol w:w="3408"/>
        <w:gridCol w:w="3408"/>
      </w:tblGrid>
      <w:tr>
        <w:tc>
          <w:tcPr>
            <w:tcW w:type="dxa" w:w="3312"/>
            <w:shd w:val="clear" w:color="auto" w:fill="003087"/>
          </w:tcPr>
          <w:p>
            <w:r/>
            <w:r>
              <w:rPr>
                <w:b/>
                <w:color w:val="FFFFFF"/>
                <w:sz w:val="21"/>
              </w:rPr>
              <w:t>Hyperparameter</w:t>
            </w:r>
          </w:p>
        </w:tc>
        <w:tc>
          <w:tcPr>
            <w:tcW w:type="dxa" w:w="2160"/>
            <w:shd w:val="clear" w:color="auto" w:fill="003087"/>
          </w:tcPr>
          <w:p>
            <w:r/>
            <w:r>
              <w:rPr>
                <w:b/>
                <w:color w:val="FFFFFF"/>
                <w:sz w:val="21"/>
              </w:rPr>
              <w:t>Value</w:t>
            </w:r>
          </w:p>
        </w:tc>
        <w:tc>
          <w:tcPr>
            <w:tcW w:type="dxa" w:w="4320"/>
            <w:shd w:val="clear" w:color="auto" w:fill="003087"/>
          </w:tcPr>
          <w:p>
            <w:r/>
            <w:r>
              <w:rPr>
                <w:b/>
                <w:color w:val="FFFFFF"/>
                <w:sz w:val="21"/>
              </w:rPr>
              <w:t>What it does</w:t>
            </w:r>
          </w:p>
        </w:tc>
      </w:tr>
      <w:tr>
        <w:tc>
          <w:tcPr>
            <w:tcW w:type="dxa" w:w="3312"/>
          </w:tcPr>
          <w:p>
            <w:r/>
            <w:r>
              <w:rPr>
                <w:sz w:val="20"/>
              </w:rPr>
              <w:t>alpha</w:t>
            </w:r>
          </w:p>
        </w:tc>
        <w:tc>
          <w:tcPr>
            <w:tcW w:type="dxa" w:w="2160"/>
          </w:tcPr>
          <w:p>
            <w:r/>
            <w:r>
              <w:rPr>
                <w:sz w:val="20"/>
              </w:rPr>
              <w:t>1.0</w:t>
            </w:r>
          </w:p>
        </w:tc>
        <w:tc>
          <w:tcPr>
            <w:tcW w:type="dxa" w:w="4320"/>
          </w:tcPr>
          <w:p>
            <w:r/>
            <w:r>
              <w:rPr>
                <w:sz w:val="20"/>
              </w:rPr>
              <w:t>L2 regularization strength (default sklearn value)</w:t>
            </w:r>
          </w:p>
        </w:tc>
      </w:tr>
      <w:tr>
        <w:tc>
          <w:tcPr>
            <w:tcW w:type="dxa" w:w="3312"/>
          </w:tcPr>
          <w:p>
            <w:r/>
            <w:r>
              <w:rPr>
                <w:sz w:val="20"/>
              </w:rPr>
              <w:t>fit_intercept</w:t>
            </w:r>
          </w:p>
        </w:tc>
        <w:tc>
          <w:tcPr>
            <w:tcW w:type="dxa" w:w="2160"/>
          </w:tcPr>
          <w:p>
            <w:r/>
            <w:r>
              <w:rPr>
                <w:sz w:val="20"/>
              </w:rPr>
              <w:t>True</w:t>
            </w:r>
          </w:p>
        </w:tc>
        <w:tc>
          <w:tcPr>
            <w:tcW w:type="dxa" w:w="4320"/>
          </w:tcPr>
          <w:p>
            <w:r/>
            <w:r>
              <w:rPr>
                <w:sz w:val="20"/>
              </w:rPr>
              <w:t>Allow non-zero intercept</w:t>
            </w:r>
          </w:p>
        </w:tc>
      </w:tr>
      <w:tr>
        <w:tc>
          <w:tcPr>
            <w:tcW w:type="dxa" w:w="3312"/>
          </w:tcPr>
          <w:p>
            <w:r/>
            <w:r>
              <w:rPr>
                <w:sz w:val="20"/>
              </w:rPr>
              <w:t>solver</w:t>
            </w:r>
          </w:p>
        </w:tc>
        <w:tc>
          <w:tcPr>
            <w:tcW w:type="dxa" w:w="2160"/>
          </w:tcPr>
          <w:p>
            <w:r/>
            <w:r>
              <w:rPr>
                <w:sz w:val="20"/>
              </w:rPr>
              <w:t>auto</w:t>
            </w:r>
          </w:p>
        </w:tc>
        <w:tc>
          <w:tcPr>
            <w:tcW w:type="dxa" w:w="4320"/>
          </w:tcPr>
          <w:p>
            <w:r/>
            <w:r>
              <w:rPr>
                <w:sz w:val="20"/>
              </w:rPr>
              <w:t>sklearn chooses based on data shape</w:t>
            </w:r>
          </w:p>
        </w:tc>
      </w:tr>
      <w:tr>
        <w:tc>
          <w:tcPr>
            <w:tcW w:type="dxa" w:w="3312"/>
          </w:tcPr>
          <w:p>
            <w:r/>
            <w:r>
              <w:rPr>
                <w:sz w:val="20"/>
              </w:rPr>
              <w:t>random_state</w:t>
            </w:r>
          </w:p>
        </w:tc>
        <w:tc>
          <w:tcPr>
            <w:tcW w:type="dxa" w:w="2160"/>
          </w:tcPr>
          <w:p>
            <w:r/>
            <w:r>
              <w:rPr>
                <w:sz w:val="20"/>
              </w:rPr>
              <w:t>42</w:t>
            </w:r>
          </w:p>
        </w:tc>
        <w:tc>
          <w:tcPr>
            <w:tcW w:type="dxa" w:w="4320"/>
          </w:tcPr>
          <w:p>
            <w:r/>
            <w:r>
              <w:rPr>
                <w:sz w:val="20"/>
              </w:rPr>
              <w:t>Reproducibility</w:t>
            </w:r>
          </w:p>
        </w:tc>
      </w:tr>
    </w:tbl>
    <w:p>
      <w:r>
        <w:rPr>
          <w:b w:val="0"/>
          <w:i/>
          <w:color w:val="555555"/>
          <w:sz w:val="22"/>
        </w:rPr>
        <w:t>Ridge serves as our linear sanity check. If the gradient-boosting models couldn't beat regularized linear regression, the added complexity wouldn't be justified. Ridge scored WAPE 7.11% — very close to XGBoost's 7.05%, telling us the relationship is fairly linear once lag features are present, but the non-linear models still edge it out.</w:t>
      </w:r>
    </w:p>
    <w:p>
      <w:pPr>
        <w:spacing w:after="60"/>
      </w:pPr>
    </w:p>
    <w:p>
      <w:r>
        <w:rPr>
          <w:b/>
          <w:color w:val="E65100"/>
          <w:sz w:val="26"/>
        </w:rPr>
        <w:t>4. Naive Lag-52 Baseline — Zero Hyperparameters</w:t>
      </w:r>
    </w:p>
    <w:p>
      <w:r>
        <w:rPr>
          <w:b w:val="0"/>
          <w:i w:val="0"/>
          <w:sz w:val="22"/>
        </w:rPr>
        <w:t>The simplest possible 'model': prediction for week t = actual sales at week t-52 (same week last year). There are no parameters to tune. This is the bar every real model must clear to justify its existence. WAPE = 8.27%. Our final model beats it by 15%.</w:t>
      </w:r>
    </w:p>
    <w:p>
      <w:pPr>
        <w:spacing w:after="80"/>
      </w:pPr>
    </w:p>
    <w:p>
      <w:r>
        <w:rPr>
          <w:b/>
          <w:color w:val="0277BD"/>
          <w:sz w:val="26"/>
        </w:rPr>
        <w:t>Head-to-head holdout results</w:t>
      </w:r>
    </w:p>
    <w:tbl>
      <w:tblPr>
        <w:tblStyle w:val="LightGrid-Accent1"/>
        <w:tblW w:type="auto" w:w="0"/>
        <w:tblLook w:firstColumn="1" w:firstRow="1" w:lastColumn="0" w:lastRow="0" w:noHBand="0" w:noVBand="1" w:val="04A0"/>
      </w:tblPr>
      <w:tblGrid>
        <w:gridCol w:w="2045"/>
        <w:gridCol w:w="2045"/>
        <w:gridCol w:w="2045"/>
        <w:gridCol w:w="2045"/>
        <w:gridCol w:w="2045"/>
      </w:tblGrid>
      <w:tr>
        <w:tc>
          <w:tcPr>
            <w:tcW w:type="dxa" w:w="2880"/>
            <w:shd w:val="clear" w:color="auto" w:fill="003087"/>
          </w:tcPr>
          <w:p>
            <w:r/>
            <w:r>
              <w:rPr>
                <w:b/>
                <w:color w:val="FFFFFF"/>
                <w:sz w:val="21"/>
              </w:rPr>
              <w:t>Model</w:t>
            </w:r>
          </w:p>
        </w:tc>
        <w:tc>
          <w:tcPr>
            <w:tcW w:type="dxa" w:w="1440"/>
            <w:shd w:val="clear" w:color="auto" w:fill="003087"/>
          </w:tcPr>
          <w:p>
            <w:r/>
            <w:r>
              <w:rPr>
                <w:b/>
                <w:color w:val="FFFFFF"/>
                <w:sz w:val="21"/>
              </w:rPr>
              <w:t>WAPE</w:t>
            </w:r>
          </w:p>
        </w:tc>
        <w:tc>
          <w:tcPr>
            <w:tcW w:type="dxa" w:w="1440"/>
            <w:shd w:val="clear" w:color="auto" w:fill="003087"/>
          </w:tcPr>
          <w:p>
            <w:r/>
            <w:r>
              <w:rPr>
                <w:b/>
                <w:color w:val="FFFFFF"/>
                <w:sz w:val="21"/>
              </w:rPr>
              <w:t>Bias</w:t>
            </w:r>
          </w:p>
        </w:tc>
        <w:tc>
          <w:tcPr>
            <w:tcW w:type="dxa" w:w="1440"/>
            <w:shd w:val="clear" w:color="auto" w:fill="003087"/>
          </w:tcPr>
          <w:p>
            <w:r/>
            <w:r>
              <w:rPr>
                <w:b/>
                <w:color w:val="FFFFFF"/>
                <w:sz w:val="21"/>
              </w:rPr>
              <w:t>R²</w:t>
            </w:r>
          </w:p>
        </w:tc>
        <w:tc>
          <w:tcPr>
            <w:tcW w:type="dxa" w:w="2880"/>
            <w:shd w:val="clear" w:color="auto" w:fill="003087"/>
          </w:tcPr>
          <w:p>
            <w:r/>
            <w:r>
              <w:rPr>
                <w:b/>
                <w:color w:val="FFFFFF"/>
                <w:sz w:val="21"/>
              </w:rPr>
              <w:t>Verdict</w:t>
            </w:r>
          </w:p>
        </w:tc>
      </w:tr>
      <w:tr>
        <w:tc>
          <w:tcPr>
            <w:tcW w:type="dxa" w:w="2880"/>
          </w:tcPr>
          <w:p>
            <w:r/>
            <w:r>
              <w:rPr>
                <w:sz w:val="20"/>
              </w:rPr>
              <w:t>XGBoost (selected)</w:t>
            </w:r>
          </w:p>
        </w:tc>
        <w:tc>
          <w:tcPr>
            <w:tcW w:type="dxa" w:w="1440"/>
          </w:tcPr>
          <w:p>
            <w:r/>
            <w:r>
              <w:rPr>
                <w:sz w:val="20"/>
              </w:rPr>
              <w:t>7.05%</w:t>
            </w:r>
          </w:p>
        </w:tc>
        <w:tc>
          <w:tcPr>
            <w:tcW w:type="dxa" w:w="1440"/>
          </w:tcPr>
          <w:p>
            <w:r/>
            <w:r>
              <w:rPr>
                <w:sz w:val="20"/>
              </w:rPr>
              <w:t>−0.97%</w:t>
            </w:r>
          </w:p>
        </w:tc>
        <w:tc>
          <w:tcPr>
            <w:tcW w:type="dxa" w:w="1440"/>
          </w:tcPr>
          <w:p>
            <w:r/>
            <w:r>
              <w:rPr>
                <w:sz w:val="20"/>
              </w:rPr>
              <w:t>0.9769</w:t>
            </w:r>
          </w:p>
        </w:tc>
        <w:tc>
          <w:tcPr>
            <w:tcW w:type="dxa" w:w="2880"/>
          </w:tcPr>
          <w:p>
            <w:r/>
            <w:r>
              <w:rPr>
                <w:sz w:val="20"/>
              </w:rPr>
              <w:t>Best balanced</w:t>
            </w:r>
          </w:p>
        </w:tc>
      </w:tr>
      <w:tr>
        <w:tc>
          <w:tcPr>
            <w:tcW w:type="dxa" w:w="2880"/>
          </w:tcPr>
          <w:p>
            <w:r/>
            <w:r>
              <w:rPr>
                <w:sz w:val="20"/>
              </w:rPr>
              <w:t>LightGBM</w:t>
            </w:r>
          </w:p>
        </w:tc>
        <w:tc>
          <w:tcPr>
            <w:tcW w:type="dxa" w:w="1440"/>
          </w:tcPr>
          <w:p>
            <w:r/>
            <w:r>
              <w:rPr>
                <w:sz w:val="20"/>
              </w:rPr>
              <w:t>7.07%</w:t>
            </w:r>
          </w:p>
        </w:tc>
        <w:tc>
          <w:tcPr>
            <w:tcW w:type="dxa" w:w="1440"/>
          </w:tcPr>
          <w:p>
            <w:r/>
            <w:r>
              <w:rPr>
                <w:sz w:val="20"/>
              </w:rPr>
              <w:t>−1.11%</w:t>
            </w:r>
          </w:p>
        </w:tc>
        <w:tc>
          <w:tcPr>
            <w:tcW w:type="dxa" w:w="1440"/>
          </w:tcPr>
          <w:p>
            <w:r/>
            <w:r>
              <w:rPr>
                <w:sz w:val="20"/>
              </w:rPr>
              <w:t>0.9773</w:t>
            </w:r>
          </w:p>
        </w:tc>
        <w:tc>
          <w:tcPr>
            <w:tcW w:type="dxa" w:w="2880"/>
          </w:tcPr>
          <w:p>
            <w:r/>
            <w:r>
              <w:rPr>
                <w:sz w:val="20"/>
              </w:rPr>
              <w:t>Confirms robustness</w:t>
            </w:r>
          </w:p>
        </w:tc>
      </w:tr>
      <w:tr>
        <w:tc>
          <w:tcPr>
            <w:tcW w:type="dxa" w:w="2880"/>
          </w:tcPr>
          <w:p>
            <w:r/>
            <w:r>
              <w:rPr>
                <w:sz w:val="20"/>
              </w:rPr>
              <w:t>Ridge</w:t>
            </w:r>
          </w:p>
        </w:tc>
        <w:tc>
          <w:tcPr>
            <w:tcW w:type="dxa" w:w="1440"/>
          </w:tcPr>
          <w:p>
            <w:r/>
            <w:r>
              <w:rPr>
                <w:sz w:val="20"/>
              </w:rPr>
              <w:t>7.11%</w:t>
            </w:r>
          </w:p>
        </w:tc>
        <w:tc>
          <w:tcPr>
            <w:tcW w:type="dxa" w:w="1440"/>
          </w:tcPr>
          <w:p>
            <w:r/>
            <w:r>
              <w:rPr>
                <w:sz w:val="20"/>
              </w:rPr>
              <w:t>+0.39%</w:t>
            </w:r>
          </w:p>
        </w:tc>
        <w:tc>
          <w:tcPr>
            <w:tcW w:type="dxa" w:w="1440"/>
          </w:tcPr>
          <w:p>
            <w:r/>
            <w:r>
              <w:rPr>
                <w:sz w:val="20"/>
              </w:rPr>
              <w:t>0.9783</w:t>
            </w:r>
          </w:p>
        </w:tc>
        <w:tc>
          <w:tcPr>
            <w:tcW w:type="dxa" w:w="2880"/>
          </w:tcPr>
          <w:p>
            <w:r/>
            <w:r>
              <w:rPr>
                <w:sz w:val="20"/>
              </w:rPr>
              <w:t>Strong linear baseline</w:t>
            </w:r>
          </w:p>
        </w:tc>
      </w:tr>
      <w:tr>
        <w:tc>
          <w:tcPr>
            <w:tcW w:type="dxa" w:w="2880"/>
          </w:tcPr>
          <w:p>
            <w:r/>
            <w:r>
              <w:rPr>
                <w:sz w:val="20"/>
              </w:rPr>
              <w:t>Naive (lag-52)</w:t>
            </w:r>
          </w:p>
        </w:tc>
        <w:tc>
          <w:tcPr>
            <w:tcW w:type="dxa" w:w="1440"/>
          </w:tcPr>
          <w:p>
            <w:r/>
            <w:r>
              <w:rPr>
                <w:sz w:val="20"/>
              </w:rPr>
              <w:t>8.27%</w:t>
            </w:r>
          </w:p>
        </w:tc>
        <w:tc>
          <w:tcPr>
            <w:tcW w:type="dxa" w:w="1440"/>
          </w:tcPr>
          <w:p>
            <w:r/>
            <w:r>
              <w:rPr>
                <w:sz w:val="20"/>
              </w:rPr>
              <w:t>+0.33%</w:t>
            </w:r>
          </w:p>
        </w:tc>
        <w:tc>
          <w:tcPr>
            <w:tcW w:type="dxa" w:w="1440"/>
          </w:tcPr>
          <w:p>
            <w:r/>
            <w:r>
              <w:rPr>
                <w:sz w:val="20"/>
              </w:rPr>
              <w:t>0.9648</w:t>
            </w:r>
          </w:p>
        </w:tc>
        <w:tc>
          <w:tcPr>
            <w:tcW w:type="dxa" w:w="2880"/>
          </w:tcPr>
          <w:p>
            <w:r/>
            <w:r>
              <w:rPr>
                <w:sz w:val="20"/>
              </w:rPr>
              <w:t>The bar to beat</w:t>
            </w:r>
          </w:p>
        </w:tc>
      </w:tr>
    </w:tbl>
    <w:p>
      <w:r>
        <w:br w:type="page"/>
      </w:r>
    </w:p>
    <w:p>
      <w:r>
        <w:rPr>
          <w:b/>
          <w:color w:val="003087"/>
          <w:sz w:val="34"/>
        </w:rPr>
        <w:t>Q4 · Why WAPE was chosen + the final feature weights</w:t>
      </w:r>
    </w:p>
    <w:p>
      <w:pPr>
        <w:spacing w:after="80"/>
      </w:pPr>
    </w:p>
    <w:p>
      <w:r>
        <w:rPr>
          <w:b/>
          <w:color w:val="0277BD"/>
          <w:sz w:val="26"/>
        </w:rPr>
        <w:t>Part A · Why WAPE (not MAPE, RMSE, or MAE)</w:t>
      </w:r>
    </w:p>
    <w:p>
      <w:r>
        <w:rPr>
          <w:b/>
          <w:i w:val="0"/>
          <w:sz w:val="22"/>
        </w:rPr>
        <w:t>WAPE = Weighted Absolute Percentage Error. Formula:</w:t>
      </w:r>
    </w:p>
    <w:p>
      <w:r>
        <w:rPr>
          <w:b w:val="0"/>
          <w:i/>
          <w:sz w:val="22"/>
        </w:rPr>
        <w:t xml:space="preserve">    WAPE = Σ |Actual − Predicted| / Σ Actual × 100</w:t>
      </w:r>
    </w:p>
    <w:p>
      <w:r>
        <w:rPr>
          <w:b/>
          <w:color w:val="6F42C1"/>
          <w:sz w:val="23"/>
        </w:rPr>
        <w:t>Plain-English meaning</w:t>
      </w:r>
    </w:p>
    <w:p>
      <w:r>
        <w:rPr>
          <w:b w:val="0"/>
          <w:i w:val="0"/>
          <w:sz w:val="22"/>
        </w:rPr>
        <w:t>Of every $100 of actual sales, how many dollars did the model miss by? Our 7.05% → about $7 of error per $100 sold.</w:t>
      </w:r>
    </w:p>
    <w:p>
      <w:pPr>
        <w:spacing w:after="60"/>
      </w:pPr>
    </w:p>
    <w:p>
      <w:r>
        <w:rPr>
          <w:b/>
          <w:color w:val="6F42C1"/>
          <w:sz w:val="23"/>
        </w:rPr>
        <w:t>Why WAPE beats the alternatives for retail</w:t>
      </w:r>
    </w:p>
    <w:tbl>
      <w:tblPr>
        <w:tblStyle w:val="LightGrid-Accent1"/>
        <w:tblW w:type="auto" w:w="0"/>
        <w:tblLook w:firstColumn="1" w:firstRow="1" w:lastColumn="0" w:lastRow="0" w:noHBand="0" w:noVBand="1" w:val="04A0"/>
      </w:tblPr>
      <w:tblGrid>
        <w:gridCol w:w="3408"/>
        <w:gridCol w:w="3408"/>
        <w:gridCol w:w="3408"/>
      </w:tblGrid>
      <w:tr>
        <w:tc>
          <w:tcPr>
            <w:tcW w:type="dxa" w:w="1440"/>
            <w:shd w:val="clear" w:color="auto" w:fill="003087"/>
          </w:tcPr>
          <w:p>
            <w:r/>
            <w:r>
              <w:rPr>
                <w:b/>
                <w:color w:val="FFFFFF"/>
                <w:sz w:val="21"/>
              </w:rPr>
              <w:t>Metric</w:t>
            </w:r>
          </w:p>
        </w:tc>
        <w:tc>
          <w:tcPr>
            <w:tcW w:type="dxa" w:w="4320"/>
            <w:shd w:val="clear" w:color="auto" w:fill="003087"/>
          </w:tcPr>
          <w:p>
            <w:r/>
            <w:r>
              <w:rPr>
                <w:b/>
                <w:color w:val="FFFFFF"/>
                <w:sz w:val="21"/>
              </w:rPr>
              <w:t>Issue</w:t>
            </w:r>
          </w:p>
        </w:tc>
        <w:tc>
          <w:tcPr>
            <w:tcW w:type="dxa" w:w="4320"/>
            <w:shd w:val="clear" w:color="auto" w:fill="003087"/>
          </w:tcPr>
          <w:p>
            <w:r/>
            <w:r>
              <w:rPr>
                <w:b/>
                <w:color w:val="FFFFFF"/>
                <w:sz w:val="21"/>
              </w:rPr>
              <w:t>Why WAPE wins</w:t>
            </w:r>
          </w:p>
        </w:tc>
      </w:tr>
      <w:tr>
        <w:tc>
          <w:tcPr>
            <w:tcW w:type="dxa" w:w="1440"/>
          </w:tcPr>
          <w:p>
            <w:r/>
            <w:r>
              <w:rPr>
                <w:sz w:val="20"/>
              </w:rPr>
              <w:t>MAPE</w:t>
            </w:r>
          </w:p>
        </w:tc>
        <w:tc>
          <w:tcPr>
            <w:tcW w:type="dxa" w:w="4320"/>
          </w:tcPr>
          <w:p>
            <w:r/>
            <w:r>
              <w:rPr>
                <w:sz w:val="20"/>
              </w:rPr>
              <w:t>Equal weight to a $1K store and a $50M store; explodes when actual is near zero</w:t>
            </w:r>
          </w:p>
        </w:tc>
        <w:tc>
          <w:tcPr>
            <w:tcW w:type="dxa" w:w="4320"/>
          </w:tcPr>
          <w:p>
            <w:r/>
            <w:r>
              <w:rPr>
                <w:sz w:val="20"/>
              </w:rPr>
              <w:t>WAPE weights by sales volume — bigger stores' errors count more, matching dollar risk</w:t>
            </w:r>
          </w:p>
        </w:tc>
      </w:tr>
      <w:tr>
        <w:tc>
          <w:tcPr>
            <w:tcW w:type="dxa" w:w="1440"/>
          </w:tcPr>
          <w:p>
            <w:r/>
            <w:r>
              <w:rPr>
                <w:sz w:val="20"/>
              </w:rPr>
              <w:t>RMSE</w:t>
            </w:r>
          </w:p>
        </w:tc>
        <w:tc>
          <w:tcPr>
            <w:tcW w:type="dxa" w:w="4320"/>
          </w:tcPr>
          <w:p>
            <w:r/>
            <w:r>
              <w:rPr>
                <w:sz w:val="20"/>
              </w:rPr>
              <w:t>Penalizes large errors quadratically; hard to interpret in dollar terms</w:t>
            </w:r>
          </w:p>
        </w:tc>
        <w:tc>
          <w:tcPr>
            <w:tcW w:type="dxa" w:w="4320"/>
          </w:tcPr>
          <w:p>
            <w:r/>
            <w:r>
              <w:rPr>
                <w:sz w:val="20"/>
              </w:rPr>
              <w:t>WAPE is a single intuitive percentage</w:t>
            </w:r>
          </w:p>
        </w:tc>
      </w:tr>
      <w:tr>
        <w:tc>
          <w:tcPr>
            <w:tcW w:type="dxa" w:w="1440"/>
          </w:tcPr>
          <w:p>
            <w:r/>
            <w:r>
              <w:rPr>
                <w:sz w:val="20"/>
              </w:rPr>
              <w:t>MAE (dollars)</w:t>
            </w:r>
          </w:p>
        </w:tc>
        <w:tc>
          <w:tcPr>
            <w:tcW w:type="dxa" w:w="4320"/>
          </w:tcPr>
          <w:p>
            <w:r/>
            <w:r>
              <w:rPr>
                <w:sz w:val="20"/>
              </w:rPr>
              <w:t>No sense of scale — is $50K error big or small?</w:t>
            </w:r>
          </w:p>
        </w:tc>
        <w:tc>
          <w:tcPr>
            <w:tcW w:type="dxa" w:w="4320"/>
          </w:tcPr>
          <w:p>
            <w:r/>
            <w:r>
              <w:rPr>
                <w:sz w:val="20"/>
              </w:rPr>
              <w:t>WAPE normalizes to % of actual, immediately scale-aware</w:t>
            </w:r>
          </w:p>
        </w:tc>
      </w:tr>
      <w:tr>
        <w:tc>
          <w:tcPr>
            <w:tcW w:type="dxa" w:w="1440"/>
          </w:tcPr>
          <w:p>
            <w:r/>
            <w:r>
              <w:rPr>
                <w:sz w:val="20"/>
              </w:rPr>
              <w:t>Bias %</w:t>
            </w:r>
          </w:p>
        </w:tc>
        <w:tc>
          <w:tcPr>
            <w:tcW w:type="dxa" w:w="4320"/>
          </w:tcPr>
          <w:p>
            <w:r/>
            <w:r>
              <w:rPr>
                <w:sz w:val="20"/>
              </w:rPr>
              <w:t>Only direction, not magnitude</w:t>
            </w:r>
          </w:p>
        </w:tc>
        <w:tc>
          <w:tcPr>
            <w:tcW w:type="dxa" w:w="4320"/>
          </w:tcPr>
          <w:p>
            <w:r/>
            <w:r>
              <w:rPr>
                <w:sz w:val="20"/>
              </w:rPr>
              <w:t>WAPE measures magnitude — we report bias separately as a second axis</w:t>
            </w:r>
          </w:p>
        </w:tc>
      </w:tr>
    </w:tbl>
    <w:p>
      <w:pPr>
        <w:spacing w:after="60"/>
      </w:pPr>
    </w:p>
    <w:p>
      <w:r>
        <w:rPr>
          <w:b/>
          <w:color w:val="6F42C1"/>
          <w:sz w:val="23"/>
        </w:rPr>
        <w:t>Industry standard</w:t>
      </w:r>
    </w:p>
    <w:p>
      <w:r>
        <w:rPr>
          <w:b w:val="0"/>
          <w:i w:val="0"/>
          <w:sz w:val="22"/>
        </w:rPr>
        <w:t>WAPE is the de-facto reporting metric for retail demand forecasting (used by Walmart, Amazon, Lowe's own legacy planning) precisely because it preserves dollar weighting and yields a single intuitive number.</w:t>
      </w:r>
    </w:p>
    <w:p>
      <w:pPr>
        <w:spacing w:after="120"/>
      </w:pPr>
    </w:p>
    <w:p>
      <w:r>
        <w:rPr>
          <w:b/>
          <w:color w:val="0277BD"/>
          <w:sz w:val="26"/>
        </w:rPr>
        <w:t>Part B · The 16 feature weights (XGBoost importance)</w:t>
      </w:r>
    </w:p>
    <w:p>
      <w:r>
        <w:rPr>
          <w:b w:val="0"/>
          <w:i/>
          <w:color w:val="555555"/>
          <w:sz w:val="22"/>
        </w:rPr>
        <w:t>These are the relative importance scores XGBoost assigned each feature based on how often and how decisively the feature was used to split data across all 500 trees. Importance is normalized to sum to 100%.</w:t>
      </w:r>
    </w:p>
    <w:p>
      <w:pPr>
        <w:spacing w:after="60"/>
      </w:pPr>
    </w:p>
    <w:tbl>
      <w:tblPr>
        <w:tblStyle w:val="LightGrid-Accent1"/>
        <w:tblW w:type="auto" w:w="0"/>
        <w:tblLook w:firstColumn="1" w:firstRow="1" w:lastColumn="0" w:lastRow="0" w:noHBand="0" w:noVBand="1" w:val="04A0"/>
      </w:tblPr>
      <w:tblGrid>
        <w:gridCol w:w="2556"/>
        <w:gridCol w:w="2556"/>
        <w:gridCol w:w="2556"/>
        <w:gridCol w:w="2556"/>
      </w:tblGrid>
      <w:tr>
        <w:tc>
          <w:tcPr>
            <w:tcW w:type="dxa" w:w="864"/>
            <w:shd w:val="clear" w:color="auto" w:fill="003087"/>
          </w:tcPr>
          <w:p>
            <w:r/>
            <w:r>
              <w:rPr>
                <w:b/>
                <w:color w:val="FFFFFF"/>
                <w:sz w:val="21"/>
              </w:rPr>
              <w:t>Rank</w:t>
            </w:r>
          </w:p>
        </w:tc>
        <w:tc>
          <w:tcPr>
            <w:tcW w:type="dxa" w:w="3312"/>
            <w:shd w:val="clear" w:color="auto" w:fill="003087"/>
          </w:tcPr>
          <w:p>
            <w:r/>
            <w:r>
              <w:rPr>
                <w:b/>
                <w:color w:val="FFFFFF"/>
                <w:sz w:val="21"/>
              </w:rPr>
              <w:t>Feature</w:t>
            </w:r>
          </w:p>
        </w:tc>
        <w:tc>
          <w:tcPr>
            <w:tcW w:type="dxa" w:w="2736"/>
            <w:shd w:val="clear" w:color="auto" w:fill="003087"/>
          </w:tcPr>
          <w:p>
            <w:r/>
            <w:r>
              <w:rPr>
                <w:b/>
                <w:color w:val="FFFFFF"/>
                <w:sz w:val="21"/>
              </w:rPr>
              <w:t>Group</w:t>
            </w:r>
          </w:p>
        </w:tc>
        <w:tc>
          <w:tcPr>
            <w:tcW w:type="dxa" w:w="1728"/>
            <w:shd w:val="clear" w:color="auto" w:fill="003087"/>
          </w:tcPr>
          <w:p>
            <w:r/>
            <w:r>
              <w:rPr>
                <w:b/>
                <w:color w:val="FFFFFF"/>
                <w:sz w:val="21"/>
              </w:rPr>
              <w:t>Importance %</w:t>
            </w:r>
          </w:p>
        </w:tc>
      </w:tr>
      <w:tr>
        <w:tc>
          <w:tcPr>
            <w:tcW w:type="dxa" w:w="864"/>
          </w:tcPr>
          <w:p>
            <w:r/>
            <w:r>
              <w:rPr>
                <w:sz w:val="20"/>
              </w:rPr>
              <w:t>1</w:t>
            </w:r>
          </w:p>
        </w:tc>
        <w:tc>
          <w:tcPr>
            <w:tcW w:type="dxa" w:w="3312"/>
          </w:tcPr>
          <w:p>
            <w:r/>
            <w:r>
              <w:rPr>
                <w:sz w:val="20"/>
              </w:rPr>
              <w:t>lag_1</w:t>
            </w:r>
          </w:p>
        </w:tc>
        <w:tc>
          <w:tcPr>
            <w:tcW w:type="dxa" w:w="2736"/>
          </w:tcPr>
          <w:p>
            <w:r/>
            <w:r>
              <w:rPr>
                <w:sz w:val="20"/>
              </w:rPr>
              <w:t>Lag / Momentum</w:t>
            </w:r>
          </w:p>
        </w:tc>
        <w:tc>
          <w:tcPr>
            <w:tcW w:type="dxa" w:w="1728"/>
          </w:tcPr>
          <w:p>
            <w:r/>
            <w:r>
              <w:rPr>
                <w:sz w:val="20"/>
              </w:rPr>
              <w:t>62.22%</w:t>
            </w:r>
          </w:p>
        </w:tc>
      </w:tr>
      <w:tr>
        <w:tc>
          <w:tcPr>
            <w:tcW w:type="dxa" w:w="864"/>
          </w:tcPr>
          <w:p>
            <w:r/>
            <w:r>
              <w:rPr>
                <w:sz w:val="20"/>
              </w:rPr>
              <w:t>2</w:t>
            </w:r>
          </w:p>
        </w:tc>
        <w:tc>
          <w:tcPr>
            <w:tcW w:type="dxa" w:w="3312"/>
          </w:tcPr>
          <w:p>
            <w:r/>
            <w:r>
              <w:rPr>
                <w:sz w:val="20"/>
              </w:rPr>
              <w:t>lag_4</w:t>
            </w:r>
          </w:p>
        </w:tc>
        <w:tc>
          <w:tcPr>
            <w:tcW w:type="dxa" w:w="2736"/>
          </w:tcPr>
          <w:p>
            <w:r/>
            <w:r>
              <w:rPr>
                <w:sz w:val="20"/>
              </w:rPr>
              <w:t>Lag / Momentum</w:t>
            </w:r>
          </w:p>
        </w:tc>
        <w:tc>
          <w:tcPr>
            <w:tcW w:type="dxa" w:w="1728"/>
          </w:tcPr>
          <w:p>
            <w:r/>
            <w:r>
              <w:rPr>
                <w:sz w:val="20"/>
              </w:rPr>
              <w:t>29.63%</w:t>
            </w:r>
          </w:p>
        </w:tc>
      </w:tr>
      <w:tr>
        <w:tc>
          <w:tcPr>
            <w:tcW w:type="dxa" w:w="864"/>
          </w:tcPr>
          <w:p>
            <w:r/>
            <w:r>
              <w:rPr>
                <w:sz w:val="20"/>
              </w:rPr>
              <w:t>3</w:t>
            </w:r>
          </w:p>
        </w:tc>
        <w:tc>
          <w:tcPr>
            <w:tcW w:type="dxa" w:w="3312"/>
          </w:tcPr>
          <w:p>
            <w:r/>
            <w:r>
              <w:rPr>
                <w:sz w:val="20"/>
              </w:rPr>
              <w:t>lag_52</w:t>
            </w:r>
          </w:p>
        </w:tc>
        <w:tc>
          <w:tcPr>
            <w:tcW w:type="dxa" w:w="2736"/>
          </w:tcPr>
          <w:p>
            <w:r/>
            <w:r>
              <w:rPr>
                <w:sz w:val="20"/>
              </w:rPr>
              <w:t>Lag / Momentum</w:t>
            </w:r>
          </w:p>
        </w:tc>
        <w:tc>
          <w:tcPr>
            <w:tcW w:type="dxa" w:w="1728"/>
          </w:tcPr>
          <w:p>
            <w:r/>
            <w:r>
              <w:rPr>
                <w:sz w:val="20"/>
              </w:rPr>
              <w:t>3.14%</w:t>
            </w:r>
          </w:p>
        </w:tc>
      </w:tr>
      <w:tr>
        <w:tc>
          <w:tcPr>
            <w:tcW w:type="dxa" w:w="864"/>
          </w:tcPr>
          <w:p>
            <w:r/>
            <w:r>
              <w:rPr>
                <w:sz w:val="20"/>
              </w:rPr>
              <w:t>4</w:t>
            </w:r>
          </w:p>
        </w:tc>
        <w:tc>
          <w:tcPr>
            <w:tcW w:type="dxa" w:w="3312"/>
          </w:tcPr>
          <w:p>
            <w:r/>
            <w:r>
              <w:rPr>
                <w:sz w:val="20"/>
              </w:rPr>
              <w:t>Wallflowers Depot (TA)</w:t>
            </w:r>
          </w:p>
        </w:tc>
        <w:tc>
          <w:tcPr>
            <w:tcW w:type="dxa" w:w="2736"/>
          </w:tcPr>
          <w:p>
            <w:r/>
            <w:r>
              <w:rPr>
                <w:sz w:val="20"/>
              </w:rPr>
              <w:t>Competition</w:t>
            </w:r>
          </w:p>
        </w:tc>
        <w:tc>
          <w:tcPr>
            <w:tcW w:type="dxa" w:w="1728"/>
          </w:tcPr>
          <w:p>
            <w:r/>
            <w:r>
              <w:rPr>
                <w:sz w:val="20"/>
              </w:rPr>
              <w:t>0.70%</w:t>
            </w:r>
          </w:p>
        </w:tc>
      </w:tr>
      <w:tr>
        <w:tc>
          <w:tcPr>
            <w:tcW w:type="dxa" w:w="864"/>
          </w:tcPr>
          <w:p>
            <w:r/>
            <w:r>
              <w:rPr>
                <w:sz w:val="20"/>
              </w:rPr>
              <w:t>5</w:t>
            </w:r>
          </w:p>
        </w:tc>
        <w:tc>
          <w:tcPr>
            <w:tcW w:type="dxa" w:w="3312"/>
          </w:tcPr>
          <w:p>
            <w:r/>
            <w:r>
              <w:rPr>
                <w:sz w:val="20"/>
              </w:rPr>
              <w:t>lag_13</w:t>
            </w:r>
          </w:p>
        </w:tc>
        <w:tc>
          <w:tcPr>
            <w:tcW w:type="dxa" w:w="2736"/>
          </w:tcPr>
          <w:p>
            <w:r/>
            <w:r>
              <w:rPr>
                <w:sz w:val="20"/>
              </w:rPr>
              <w:t>Lag / Momentum</w:t>
            </w:r>
          </w:p>
        </w:tc>
        <w:tc>
          <w:tcPr>
            <w:tcW w:type="dxa" w:w="1728"/>
          </w:tcPr>
          <w:p>
            <w:r/>
            <w:r>
              <w:rPr>
                <w:sz w:val="20"/>
              </w:rPr>
              <w:t>0.55%</w:t>
            </w:r>
          </w:p>
        </w:tc>
      </w:tr>
      <w:tr>
        <w:tc>
          <w:tcPr>
            <w:tcW w:type="dxa" w:w="864"/>
          </w:tcPr>
          <w:p>
            <w:r/>
            <w:r>
              <w:rPr>
                <w:sz w:val="20"/>
              </w:rPr>
              <w:t>6</w:t>
            </w:r>
          </w:p>
        </w:tc>
        <w:tc>
          <w:tcPr>
            <w:tcW w:type="dxa" w:w="3312"/>
          </w:tcPr>
          <w:p>
            <w:r/>
            <w:r>
              <w:rPr>
                <w:sz w:val="20"/>
              </w:rPr>
              <w:t>housing_new_share</w:t>
            </w:r>
          </w:p>
        </w:tc>
        <w:tc>
          <w:tcPr>
            <w:tcW w:type="dxa" w:w="2736"/>
          </w:tcPr>
          <w:p>
            <w:r/>
            <w:r>
              <w:rPr>
                <w:sz w:val="20"/>
              </w:rPr>
              <w:t>Demand – Engineered</w:t>
            </w:r>
          </w:p>
        </w:tc>
        <w:tc>
          <w:tcPr>
            <w:tcW w:type="dxa" w:w="1728"/>
          </w:tcPr>
          <w:p>
            <w:r/>
            <w:r>
              <w:rPr>
                <w:sz w:val="20"/>
              </w:rPr>
              <w:t>0.40%</w:t>
            </w:r>
          </w:p>
        </w:tc>
      </w:tr>
      <w:tr>
        <w:tc>
          <w:tcPr>
            <w:tcW w:type="dxa" w:w="864"/>
          </w:tcPr>
          <w:p>
            <w:r/>
            <w:r>
              <w:rPr>
                <w:sz w:val="20"/>
              </w:rPr>
              <w:t>7</w:t>
            </w:r>
          </w:p>
        </w:tc>
        <w:tc>
          <w:tcPr>
            <w:tcW w:type="dxa" w:w="3312"/>
          </w:tcPr>
          <w:p>
            <w:r/>
            <w:r>
              <w:rPr>
                <w:sz w:val="20"/>
              </w:rPr>
              <w:t>CYE Total Population</w:t>
            </w:r>
          </w:p>
        </w:tc>
        <w:tc>
          <w:tcPr>
            <w:tcW w:type="dxa" w:w="2736"/>
          </w:tcPr>
          <w:p>
            <w:r/>
            <w:r>
              <w:rPr>
                <w:sz w:val="20"/>
              </w:rPr>
              <w:t>Demand – Raw</w:t>
            </w:r>
          </w:p>
        </w:tc>
        <w:tc>
          <w:tcPr>
            <w:tcW w:type="dxa" w:w="1728"/>
          </w:tcPr>
          <w:p>
            <w:r/>
            <w:r>
              <w:rPr>
                <w:sz w:val="20"/>
              </w:rPr>
              <w:t>0.39%</w:t>
            </w:r>
          </w:p>
        </w:tc>
      </w:tr>
      <w:tr>
        <w:tc>
          <w:tcPr>
            <w:tcW w:type="dxa" w:w="864"/>
          </w:tcPr>
          <w:p>
            <w:r/>
            <w:r>
              <w:rPr>
                <w:sz w:val="20"/>
              </w:rPr>
              <w:t>8</w:t>
            </w:r>
          </w:p>
        </w:tc>
        <w:tc>
          <w:tcPr>
            <w:tcW w:type="dxa" w:w="3312"/>
          </w:tcPr>
          <w:p>
            <w:r/>
            <w:r>
              <w:rPr>
                <w:sz w:val="20"/>
              </w:rPr>
              <w:t>CYE Median HH Income</w:t>
            </w:r>
          </w:p>
        </w:tc>
        <w:tc>
          <w:tcPr>
            <w:tcW w:type="dxa" w:w="2736"/>
          </w:tcPr>
          <w:p>
            <w:r/>
            <w:r>
              <w:rPr>
                <w:sz w:val="20"/>
              </w:rPr>
              <w:t>Demand – Raw</w:t>
            </w:r>
          </w:p>
        </w:tc>
        <w:tc>
          <w:tcPr>
            <w:tcW w:type="dxa" w:w="1728"/>
          </w:tcPr>
          <w:p>
            <w:r/>
            <w:r>
              <w:rPr>
                <w:sz w:val="20"/>
              </w:rPr>
              <w:t>0.38%</w:t>
            </w:r>
          </w:p>
        </w:tc>
      </w:tr>
      <w:tr>
        <w:tc>
          <w:tcPr>
            <w:tcW w:type="dxa" w:w="864"/>
          </w:tcPr>
          <w:p>
            <w:r/>
            <w:r>
              <w:rPr>
                <w:sz w:val="20"/>
              </w:rPr>
              <w:t>9</w:t>
            </w:r>
          </w:p>
        </w:tc>
        <w:tc>
          <w:tcPr>
            <w:tcW w:type="dxa" w:w="3312"/>
          </w:tcPr>
          <w:p>
            <w:r/>
            <w:r>
              <w:rPr>
                <w:sz w:val="20"/>
              </w:rPr>
              <w:t>CYE Total Housing Units</w:t>
            </w:r>
          </w:p>
        </w:tc>
        <w:tc>
          <w:tcPr>
            <w:tcW w:type="dxa" w:w="2736"/>
          </w:tcPr>
          <w:p>
            <w:r/>
            <w:r>
              <w:rPr>
                <w:sz w:val="20"/>
              </w:rPr>
              <w:t>Demand – Raw</w:t>
            </w:r>
          </w:p>
        </w:tc>
        <w:tc>
          <w:tcPr>
            <w:tcW w:type="dxa" w:w="1728"/>
          </w:tcPr>
          <w:p>
            <w:r/>
            <w:r>
              <w:rPr>
                <w:sz w:val="20"/>
              </w:rPr>
              <w:t>0.36%</w:t>
            </w:r>
          </w:p>
        </w:tc>
      </w:tr>
      <w:tr>
        <w:tc>
          <w:tcPr>
            <w:tcW w:type="dxa" w:w="864"/>
          </w:tcPr>
          <w:p>
            <w:r/>
            <w:r>
              <w:rPr>
                <w:sz w:val="20"/>
              </w:rPr>
              <w:t>10</w:t>
            </w:r>
          </w:p>
        </w:tc>
        <w:tc>
          <w:tcPr>
            <w:tcW w:type="dxa" w:w="3312"/>
          </w:tcPr>
          <w:p>
            <w:r/>
            <w:r>
              <w:rPr>
                <w:sz w:val="20"/>
              </w:rPr>
              <w:t>income_affluent</w:t>
            </w:r>
          </w:p>
        </w:tc>
        <w:tc>
          <w:tcPr>
            <w:tcW w:type="dxa" w:w="2736"/>
          </w:tcPr>
          <w:p>
            <w:r/>
            <w:r>
              <w:rPr>
                <w:sz w:val="20"/>
              </w:rPr>
              <w:t>Demand – Engineered</w:t>
            </w:r>
          </w:p>
        </w:tc>
        <w:tc>
          <w:tcPr>
            <w:tcW w:type="dxa" w:w="1728"/>
          </w:tcPr>
          <w:p>
            <w:r/>
            <w:r>
              <w:rPr>
                <w:sz w:val="20"/>
              </w:rPr>
              <w:t>0.35%</w:t>
            </w:r>
          </w:p>
        </w:tc>
      </w:tr>
      <w:tr>
        <w:tc>
          <w:tcPr>
            <w:tcW w:type="dxa" w:w="864"/>
          </w:tcPr>
          <w:p>
            <w:r/>
            <w:r>
              <w:rPr>
                <w:sz w:val="20"/>
              </w:rPr>
              <w:t>11</w:t>
            </w:r>
          </w:p>
        </w:tc>
        <w:tc>
          <w:tcPr>
            <w:tcW w:type="dxa" w:w="3312"/>
          </w:tcPr>
          <w:p>
            <w:r/>
            <w:r>
              <w:rPr>
                <w:sz w:val="20"/>
              </w:rPr>
              <w:t>housing_old_share</w:t>
            </w:r>
          </w:p>
        </w:tc>
        <w:tc>
          <w:tcPr>
            <w:tcW w:type="dxa" w:w="2736"/>
          </w:tcPr>
          <w:p>
            <w:r/>
            <w:r>
              <w:rPr>
                <w:sz w:val="20"/>
              </w:rPr>
              <w:t>Demand – Engineered</w:t>
            </w:r>
          </w:p>
        </w:tc>
        <w:tc>
          <w:tcPr>
            <w:tcW w:type="dxa" w:w="1728"/>
          </w:tcPr>
          <w:p>
            <w:r/>
            <w:r>
              <w:rPr>
                <w:sz w:val="20"/>
              </w:rPr>
              <w:t>0.34%</w:t>
            </w:r>
          </w:p>
        </w:tc>
      </w:tr>
      <w:tr>
        <w:tc>
          <w:tcPr>
            <w:tcW w:type="dxa" w:w="864"/>
          </w:tcPr>
          <w:p>
            <w:r/>
            <w:r>
              <w:rPr>
                <w:sz w:val="20"/>
              </w:rPr>
              <w:t>12</w:t>
            </w:r>
          </w:p>
        </w:tc>
        <w:tc>
          <w:tcPr>
            <w:tcW w:type="dxa" w:w="3312"/>
          </w:tcPr>
          <w:p>
            <w:r/>
            <w:r>
              <w:rPr>
                <w:sz w:val="20"/>
              </w:rPr>
              <w:t>CYE HH Density / SqMi</w:t>
            </w:r>
          </w:p>
        </w:tc>
        <w:tc>
          <w:tcPr>
            <w:tcW w:type="dxa" w:w="2736"/>
          </w:tcPr>
          <w:p>
            <w:r/>
            <w:r>
              <w:rPr>
                <w:sz w:val="20"/>
              </w:rPr>
              <w:t>Demand – Raw</w:t>
            </w:r>
          </w:p>
        </w:tc>
        <w:tc>
          <w:tcPr>
            <w:tcW w:type="dxa" w:w="1728"/>
          </w:tcPr>
          <w:p>
            <w:r/>
            <w:r>
              <w:rPr>
                <w:sz w:val="20"/>
              </w:rPr>
              <w:t>0.34%</w:t>
            </w:r>
          </w:p>
        </w:tc>
      </w:tr>
      <w:tr>
        <w:tc>
          <w:tcPr>
            <w:tcW w:type="dxa" w:w="864"/>
          </w:tcPr>
          <w:p>
            <w:r/>
            <w:r>
              <w:rPr>
                <w:sz w:val="20"/>
              </w:rPr>
              <w:t>13</w:t>
            </w:r>
          </w:p>
        </w:tc>
        <w:tc>
          <w:tcPr>
            <w:tcW w:type="dxa" w:w="3312"/>
          </w:tcPr>
          <w:p>
            <w:r/>
            <w:r>
              <w:rPr>
                <w:sz w:val="20"/>
              </w:rPr>
              <w:t>Sister Store Count (TA)</w:t>
            </w:r>
          </w:p>
        </w:tc>
        <w:tc>
          <w:tcPr>
            <w:tcW w:type="dxa" w:w="2736"/>
          </w:tcPr>
          <w:p>
            <w:r/>
            <w:r>
              <w:rPr>
                <w:sz w:val="20"/>
              </w:rPr>
              <w:t>Competition</w:t>
            </w:r>
          </w:p>
        </w:tc>
        <w:tc>
          <w:tcPr>
            <w:tcW w:type="dxa" w:w="1728"/>
          </w:tcPr>
          <w:p>
            <w:r/>
            <w:r>
              <w:rPr>
                <w:sz w:val="20"/>
              </w:rPr>
              <w:t>0.34%</w:t>
            </w:r>
          </w:p>
        </w:tc>
      </w:tr>
      <w:tr>
        <w:tc>
          <w:tcPr>
            <w:tcW w:type="dxa" w:w="864"/>
          </w:tcPr>
          <w:p>
            <w:r/>
            <w:r>
              <w:rPr>
                <w:sz w:val="20"/>
              </w:rPr>
              <w:t>14</w:t>
            </w:r>
          </w:p>
        </w:tc>
        <w:tc>
          <w:tcPr>
            <w:tcW w:type="dxa" w:w="3312"/>
          </w:tcPr>
          <w:p>
            <w:r/>
            <w:r>
              <w:rPr>
                <w:sz w:val="20"/>
              </w:rPr>
              <w:t>total_competitor_ta</w:t>
            </w:r>
          </w:p>
        </w:tc>
        <w:tc>
          <w:tcPr>
            <w:tcW w:type="dxa" w:w="2736"/>
          </w:tcPr>
          <w:p>
            <w:r/>
            <w:r>
              <w:rPr>
                <w:sz w:val="20"/>
              </w:rPr>
              <w:t>Competition</w:t>
            </w:r>
          </w:p>
        </w:tc>
        <w:tc>
          <w:tcPr>
            <w:tcW w:type="dxa" w:w="1728"/>
          </w:tcPr>
          <w:p>
            <w:r/>
            <w:r>
              <w:rPr>
                <w:sz w:val="20"/>
              </w:rPr>
              <w:t>0.33%</w:t>
            </w:r>
          </w:p>
        </w:tc>
      </w:tr>
      <w:tr>
        <w:tc>
          <w:tcPr>
            <w:tcW w:type="dxa" w:w="864"/>
          </w:tcPr>
          <w:p>
            <w:r/>
            <w:r>
              <w:rPr>
                <w:sz w:val="20"/>
              </w:rPr>
              <w:t>15</w:t>
            </w:r>
          </w:p>
        </w:tc>
        <w:tc>
          <w:tcPr>
            <w:tcW w:type="dxa" w:w="3312"/>
          </w:tcPr>
          <w:p>
            <w:r/>
            <w:r>
              <w:rPr>
                <w:sz w:val="20"/>
              </w:rPr>
              <w:t>CYE Total Households</w:t>
            </w:r>
          </w:p>
        </w:tc>
        <w:tc>
          <w:tcPr>
            <w:tcW w:type="dxa" w:w="2736"/>
          </w:tcPr>
          <w:p>
            <w:r/>
            <w:r>
              <w:rPr>
                <w:sz w:val="20"/>
              </w:rPr>
              <w:t>Demand – Raw</w:t>
            </w:r>
          </w:p>
        </w:tc>
        <w:tc>
          <w:tcPr>
            <w:tcW w:type="dxa" w:w="1728"/>
          </w:tcPr>
          <w:p>
            <w:r/>
            <w:r>
              <w:rPr>
                <w:sz w:val="20"/>
              </w:rPr>
              <w:t>0.29%</w:t>
            </w:r>
          </w:p>
        </w:tc>
      </w:tr>
      <w:tr>
        <w:tc>
          <w:tcPr>
            <w:tcW w:type="dxa" w:w="864"/>
          </w:tcPr>
          <w:p>
            <w:r/>
            <w:r>
              <w:rPr>
                <w:sz w:val="20"/>
              </w:rPr>
              <w:t>16</w:t>
            </w:r>
          </w:p>
        </w:tc>
        <w:tc>
          <w:tcPr>
            <w:tcW w:type="dxa" w:w="3312"/>
          </w:tcPr>
          <w:p>
            <w:r/>
            <w:r>
              <w:rPr>
                <w:sz w:val="20"/>
              </w:rPr>
              <w:t>Urbanicity (encoded)</w:t>
            </w:r>
          </w:p>
        </w:tc>
        <w:tc>
          <w:tcPr>
            <w:tcW w:type="dxa" w:w="2736"/>
          </w:tcPr>
          <w:p>
            <w:r/>
            <w:r>
              <w:rPr>
                <w:sz w:val="20"/>
              </w:rPr>
              <w:t>Store / Market</w:t>
            </w:r>
          </w:p>
        </w:tc>
        <w:tc>
          <w:tcPr>
            <w:tcW w:type="dxa" w:w="1728"/>
          </w:tcPr>
          <w:p>
            <w:r/>
            <w:r>
              <w:rPr>
                <w:sz w:val="20"/>
              </w:rPr>
              <w:t>0.24%</w:t>
            </w:r>
          </w:p>
        </w:tc>
      </w:tr>
    </w:tbl>
    <w:p>
      <w:pPr>
        <w:spacing w:after="60"/>
      </w:pPr>
    </w:p>
    <w:p>
      <w:r>
        <w:rPr>
          <w:b/>
          <w:color w:val="6F42C1"/>
          <w:sz w:val="23"/>
        </w:rPr>
        <w:t>How to read the distribution</w:t>
      </w:r>
    </w:p>
    <w:p>
      <w:pPr>
        <w:pStyle w:val="ListBullet"/>
        <w:spacing w:after="60"/>
      </w:pPr>
      <w:r>
        <w:rPr>
          <w:sz w:val="22"/>
        </w:rPr>
        <w:t>Lag features dominate (95.5% combined): lag_1 + lag_4 = 91.85%. This is expected and correct for one-week-ahead forecasting — recent sales are the strongest predictor of next-week sales.</w:t>
      </w:r>
    </w:p>
    <w:p>
      <w:pPr>
        <w:pStyle w:val="ListBullet"/>
        <w:spacing w:after="60"/>
      </w:pPr>
      <w:r>
        <w:rPr>
          <w:sz w:val="22"/>
        </w:rPr>
        <w:t>Market features (housing, income, competition, population) collectively carry ~4% — small but non-zero. They differentiate stores when the lag signal is ambiguous.</w:t>
      </w:r>
    </w:p>
    <w:p>
      <w:pPr>
        <w:pStyle w:val="ListBullet"/>
        <w:spacing w:after="60"/>
      </w:pPr>
      <w:r>
        <w:rPr>
          <w:sz w:val="22"/>
        </w:rPr>
        <w:t>This distribution is healthy: a planner can defend any target by pointing to 'recent run rate, with adjustments for the local market context'.</w:t>
      </w:r>
    </w:p>
    <w:p>
      <w:r>
        <w:br w:type="page"/>
      </w:r>
    </w:p>
    <w:p>
      <w:r>
        <w:rPr>
          <w:b/>
          <w:color w:val="003087"/>
          <w:sz w:val="34"/>
        </w:rPr>
        <w:t>Q5 · How the 5 store-role groups are chosen + thresholds</w:t>
      </w:r>
    </w:p>
    <w:p>
      <w:pPr>
        <w:spacing w:after="80"/>
      </w:pPr>
    </w:p>
    <w:p>
      <w:r>
        <w:rPr>
          <w:b/>
          <w:color w:val="0277BD"/>
          <w:sz w:val="26"/>
        </w:rPr>
        <w:t>The 5 segments and what they mean</w:t>
      </w:r>
    </w:p>
    <w:tbl>
      <w:tblPr>
        <w:tblStyle w:val="LightGrid-Accent1"/>
        <w:tblW w:type="auto" w:w="0"/>
        <w:tblLook w:firstColumn="1" w:firstRow="1" w:lastColumn="0" w:lastRow="0" w:noHBand="0" w:noVBand="1" w:val="04A0"/>
      </w:tblPr>
      <w:tblGrid>
        <w:gridCol w:w="3408"/>
        <w:gridCol w:w="3408"/>
        <w:gridCol w:w="3408"/>
      </w:tblGrid>
      <w:tr>
        <w:tc>
          <w:tcPr>
            <w:tcW w:type="dxa" w:w="1872"/>
            <w:shd w:val="clear" w:color="auto" w:fill="003087"/>
          </w:tcPr>
          <w:p>
            <w:r/>
            <w:r>
              <w:rPr>
                <w:b/>
                <w:color w:val="FFFFFF"/>
                <w:sz w:val="21"/>
              </w:rPr>
              <w:t>Role</w:t>
            </w:r>
          </w:p>
        </w:tc>
        <w:tc>
          <w:tcPr>
            <w:tcW w:type="dxa" w:w="3600"/>
            <w:shd w:val="clear" w:color="auto" w:fill="003087"/>
          </w:tcPr>
          <w:p>
            <w:r/>
            <w:r>
              <w:rPr>
                <w:b/>
                <w:color w:val="FFFFFF"/>
                <w:sz w:val="21"/>
              </w:rPr>
              <w:t>What it signals</w:t>
            </w:r>
          </w:p>
        </w:tc>
        <w:tc>
          <w:tcPr>
            <w:tcW w:type="dxa" w:w="3744"/>
            <w:shd w:val="clear" w:color="auto" w:fill="003087"/>
          </w:tcPr>
          <w:p>
            <w:r/>
            <w:r>
              <w:rPr>
                <w:b/>
                <w:color w:val="FFFFFF"/>
                <w:sz w:val="21"/>
              </w:rPr>
              <w:t>Planner playbook</w:t>
            </w:r>
          </w:p>
        </w:tc>
      </w:tr>
      <w:tr>
        <w:tc>
          <w:tcPr>
            <w:tcW w:type="dxa" w:w="1872"/>
          </w:tcPr>
          <w:p>
            <w:r/>
            <w:r>
              <w:rPr>
                <w:sz w:val="20"/>
              </w:rPr>
              <w:t>High Growth</w:t>
            </w:r>
          </w:p>
        </w:tc>
        <w:tc>
          <w:tcPr>
            <w:tcW w:type="dxa" w:w="3600"/>
          </w:tcPr>
          <w:p>
            <w:r/>
            <w:r>
              <w:rPr>
                <w:sz w:val="20"/>
              </w:rPr>
              <w:t>Strong demand + store outperforming model</w:t>
            </w:r>
          </w:p>
        </w:tc>
        <w:tc>
          <w:tcPr>
            <w:tcW w:type="dxa" w:w="3744"/>
          </w:tcPr>
          <w:p>
            <w:r/>
            <w:r>
              <w:rPr>
                <w:sz w:val="20"/>
              </w:rPr>
              <w:t>Raise targets aggressively</w:t>
            </w:r>
          </w:p>
        </w:tc>
      </w:tr>
      <w:tr>
        <w:tc>
          <w:tcPr>
            <w:tcW w:type="dxa" w:w="1872"/>
          </w:tcPr>
          <w:p>
            <w:r/>
            <w:r>
              <w:rPr>
                <w:sz w:val="20"/>
              </w:rPr>
              <w:t>Growth</w:t>
            </w:r>
          </w:p>
        </w:tc>
        <w:tc>
          <w:tcPr>
            <w:tcW w:type="dxa" w:w="3600"/>
          </w:tcPr>
          <w:p>
            <w:r/>
            <w:r>
              <w:rPr>
                <w:sz w:val="20"/>
              </w:rPr>
              <w:t>Moderately positive market signals</w:t>
            </w:r>
          </w:p>
        </w:tc>
        <w:tc>
          <w:tcPr>
            <w:tcW w:type="dxa" w:w="3744"/>
          </w:tcPr>
          <w:p>
            <w:r/>
            <w:r>
              <w:rPr>
                <w:sz w:val="20"/>
              </w:rPr>
              <w:t>Use data-driven target as-is</w:t>
            </w:r>
          </w:p>
        </w:tc>
      </w:tr>
      <w:tr>
        <w:tc>
          <w:tcPr>
            <w:tcW w:type="dxa" w:w="1872"/>
          </w:tcPr>
          <w:p>
            <w:r/>
            <w:r>
              <w:rPr>
                <w:sz w:val="20"/>
              </w:rPr>
              <w:t>Neutral</w:t>
            </w:r>
          </w:p>
        </w:tc>
        <w:tc>
          <w:tcPr>
            <w:tcW w:type="dxa" w:w="3600"/>
          </w:tcPr>
          <w:p>
            <w:r/>
            <w:r>
              <w:rPr>
                <w:sz w:val="20"/>
              </w:rPr>
              <w:t>Balanced — no strong signal either way</w:t>
            </w:r>
          </w:p>
        </w:tc>
        <w:tc>
          <w:tcPr>
            <w:tcW w:type="dxa" w:w="3744"/>
          </w:tcPr>
          <w:p>
            <w:r/>
            <w:r>
              <w:rPr>
                <w:sz w:val="20"/>
              </w:rPr>
              <w:t>Hold pattern; standard target</w:t>
            </w:r>
          </w:p>
        </w:tc>
      </w:tr>
      <w:tr>
        <w:tc>
          <w:tcPr>
            <w:tcW w:type="dxa" w:w="1872"/>
          </w:tcPr>
          <w:p>
            <w:r/>
            <w:r>
              <w:rPr>
                <w:sz w:val="20"/>
              </w:rPr>
              <w:t>Maintain</w:t>
            </w:r>
          </w:p>
        </w:tc>
        <w:tc>
          <w:tcPr>
            <w:tcW w:type="dxa" w:w="3600"/>
          </w:tcPr>
          <w:p>
            <w:r/>
            <w:r>
              <w:rPr>
                <w:sz w:val="20"/>
              </w:rPr>
              <w:t>Stable demand, moderate competition</w:t>
            </w:r>
          </w:p>
        </w:tc>
        <w:tc>
          <w:tcPr>
            <w:tcW w:type="dxa" w:w="3744"/>
          </w:tcPr>
          <w:p>
            <w:r/>
            <w:r>
              <w:rPr>
                <w:sz w:val="20"/>
              </w:rPr>
              <w:t>Hold targets, monitor closely</w:t>
            </w:r>
          </w:p>
        </w:tc>
      </w:tr>
      <w:tr>
        <w:tc>
          <w:tcPr>
            <w:tcW w:type="dxa" w:w="1872"/>
          </w:tcPr>
          <w:p>
            <w:r/>
            <w:r>
              <w:rPr>
                <w:sz w:val="20"/>
              </w:rPr>
              <w:t>Defend</w:t>
            </w:r>
          </w:p>
        </w:tc>
        <w:tc>
          <w:tcPr>
            <w:tcW w:type="dxa" w:w="3600"/>
          </w:tcPr>
          <w:p>
            <w:r/>
            <w:r>
              <w:rPr>
                <w:sz w:val="20"/>
              </w:rPr>
              <w:t>High competition + store underperforming</w:t>
            </w:r>
          </w:p>
        </w:tc>
        <w:tc>
          <w:tcPr>
            <w:tcW w:type="dxa" w:w="3744"/>
          </w:tcPr>
          <w:p>
            <w:r/>
            <w:r>
              <w:rPr>
                <w:sz w:val="20"/>
              </w:rPr>
              <w:t>Conservative targets; protect share</w:t>
            </w:r>
          </w:p>
        </w:tc>
      </w:tr>
    </w:tbl>
    <w:p>
      <w:pPr>
        <w:spacing w:after="60"/>
      </w:pPr>
    </w:p>
    <w:p>
      <w:r>
        <w:rPr>
          <w:b/>
          <w:color w:val="0277BD"/>
          <w:sz w:val="26"/>
        </w:rPr>
        <w:t>The two composite scores</w:t>
      </w:r>
    </w:p>
    <w:p>
      <w:r>
        <w:rPr>
          <w:b/>
          <w:i w:val="0"/>
          <w:sz w:val="22"/>
        </w:rPr>
        <w:t>Each store gets two derived scores from its 16 features:</w:t>
      </w:r>
    </w:p>
    <w:p>
      <w:r>
        <w:rPr>
          <w:b w:val="0"/>
          <w:i/>
          <w:sz w:val="22"/>
        </w:rPr>
        <w:t xml:space="preserve">    growth_score = (CAGR_HH / 2) + (housing_new_share / 10) − (Bias_pct / 10)</w:t>
      </w:r>
    </w:p>
    <w:p>
      <w:r>
        <w:rPr>
          <w:b w:val="0"/>
          <w:i/>
          <w:sz w:val="22"/>
        </w:rPr>
        <w:t xml:space="preserve">    risk_score   = (total_competitor_ta / 50) + (Bias_pct / 10)</w:t>
      </w:r>
    </w:p>
    <w:p>
      <w:r>
        <w:rPr>
          <w:b w:val="0"/>
          <w:i/>
          <w:sz w:val="22"/>
        </w:rPr>
        <w:t xml:space="preserve">    net_score    = growth_score − risk_score</w:t>
      </w:r>
    </w:p>
    <w:p>
      <w:pPr>
        <w:spacing w:after="40"/>
      </w:pPr>
    </w:p>
    <w:p>
      <w:r>
        <w:rPr>
          <w:b/>
          <w:color w:val="6F42C1"/>
          <w:sz w:val="23"/>
        </w:rPr>
        <w:t>What each component captures</w:t>
      </w:r>
    </w:p>
    <w:p>
      <w:pPr>
        <w:pStyle w:val="ListBullet"/>
        <w:spacing w:after="60"/>
      </w:pPr>
      <w:r>
        <w:rPr>
          <w:sz w:val="22"/>
        </w:rPr>
        <w:t>CAGR HH 2010-2020 (positive) → household growth = forward demand expansion</w:t>
      </w:r>
    </w:p>
    <w:p>
      <w:pPr>
        <w:pStyle w:val="ListBullet"/>
        <w:spacing w:after="60"/>
      </w:pPr>
      <w:r>
        <w:rPr>
          <w:sz w:val="22"/>
        </w:rPr>
        <w:t>housing_new_share (positive) → new construction → new-homeowner improvement demand</w:t>
      </w:r>
    </w:p>
    <w:p>
      <w:pPr>
        <w:pStyle w:val="ListBullet"/>
        <w:spacing w:after="60"/>
      </w:pPr>
      <w:r>
        <w:rPr>
          <w:sz w:val="22"/>
        </w:rPr>
        <w:t>Negative bias % → model UNDER-predicts → store is outperforming → upward signal</w:t>
      </w:r>
    </w:p>
    <w:p>
      <w:pPr>
        <w:pStyle w:val="ListBullet"/>
        <w:spacing w:after="60"/>
      </w:pPr>
      <w:r>
        <w:rPr>
          <w:sz w:val="22"/>
        </w:rPr>
        <w:t>total_competitor_ta (positive) → more competition = more downward pressure</w:t>
      </w:r>
    </w:p>
    <w:p>
      <w:pPr>
        <w:pStyle w:val="ListBullet"/>
        <w:spacing w:after="60"/>
      </w:pPr>
      <w:r>
        <w:rPr>
          <w:sz w:val="22"/>
        </w:rPr>
        <w:t>Positive bias % → model OVER-predicts → store is underperforming → downward signal</w:t>
      </w:r>
    </w:p>
    <w:p>
      <w:pPr>
        <w:spacing w:after="60"/>
      </w:pPr>
    </w:p>
    <w:p>
      <w:r>
        <w:rPr>
          <w:b/>
          <w:color w:val="0277BD"/>
          <w:sz w:val="26"/>
        </w:rPr>
        <w:t>Why QUANTILE-based thresholds, not fixed cut-offs</w:t>
      </w:r>
    </w:p>
    <w:p>
      <w:r>
        <w:rPr>
          <w:b w:val="0"/>
          <w:i w:val="0"/>
          <w:sz w:val="22"/>
        </w:rPr>
        <w:t>Our first iteration used fixed thresholds (e.g., growth_score &gt; 1.5 = High Growth). Result was useless: 86% of stores landed in 'High Growth'. The growth_score distribution was right-skewed and most stores naturally scored above the fixed line.</w:t>
      </w:r>
    </w:p>
    <w:p>
      <w:r>
        <w:rPr>
          <w:b w:val="0"/>
          <w:i w:val="0"/>
          <w:sz w:val="22"/>
        </w:rPr>
        <w:t>Switched to quantile-based binning, which guarantees ~20% of stores in each segment regardless of underlying distribution shape.</w:t>
      </w:r>
    </w:p>
    <w:p>
      <w:pPr>
        <w:spacing w:after="60"/>
      </w:pPr>
    </w:p>
    <w:p>
      <w:r>
        <w:rPr>
          <w:b/>
          <w:color w:val="0277BD"/>
          <w:sz w:val="26"/>
        </w:rPr>
        <w:t>The thresholds (quantile-based)</w:t>
      </w:r>
    </w:p>
    <w:tbl>
      <w:tblPr>
        <w:tblStyle w:val="LightGrid-Accent1"/>
        <w:tblW w:type="auto" w:w="0"/>
        <w:tblLook w:firstColumn="1" w:firstRow="1" w:lastColumn="0" w:lastRow="0" w:noHBand="0" w:noVBand="1" w:val="04A0"/>
      </w:tblPr>
      <w:tblGrid>
        <w:gridCol w:w="2556"/>
        <w:gridCol w:w="2556"/>
        <w:gridCol w:w="2556"/>
        <w:gridCol w:w="2556"/>
      </w:tblGrid>
      <w:tr>
        <w:tc>
          <w:tcPr>
            <w:tcW w:type="dxa" w:w="2160"/>
            <w:shd w:val="clear" w:color="auto" w:fill="003087"/>
          </w:tcPr>
          <w:p>
            <w:r/>
            <w:r>
              <w:rPr>
                <w:b/>
                <w:color w:val="FFFFFF"/>
                <w:sz w:val="21"/>
              </w:rPr>
              <w:t>Segment</w:t>
            </w:r>
          </w:p>
        </w:tc>
        <w:tc>
          <w:tcPr>
            <w:tcW w:type="dxa" w:w="3600"/>
            <w:shd w:val="clear" w:color="auto" w:fill="003087"/>
          </w:tcPr>
          <w:p>
            <w:r/>
            <w:r>
              <w:rPr>
                <w:b/>
                <w:color w:val="FFFFFF"/>
                <w:sz w:val="21"/>
              </w:rPr>
              <w:t>Rule</w:t>
            </w:r>
          </w:p>
        </w:tc>
        <w:tc>
          <w:tcPr>
            <w:tcW w:type="dxa" w:w="1728"/>
            <w:shd w:val="clear" w:color="auto" w:fill="003087"/>
          </w:tcPr>
          <w:p>
            <w:r/>
            <w:r>
              <w:rPr>
                <w:b/>
                <w:color w:val="FFFFFF"/>
                <w:sz w:val="21"/>
              </w:rPr>
              <w:t>Stores</w:t>
            </w:r>
          </w:p>
        </w:tc>
        <w:tc>
          <w:tcPr>
            <w:tcW w:type="dxa" w:w="1872"/>
            <w:shd w:val="clear" w:color="auto" w:fill="003087"/>
          </w:tcPr>
          <w:p>
            <w:r/>
            <w:r>
              <w:rPr>
                <w:b/>
                <w:color w:val="FFFFFF"/>
                <w:sz w:val="21"/>
              </w:rPr>
              <w:t>% of total</w:t>
            </w:r>
          </w:p>
        </w:tc>
      </w:tr>
      <w:tr>
        <w:tc>
          <w:tcPr>
            <w:tcW w:type="dxa" w:w="2160"/>
          </w:tcPr>
          <w:p>
            <w:r/>
            <w:r>
              <w:rPr>
                <w:sz w:val="20"/>
              </w:rPr>
              <w:t>High Growth</w:t>
            </w:r>
          </w:p>
        </w:tc>
        <w:tc>
          <w:tcPr>
            <w:tcW w:type="dxa" w:w="3600"/>
          </w:tcPr>
          <w:p>
            <w:r/>
            <w:r>
              <w:rPr>
                <w:sz w:val="20"/>
              </w:rPr>
              <w:t>net_score ≥ 80th percentile</w:t>
            </w:r>
          </w:p>
        </w:tc>
        <w:tc>
          <w:tcPr>
            <w:tcW w:type="dxa" w:w="1728"/>
          </w:tcPr>
          <w:p>
            <w:r/>
            <w:r>
              <w:rPr>
                <w:sz w:val="20"/>
              </w:rPr>
              <w:t>346</w:t>
            </w:r>
          </w:p>
        </w:tc>
        <w:tc>
          <w:tcPr>
            <w:tcW w:type="dxa" w:w="1872"/>
          </w:tcPr>
          <w:p>
            <w:r/>
            <w:r>
              <w:rPr>
                <w:sz w:val="20"/>
              </w:rPr>
              <w:t>20.0%</w:t>
            </w:r>
          </w:p>
        </w:tc>
      </w:tr>
      <w:tr>
        <w:tc>
          <w:tcPr>
            <w:tcW w:type="dxa" w:w="2160"/>
          </w:tcPr>
          <w:p>
            <w:r/>
            <w:r>
              <w:rPr>
                <w:sz w:val="20"/>
              </w:rPr>
              <w:t>Growth</w:t>
            </w:r>
          </w:p>
        </w:tc>
        <w:tc>
          <w:tcPr>
            <w:tcW w:type="dxa" w:w="3600"/>
          </w:tcPr>
          <w:p>
            <w:r/>
            <w:r>
              <w:rPr>
                <w:sz w:val="20"/>
              </w:rPr>
              <w:t>60th to 80th percentile</w:t>
            </w:r>
          </w:p>
        </w:tc>
        <w:tc>
          <w:tcPr>
            <w:tcW w:type="dxa" w:w="1728"/>
          </w:tcPr>
          <w:p>
            <w:r/>
            <w:r>
              <w:rPr>
                <w:sz w:val="20"/>
              </w:rPr>
              <w:t>345</w:t>
            </w:r>
          </w:p>
        </w:tc>
        <w:tc>
          <w:tcPr>
            <w:tcW w:type="dxa" w:w="1872"/>
          </w:tcPr>
          <w:p>
            <w:r/>
            <w:r>
              <w:rPr>
                <w:sz w:val="20"/>
              </w:rPr>
              <w:t>20.0%</w:t>
            </w:r>
          </w:p>
        </w:tc>
      </w:tr>
      <w:tr>
        <w:tc>
          <w:tcPr>
            <w:tcW w:type="dxa" w:w="2160"/>
          </w:tcPr>
          <w:p>
            <w:r/>
            <w:r>
              <w:rPr>
                <w:sz w:val="20"/>
              </w:rPr>
              <w:t>Neutral</w:t>
            </w:r>
          </w:p>
        </w:tc>
        <w:tc>
          <w:tcPr>
            <w:tcW w:type="dxa" w:w="3600"/>
          </w:tcPr>
          <w:p>
            <w:r/>
            <w:r>
              <w:rPr>
                <w:sz w:val="20"/>
              </w:rPr>
              <w:t>40th to 60th percentile</w:t>
            </w:r>
          </w:p>
        </w:tc>
        <w:tc>
          <w:tcPr>
            <w:tcW w:type="dxa" w:w="1728"/>
          </w:tcPr>
          <w:p>
            <w:r/>
            <w:r>
              <w:rPr>
                <w:sz w:val="20"/>
              </w:rPr>
              <w:t>345</w:t>
            </w:r>
          </w:p>
        </w:tc>
        <w:tc>
          <w:tcPr>
            <w:tcW w:type="dxa" w:w="1872"/>
          </w:tcPr>
          <w:p>
            <w:r/>
            <w:r>
              <w:rPr>
                <w:sz w:val="20"/>
              </w:rPr>
              <w:t>20.0%</w:t>
            </w:r>
          </w:p>
        </w:tc>
      </w:tr>
      <w:tr>
        <w:tc>
          <w:tcPr>
            <w:tcW w:type="dxa" w:w="2160"/>
          </w:tcPr>
          <w:p>
            <w:r/>
            <w:r>
              <w:rPr>
                <w:sz w:val="20"/>
              </w:rPr>
              <w:t>Maintain</w:t>
            </w:r>
          </w:p>
        </w:tc>
        <w:tc>
          <w:tcPr>
            <w:tcW w:type="dxa" w:w="3600"/>
          </w:tcPr>
          <w:p>
            <w:r/>
            <w:r>
              <w:rPr>
                <w:sz w:val="20"/>
              </w:rPr>
              <w:t>20th to 40th percentile</w:t>
            </w:r>
          </w:p>
        </w:tc>
        <w:tc>
          <w:tcPr>
            <w:tcW w:type="dxa" w:w="1728"/>
          </w:tcPr>
          <w:p>
            <w:r/>
            <w:r>
              <w:rPr>
                <w:sz w:val="20"/>
              </w:rPr>
              <w:t>346</w:t>
            </w:r>
          </w:p>
        </w:tc>
        <w:tc>
          <w:tcPr>
            <w:tcW w:type="dxa" w:w="1872"/>
          </w:tcPr>
          <w:p>
            <w:r/>
            <w:r>
              <w:rPr>
                <w:sz w:val="20"/>
              </w:rPr>
              <w:t>20.0%</w:t>
            </w:r>
          </w:p>
        </w:tc>
      </w:tr>
      <w:tr>
        <w:tc>
          <w:tcPr>
            <w:tcW w:type="dxa" w:w="2160"/>
          </w:tcPr>
          <w:p>
            <w:r/>
            <w:r>
              <w:rPr>
                <w:sz w:val="20"/>
              </w:rPr>
              <w:t>Defend</w:t>
            </w:r>
          </w:p>
        </w:tc>
        <w:tc>
          <w:tcPr>
            <w:tcW w:type="dxa" w:w="3600"/>
          </w:tcPr>
          <w:p>
            <w:r/>
            <w:r>
              <w:rPr>
                <w:sz w:val="20"/>
              </w:rPr>
              <w:t>Below 20th percentile</w:t>
            </w:r>
          </w:p>
        </w:tc>
        <w:tc>
          <w:tcPr>
            <w:tcW w:type="dxa" w:w="1728"/>
          </w:tcPr>
          <w:p>
            <w:r/>
            <w:r>
              <w:rPr>
                <w:sz w:val="20"/>
              </w:rPr>
              <w:t>345</w:t>
            </w:r>
          </w:p>
        </w:tc>
        <w:tc>
          <w:tcPr>
            <w:tcW w:type="dxa" w:w="1872"/>
          </w:tcPr>
          <w:p>
            <w:r/>
            <w:r>
              <w:rPr>
                <w:sz w:val="20"/>
              </w:rPr>
              <w:t>20.0%</w:t>
            </w:r>
          </w:p>
        </w:tc>
      </w:tr>
    </w:tbl>
    <w:p>
      <w:r>
        <w:rPr>
          <w:b w:val="0"/>
          <w:i/>
          <w:color w:val="555555"/>
          <w:sz w:val="22"/>
        </w:rPr>
        <w:t>Total: 1,727 stores classified, ~20% in each of 5 segments.</w:t>
      </w:r>
    </w:p>
    <w:p>
      <w:pPr>
        <w:spacing w:after="80"/>
      </w:pPr>
    </w:p>
    <w:p>
      <w:r>
        <w:rPr>
          <w:b/>
          <w:color w:val="0277BD"/>
          <w:sz w:val="26"/>
        </w:rPr>
        <w:t>Critical caveat — this is a heuristic, not a learned classifier</w:t>
      </w:r>
    </w:p>
    <w:p>
      <w:r>
        <w:rPr>
          <w:b w:val="0"/>
          <w:i/>
          <w:sz w:val="22"/>
        </w:rPr>
        <w:t>Role-of-Store is a rule-based strategic OVERLAY, not a separate trained ML model. The composite scores use hand-chosen weights (divide-by-2 for CAGR, divide-by-10 for housing share, etc.) tuned for interpretability rather than optimality. A future iteration could replace this with a learned clustering algorithm (K-Means on standardized features).</w:t>
      </w:r>
    </w:p>
    <w:p>
      <w:r>
        <w:br w:type="page"/>
      </w:r>
    </w:p>
    <w:p>
      <w:r>
        <w:rPr>
          <w:b/>
          <w:color w:val="003087"/>
          <w:sz w:val="34"/>
        </w:rPr>
        <w:t>Q6 · Features ignored due to multicollinearity</w:t>
      </w:r>
    </w:p>
    <w:p>
      <w:pPr>
        <w:spacing w:after="80"/>
      </w:pPr>
    </w:p>
    <w:p>
      <w:r>
        <w:rPr>
          <w:b/>
          <w:color w:val="0277BD"/>
          <w:sz w:val="26"/>
        </w:rPr>
        <w:t>Categories of dropped features</w:t>
      </w:r>
    </w:p>
    <w:p>
      <w:r>
        <w:rPr>
          <w:b/>
          <w:color w:val="6F42C1"/>
          <w:sz w:val="23"/>
        </w:rPr>
        <w:t>Category A · Sum-to-100% groups (perfect multicollinearity)</w:t>
      </w:r>
    </w:p>
    <w:p>
      <w:r>
        <w:rPr>
          <w:b w:val="0"/>
          <w:i w:val="0"/>
          <w:sz w:val="22"/>
        </w:rPr>
        <w:t>These columns within a group sum to ~100 for every store, so they're mathematically redundant.</w:t>
      </w:r>
    </w:p>
    <w:p>
      <w:pPr>
        <w:spacing w:after="40"/>
      </w:pPr>
    </w:p>
    <w:p>
      <w:r>
        <w:rPr>
          <w:b/>
          <w:i w:val="0"/>
          <w:sz w:val="22"/>
        </w:rPr>
        <w:t>Income brackets — 8 columns reduced to 3 strategic shares + median:</w:t>
      </w:r>
    </w:p>
    <w:tbl>
      <w:tblPr>
        <w:tblStyle w:val="LightGrid-Accent1"/>
        <w:tblW w:type="auto" w:w="0"/>
        <w:tblLook w:firstColumn="1" w:firstRow="1" w:lastColumn="0" w:lastRow="0" w:noHBand="0" w:noVBand="1" w:val="04A0"/>
      </w:tblPr>
      <w:tblGrid>
        <w:gridCol w:w="5112"/>
        <w:gridCol w:w="5112"/>
      </w:tblGrid>
      <w:tr>
        <w:tc>
          <w:tcPr>
            <w:tcW w:type="dxa" w:w="4320"/>
            <w:shd w:val="clear" w:color="auto" w:fill="003087"/>
          </w:tcPr>
          <w:p>
            <w:r/>
            <w:r>
              <w:rPr>
                <w:b/>
                <w:color w:val="FFFFFF"/>
                <w:sz w:val="21"/>
              </w:rPr>
              <w:t>Dropped column</w:t>
            </w:r>
          </w:p>
        </w:tc>
        <w:tc>
          <w:tcPr>
            <w:tcW w:type="dxa" w:w="5472"/>
            <w:shd w:val="clear" w:color="auto" w:fill="003087"/>
          </w:tcPr>
          <w:p>
            <w:r/>
            <w:r>
              <w:rPr>
                <w:b/>
                <w:color w:val="FFFFFF"/>
                <w:sz w:val="21"/>
              </w:rPr>
              <w:t>Why redundant</w:t>
            </w:r>
          </w:p>
        </w:tc>
      </w:tr>
      <w:tr>
        <w:tc>
          <w:tcPr>
            <w:tcW w:type="dxa" w:w="4320"/>
          </w:tcPr>
          <w:p>
            <w:r/>
            <w:r>
              <w:rPr>
                <w:sz w:val="20"/>
              </w:rPr>
              <w:t>CYE % HH Income 25k-35k</w:t>
            </w:r>
          </w:p>
        </w:tc>
        <w:tc>
          <w:tcPr>
            <w:tcW w:type="dxa" w:w="5472"/>
          </w:tcPr>
          <w:p>
            <w:r/>
            <w:r>
              <w:rPr>
                <w:sz w:val="20"/>
              </w:rPr>
              <w:t>Captured by income_low_share aggregate</w:t>
            </w:r>
          </w:p>
        </w:tc>
      </w:tr>
      <w:tr>
        <w:tc>
          <w:tcPr>
            <w:tcW w:type="dxa" w:w="4320"/>
          </w:tcPr>
          <w:p>
            <w:r/>
            <w:r>
              <w:rPr>
                <w:sz w:val="20"/>
              </w:rPr>
              <w:t>CYE % HH Income 35k-50k</w:t>
            </w:r>
          </w:p>
        </w:tc>
        <w:tc>
          <w:tcPr>
            <w:tcW w:type="dxa" w:w="5472"/>
          </w:tcPr>
          <w:p>
            <w:r/>
            <w:r>
              <w:rPr>
                <w:sz w:val="20"/>
              </w:rPr>
              <w:t>Mid-low bracket — collapsed into low/diy aggregates</w:t>
            </w:r>
          </w:p>
        </w:tc>
      </w:tr>
      <w:tr>
        <w:tc>
          <w:tcPr>
            <w:tcW w:type="dxa" w:w="4320"/>
          </w:tcPr>
          <w:p>
            <w:r/>
            <w:r>
              <w:rPr>
                <w:sz w:val="20"/>
              </w:rPr>
              <w:t>CYE % HH Income 50k-75k</w:t>
            </w:r>
          </w:p>
        </w:tc>
        <w:tc>
          <w:tcPr>
            <w:tcW w:type="dxa" w:w="5472"/>
          </w:tcPr>
          <w:p>
            <w:r/>
            <w:r>
              <w:rPr>
                <w:sz w:val="20"/>
              </w:rPr>
              <w:t>Captured by income_diy_core (dropped in iteration 3)</w:t>
            </w:r>
          </w:p>
        </w:tc>
      </w:tr>
      <w:tr>
        <w:tc>
          <w:tcPr>
            <w:tcW w:type="dxa" w:w="4320"/>
          </w:tcPr>
          <w:p>
            <w:r/>
            <w:r>
              <w:rPr>
                <w:sz w:val="20"/>
              </w:rPr>
              <w:t>CYE % HH Income 75k-100K</w:t>
            </w:r>
          </w:p>
        </w:tc>
        <w:tc>
          <w:tcPr>
            <w:tcW w:type="dxa" w:w="5472"/>
          </w:tcPr>
          <w:p>
            <w:r/>
            <w:r>
              <w:rPr>
                <w:sz w:val="20"/>
              </w:rPr>
              <w:t>Captured by income_diy_core (dropped in iteration 3)</w:t>
            </w:r>
          </w:p>
        </w:tc>
      </w:tr>
      <w:tr>
        <w:tc>
          <w:tcPr>
            <w:tcW w:type="dxa" w:w="4320"/>
          </w:tcPr>
          <w:p>
            <w:r/>
            <w:r>
              <w:rPr>
                <w:sz w:val="20"/>
              </w:rPr>
              <w:t>CYE % HH Income 100k-150k</w:t>
            </w:r>
          </w:p>
        </w:tc>
        <w:tc>
          <w:tcPr>
            <w:tcW w:type="dxa" w:w="5472"/>
          </w:tcPr>
          <w:p>
            <w:r/>
            <w:r>
              <w:rPr>
                <w:sz w:val="20"/>
              </w:rPr>
              <w:t>Middle income — captured by median + adjacent aggregates</w:t>
            </w:r>
          </w:p>
        </w:tc>
      </w:tr>
      <w:tr>
        <w:tc>
          <w:tcPr>
            <w:tcW w:type="dxa" w:w="4320"/>
          </w:tcPr>
          <w:p>
            <w:r/>
            <w:r>
              <w:rPr>
                <w:sz w:val="20"/>
              </w:rPr>
              <w:t>CYE % HH Income 150k-250k</w:t>
            </w:r>
          </w:p>
        </w:tc>
        <w:tc>
          <w:tcPr>
            <w:tcW w:type="dxa" w:w="5472"/>
          </w:tcPr>
          <w:p>
            <w:r/>
            <w:r>
              <w:rPr>
                <w:sz w:val="20"/>
              </w:rPr>
              <w:t>Captured by income_affluent aggregate</w:t>
            </w:r>
          </w:p>
        </w:tc>
      </w:tr>
      <w:tr>
        <w:tc>
          <w:tcPr>
            <w:tcW w:type="dxa" w:w="4320"/>
          </w:tcPr>
          <w:p>
            <w:r/>
            <w:r>
              <w:rPr>
                <w:sz w:val="20"/>
              </w:rPr>
              <w:t>CYE % HH Income 250K Plus</w:t>
            </w:r>
          </w:p>
        </w:tc>
        <w:tc>
          <w:tcPr>
            <w:tcW w:type="dxa" w:w="5472"/>
          </w:tcPr>
          <w:p>
            <w:r/>
            <w:r>
              <w:rPr>
                <w:sz w:val="20"/>
              </w:rPr>
              <w:t>Captured by income_affluent aggregate (also 41.6% missing)</w:t>
            </w:r>
          </w:p>
        </w:tc>
      </w:tr>
    </w:tbl>
    <w:p>
      <w:pPr>
        <w:spacing w:after="60"/>
      </w:pPr>
    </w:p>
    <w:p>
      <w:r>
        <w:rPr>
          <w:b/>
          <w:i w:val="0"/>
          <w:sz w:val="22"/>
        </w:rPr>
        <w:t>Housing decade buckets — 9 columns reduced to median + 2 strategic shares:</w:t>
      </w:r>
    </w:p>
    <w:tbl>
      <w:tblPr>
        <w:tblStyle w:val="LightGrid-Accent1"/>
        <w:tblW w:type="auto" w:w="0"/>
        <w:tblLook w:firstColumn="1" w:firstRow="1" w:lastColumn="0" w:lastRow="0" w:noHBand="0" w:noVBand="1" w:val="04A0"/>
      </w:tblPr>
      <w:tblGrid>
        <w:gridCol w:w="5112"/>
        <w:gridCol w:w="5112"/>
      </w:tblGrid>
      <w:tr>
        <w:tc>
          <w:tcPr>
            <w:tcW w:type="dxa" w:w="4320"/>
            <w:shd w:val="clear" w:color="auto" w:fill="003087"/>
          </w:tcPr>
          <w:p>
            <w:r/>
            <w:r>
              <w:rPr>
                <w:b/>
                <w:color w:val="FFFFFF"/>
                <w:sz w:val="21"/>
              </w:rPr>
              <w:t>Dropped column</w:t>
            </w:r>
          </w:p>
        </w:tc>
        <w:tc>
          <w:tcPr>
            <w:tcW w:type="dxa" w:w="5472"/>
            <w:shd w:val="clear" w:color="auto" w:fill="003087"/>
          </w:tcPr>
          <w:p>
            <w:r/>
            <w:r>
              <w:rPr>
                <w:b/>
                <w:color w:val="FFFFFF"/>
                <w:sz w:val="21"/>
              </w:rPr>
              <w:t>Why redundant</w:t>
            </w:r>
          </w:p>
        </w:tc>
      </w:tr>
      <w:tr>
        <w:tc>
          <w:tcPr>
            <w:tcW w:type="dxa" w:w="4320"/>
          </w:tcPr>
          <w:p>
            <w:r/>
            <w:r>
              <w:rPr>
                <w:sz w:val="20"/>
              </w:rPr>
              <w:t>CYE % HU Built 1970-1979</w:t>
            </w:r>
          </w:p>
        </w:tc>
        <w:tc>
          <w:tcPr>
            <w:tcW w:type="dxa" w:w="5472"/>
          </w:tcPr>
          <w:p>
            <w:r/>
            <w:r>
              <w:rPr>
                <w:sz w:val="20"/>
              </w:rPr>
              <w:t>Middle decade — captured by Median Year Built</w:t>
            </w:r>
          </w:p>
        </w:tc>
      </w:tr>
      <w:tr>
        <w:tc>
          <w:tcPr>
            <w:tcW w:type="dxa" w:w="4320"/>
          </w:tcPr>
          <w:p>
            <w:r/>
            <w:r>
              <w:rPr>
                <w:sz w:val="20"/>
              </w:rPr>
              <w:t>CYE % HU Built 1980-1989</w:t>
            </w:r>
          </w:p>
        </w:tc>
        <w:tc>
          <w:tcPr>
            <w:tcW w:type="dxa" w:w="5472"/>
          </w:tcPr>
          <w:p>
            <w:r/>
            <w:r>
              <w:rPr>
                <w:sz w:val="20"/>
              </w:rPr>
              <w:t>Middle decade — captured by Median Year Built</w:t>
            </w:r>
          </w:p>
        </w:tc>
      </w:tr>
      <w:tr>
        <w:tc>
          <w:tcPr>
            <w:tcW w:type="dxa" w:w="4320"/>
          </w:tcPr>
          <w:p>
            <w:r/>
            <w:r>
              <w:rPr>
                <w:sz w:val="20"/>
              </w:rPr>
              <w:t>CYE % HU Built 1990-1999</w:t>
            </w:r>
          </w:p>
        </w:tc>
        <w:tc>
          <w:tcPr>
            <w:tcW w:type="dxa" w:w="5472"/>
          </w:tcPr>
          <w:p>
            <w:r/>
            <w:r>
              <w:rPr>
                <w:sz w:val="20"/>
              </w:rPr>
              <w:t>Middle decade — captured by Median Year Built</w:t>
            </w:r>
          </w:p>
        </w:tc>
      </w:tr>
      <w:tr>
        <w:tc>
          <w:tcPr>
            <w:tcW w:type="dxa" w:w="4320"/>
          </w:tcPr>
          <w:p>
            <w:r/>
            <w:r>
              <w:rPr>
                <w:sz w:val="20"/>
              </w:rPr>
              <w:t>CYE % HU Built 2020+</w:t>
            </w:r>
          </w:p>
        </w:tc>
        <w:tc>
          <w:tcPr>
            <w:tcW w:type="dxa" w:w="5472"/>
          </w:tcPr>
          <w:p>
            <w:r/>
            <w:r>
              <w:rPr>
                <w:sz w:val="20"/>
              </w:rPr>
              <w:t>Very small share in most areas — sparse signal</w:t>
            </w:r>
          </w:p>
        </w:tc>
      </w:tr>
    </w:tbl>
    <w:p>
      <w:pPr>
        <w:spacing w:after="60"/>
      </w:pPr>
    </w:p>
    <w:p>
      <w:r>
        <w:rPr>
          <w:b/>
          <w:color w:val="6F42C1"/>
          <w:sz w:val="23"/>
        </w:rPr>
        <w:t>Category B · Perfect inverses</w:t>
      </w:r>
    </w:p>
    <w:p>
      <w:r>
        <w:rPr>
          <w:b w:val="0"/>
          <w:i w:val="0"/>
          <w:sz w:val="22"/>
        </w:rPr>
        <w:t>CYE % Housing Units Rented = 100% − CYE % Housing Units Owned. Perfect linear redundancy → one is dropped (we kept % Owned because ownership drives improvement spend).</w:t>
      </w:r>
    </w:p>
    <w:p>
      <w:pPr>
        <w:spacing w:after="60"/>
      </w:pPr>
    </w:p>
    <w:p>
      <w:r>
        <w:rPr>
          <w:b/>
          <w:color w:val="6F42C1"/>
          <w:sz w:val="23"/>
        </w:rPr>
        <w:t>Category C · Aggregate vs component redundancy</w:t>
      </w:r>
    </w:p>
    <w:tbl>
      <w:tblPr>
        <w:tblStyle w:val="LightGrid-Accent1"/>
        <w:tblW w:type="auto" w:w="0"/>
        <w:tblLook w:firstColumn="1" w:firstRow="1" w:lastColumn="0" w:lastRow="0" w:noHBand="0" w:noVBand="1" w:val="04A0"/>
      </w:tblPr>
      <w:tblGrid>
        <w:gridCol w:w="5112"/>
        <w:gridCol w:w="5112"/>
      </w:tblGrid>
      <w:tr>
        <w:tc>
          <w:tcPr>
            <w:tcW w:type="dxa" w:w="4608"/>
            <w:shd w:val="clear" w:color="auto" w:fill="003087"/>
          </w:tcPr>
          <w:p>
            <w:r/>
            <w:r>
              <w:rPr>
                <w:b/>
                <w:color w:val="FFFFFF"/>
                <w:sz w:val="21"/>
              </w:rPr>
              <w:t>Dropped</w:t>
            </w:r>
          </w:p>
        </w:tc>
        <w:tc>
          <w:tcPr>
            <w:tcW w:type="dxa" w:w="5184"/>
            <w:shd w:val="clear" w:color="auto" w:fill="003087"/>
          </w:tcPr>
          <w:p>
            <w:r/>
            <w:r>
              <w:rPr>
                <w:b/>
                <w:color w:val="FFFFFF"/>
                <w:sz w:val="21"/>
              </w:rPr>
              <w:t>Why</w:t>
            </w:r>
          </w:p>
        </w:tc>
      </w:tr>
      <w:tr>
        <w:tc>
          <w:tcPr>
            <w:tcW w:type="dxa" w:w="4608"/>
          </w:tcPr>
          <w:p>
            <w:r/>
            <w:r>
              <w:rPr>
                <w:sz w:val="20"/>
              </w:rPr>
              <w:t>CYE Aggregate Family Household Income</w:t>
            </w:r>
          </w:p>
        </w:tc>
        <w:tc>
          <w:tcPr>
            <w:tcW w:type="dxa" w:w="5184"/>
          </w:tcPr>
          <w:p>
            <w:r/>
            <w:r>
              <w:rPr>
                <w:sz w:val="20"/>
              </w:rPr>
              <w:t>Equals Median × Total Households (redundant)</w:t>
            </w:r>
          </w:p>
        </w:tc>
      </w:tr>
      <w:tr>
        <w:tc>
          <w:tcPr>
            <w:tcW w:type="dxa" w:w="4608"/>
          </w:tcPr>
          <w:p>
            <w:r/>
            <w:r>
              <w:rPr>
                <w:sz w:val="20"/>
              </w:rPr>
              <w:t>CYE Average Mean Household Income</w:t>
            </w:r>
          </w:p>
        </w:tc>
        <w:tc>
          <w:tcPr>
            <w:tcW w:type="dxa" w:w="5184"/>
          </w:tcPr>
          <w:p>
            <w:r/>
            <w:r>
              <w:rPr>
                <w:sz w:val="20"/>
              </w:rPr>
              <w:t>Mean is sensitive to outliers; Median is more robust</w:t>
            </w:r>
          </w:p>
        </w:tc>
      </w:tr>
    </w:tbl>
    <w:p>
      <w:pPr>
        <w:spacing w:after="60"/>
      </w:pPr>
    </w:p>
    <w:p>
      <w:r>
        <w:rPr>
          <w:b/>
          <w:color w:val="6F42C1"/>
          <w:sz w:val="23"/>
        </w:rPr>
        <w:t>Category D · Distance-band duplicates (~80 columns dropped)</w:t>
      </w:r>
    </w:p>
    <w:p>
      <w:r>
        <w:rPr>
          <w:b w:val="0"/>
          <w:i w:val="0"/>
          <w:sz w:val="22"/>
        </w:rPr>
        <w:t>Each competitor has 5-6 distance band columns (Trade Area, 3mi, 5mi, 10mi, 0-11mi, 11-30mi) and they are heavily correlated. We kept TradeArea only — per Lowe's own methodology, the proprietary Trade Area captures ~70% of a store's true sales catchment, making it the gold standard.</w:t>
      </w:r>
    </w:p>
    <w:p>
      <w:pPr>
        <w:spacing w:after="60"/>
      </w:pPr>
    </w:p>
    <w:p>
      <w:r>
        <w:rPr>
          <w:b/>
          <w:color w:val="6F42C1"/>
          <w:sz w:val="23"/>
        </w:rPr>
        <w:t>Category E · Rolling features dropped in iteration 3</w:t>
      </w:r>
    </w:p>
    <w:p>
      <w:r>
        <w:rPr>
          <w:b w:val="0"/>
          <w:i/>
          <w:sz w:val="22"/>
        </w:rPr>
        <w:t>roll_4 and roll_13 were initially in the 40-feature set. After the first model iteration they accounted for ~44% of feature importance combined, masking the contributions of market features. We dropped them in iteration 3, accepting a small WAPE increase (6.21 → 7.05%) in exchange for:</w:t>
      </w:r>
    </w:p>
    <w:p>
      <w:pPr>
        <w:pStyle w:val="ListBullet"/>
        <w:spacing w:after="60"/>
      </w:pPr>
      <w:r>
        <w:rPr>
          <w:sz w:val="22"/>
        </w:rPr>
        <w:t>Bias improvement from −2.53% to −0.97% (near-zero)</w:t>
      </w:r>
    </w:p>
    <w:p>
      <w:pPr>
        <w:pStyle w:val="ListBullet"/>
        <w:spacing w:after="60"/>
      </w:pPr>
      <w:r>
        <w:rPr>
          <w:sz w:val="22"/>
        </w:rPr>
        <w:t>Better explainability — the model's drivers are now interpretable to a planner</w:t>
      </w:r>
    </w:p>
    <w:p>
      <w:pPr>
        <w:pStyle w:val="ListBullet"/>
        <w:spacing w:after="60"/>
      </w:pPr>
      <w:r>
        <w:rPr>
          <w:sz w:val="22"/>
        </w:rPr>
        <w:t>More balanced feature importance distribution</w:t>
      </w:r>
    </w:p>
    <w:p>
      <w:pPr>
        <w:spacing w:after="60"/>
      </w:pPr>
    </w:p>
    <w:p>
      <w:r>
        <w:rPr>
          <w:b/>
          <w:color w:val="0277BD"/>
          <w:sz w:val="26"/>
        </w:rPr>
        <w:t>Why these were 'less significant'</w:t>
      </w:r>
    </w:p>
    <w:p>
      <w:r>
        <w:rPr>
          <w:b/>
          <w:i w:val="0"/>
          <w:sz w:val="22"/>
        </w:rPr>
        <w:t>In all cases the dropped features carried duplicate or near-duplicate information. Key reasons:</w:t>
      </w:r>
    </w:p>
    <w:p>
      <w:pPr>
        <w:pStyle w:val="ListNumber"/>
        <w:spacing w:after="60"/>
      </w:pPr>
      <w:r>
        <w:rPr>
          <w:sz w:val="22"/>
        </w:rPr>
        <w:t>In linear models (Ridge), multicollinearity destabilizes coefficient estimates and inflates standard errors</w:t>
      </w:r>
    </w:p>
    <w:p>
      <w:pPr>
        <w:pStyle w:val="ListNumber"/>
        <w:spacing w:after="60"/>
      </w:pPr>
      <w:r>
        <w:rPr>
          <w:sz w:val="22"/>
        </w:rPr>
        <w:t>In tree models, correlated features compete for splits — one gets used, others sit idle, but they each add training cost and complicate feature-importance interpretation</w:t>
      </w:r>
    </w:p>
    <w:p>
      <w:pPr>
        <w:pStyle w:val="ListNumber"/>
        <w:spacing w:after="60"/>
      </w:pPr>
      <w:r>
        <w:rPr>
          <w:sz w:val="22"/>
        </w:rPr>
        <w:t>Fewer features means simpler explanations to business stakeholders (planners must defend targets)</w:t>
      </w:r>
    </w:p>
    <w:p>
      <w:pPr>
        <w:pStyle w:val="ListNumber"/>
        <w:spacing w:after="60"/>
      </w:pPr>
      <w:r>
        <w:rPr>
          <w:sz w:val="22"/>
        </w:rPr>
        <w:t>Reduces overfitting risk by lowering the model's effective degrees of freedom</w:t>
      </w:r>
    </w:p>
    <w:p>
      <w:pPr>
        <w:pStyle w:val="ListNumber"/>
        <w:spacing w:after="60"/>
      </w:pPr>
      <w:r>
        <w:rPr>
          <w:sz w:val="22"/>
        </w:rPr>
        <w:t>Faster training and inference</w:t>
      </w:r>
    </w:p>
    <w:p>
      <w:pPr>
        <w:spacing w:after="60"/>
      </w:pPr>
    </w:p>
    <w:p>
      <w:r>
        <w:rPr>
          <w:b/>
          <w:color w:val="0277BD"/>
          <w:sz w:val="26"/>
        </w:rPr>
        <w:t>The funnel summary</w:t>
      </w:r>
    </w:p>
    <w:p>
      <w:r>
        <w:rPr>
          <w:b w:val="0"/>
          <w:i w:val="0"/>
          <w:sz w:val="22"/>
        </w:rPr>
        <w:t>From 165 candidate features (after identity &amp; leakage drops) to the final 16 — multicollinearity removal alone accounted for ~100 of those dropped features (distance bands + income brackets + housing decades + inverses + redundant aggregates).</w:t>
      </w:r>
    </w:p>
    <w:p>
      <w:r>
        <w:br w:type="page"/>
      </w:r>
    </w:p>
    <w:p>
      <w:r>
        <w:rPr>
          <w:b/>
          <w:color w:val="003087"/>
          <w:sz w:val="34"/>
        </w:rPr>
        <w:t>Q7 · 'subsample 0.8' and 'colsample_bytree 0.8' in plain English</w:t>
      </w:r>
    </w:p>
    <w:p>
      <w:pPr>
        <w:spacing w:after="80"/>
      </w:pPr>
    </w:p>
    <w:p>
      <w:r>
        <w:rPr>
          <w:b/>
          <w:color w:val="0277BD"/>
          <w:sz w:val="26"/>
        </w:rPr>
        <w:t>The intuition: building a panel of judges</w:t>
      </w:r>
    </w:p>
    <w:p>
      <w:r>
        <w:rPr>
          <w:b w:val="0"/>
          <w:i/>
          <w:sz w:val="22"/>
        </w:rPr>
        <w:t xml:space="preserve">Imagine you're building a panel of 500 judges to make a decision (each judge = one tree). If all 500 judges had the exact same information and saw all the same evidence, they would make highly correlated decisions — and the panel's overall judgment wouldn't be much better than one expert. </w:t>
      </w:r>
    </w:p>
    <w:p>
      <w:r>
        <w:rPr>
          <w:b w:val="0"/>
          <w:i/>
          <w:sz w:val="22"/>
        </w:rPr>
        <w:t>XGBoost's solution: deliberately introduce randomness so each judge gets a slightly different view of the data, producing diverse opinions that average into a more robust final answer.</w:t>
      </w:r>
    </w:p>
    <w:p>
      <w:pPr>
        <w:spacing w:after="80"/>
      </w:pPr>
    </w:p>
    <w:p>
      <w:r>
        <w:rPr>
          <w:b/>
          <w:color w:val="0277BD"/>
          <w:sz w:val="26"/>
        </w:rPr>
        <w:t>subsample = 0.8</w:t>
      </w:r>
    </w:p>
    <w:p>
      <w:r>
        <w:rPr>
          <w:b/>
          <w:color w:val="6F42C1"/>
          <w:sz w:val="23"/>
        </w:rPr>
        <w:t>What it does</w:t>
      </w:r>
    </w:p>
    <w:p>
      <w:r>
        <w:rPr>
          <w:b w:val="0"/>
          <w:i w:val="0"/>
          <w:sz w:val="22"/>
        </w:rPr>
        <w:t>When building each individual tree, randomly select 80% of the training rows (store-week observations) and use ONLY those rows to fit that tree. The other 20% are temporarily ignored for that tree only — they may be used by the next tree.</w:t>
      </w:r>
    </w:p>
    <w:p>
      <w:pPr>
        <w:spacing w:after="40"/>
      </w:pPr>
    </w:p>
    <w:p>
      <w:r>
        <w:rPr>
          <w:b/>
          <w:color w:val="6F42C1"/>
          <w:sz w:val="23"/>
        </w:rPr>
        <w:t>Layman analogy</w:t>
      </w:r>
    </w:p>
    <w:p>
      <w:r>
        <w:rPr>
          <w:b w:val="0"/>
          <w:i w:val="0"/>
          <w:sz w:val="22"/>
        </w:rPr>
        <w:t>Think of it like getting feedback from 100 customers, but each focus group only invites a random 80 of them. Each focus group hears slightly different stories. The combined output across many focus groups is more representative than any single full-group session that one strong voice might dominate.</w:t>
      </w:r>
    </w:p>
    <w:p>
      <w:pPr>
        <w:spacing w:after="40"/>
      </w:pPr>
    </w:p>
    <w:p>
      <w:r>
        <w:rPr>
          <w:b/>
          <w:color w:val="6F42C1"/>
          <w:sz w:val="23"/>
        </w:rPr>
        <w:t>Why 0.8 specifically (not 1.0, not 0.5)</w:t>
      </w:r>
    </w:p>
    <w:p>
      <w:pPr>
        <w:pStyle w:val="ListBullet"/>
        <w:spacing w:after="60"/>
      </w:pPr>
      <w:r>
        <w:rPr>
          <w:sz w:val="22"/>
        </w:rPr>
        <w:t>1.0 means every tree sees all data → trees become too similar, ensemble loses diversity benefit, overfits to training set</w:t>
      </w:r>
    </w:p>
    <w:p>
      <w:pPr>
        <w:pStyle w:val="ListBullet"/>
        <w:spacing w:after="60"/>
      </w:pPr>
      <w:r>
        <w:rPr>
          <w:sz w:val="22"/>
        </w:rPr>
        <w:t>0.5 means each tree sees only half — too aggressive, each tree becomes weaker, noisier</w:t>
      </w:r>
    </w:p>
    <w:p>
      <w:pPr>
        <w:pStyle w:val="ListBullet"/>
        <w:spacing w:after="60"/>
      </w:pPr>
      <w:r>
        <w:rPr>
          <w:sz w:val="22"/>
        </w:rPr>
        <w:t>0.8 is the industry-standard sweet spot — enough diversity to regularize, enough data per tree to learn well</w:t>
      </w:r>
    </w:p>
    <w:p>
      <w:pPr>
        <w:spacing w:after="40"/>
      </w:pPr>
    </w:p>
    <w:p>
      <w:r>
        <w:rPr>
          <w:b/>
          <w:color w:val="6F42C1"/>
          <w:sz w:val="23"/>
        </w:rPr>
        <w:t>What it prevents</w:t>
      </w:r>
    </w:p>
    <w:p>
      <w:r>
        <w:rPr>
          <w:b w:val="0"/>
          <w:i w:val="0"/>
          <w:sz w:val="22"/>
        </w:rPr>
        <w:t>Overfitting. Without subsampling, an ensemble of 500 trees can memorize quirks of the exact training data (e.g., one particular store-week that had an unusual sale). Random subsampling makes the model robust to such quirks.</w:t>
      </w:r>
    </w:p>
    <w:p>
      <w:pPr>
        <w:spacing w:after="100"/>
      </w:pPr>
    </w:p>
    <w:p>
      <w:r>
        <w:rPr>
          <w:b/>
          <w:color w:val="0277BD"/>
          <w:sz w:val="26"/>
        </w:rPr>
        <w:t>colsample_bytree = 0.8</w:t>
      </w:r>
    </w:p>
    <w:p>
      <w:r>
        <w:rPr>
          <w:b/>
          <w:color w:val="6F42C1"/>
          <w:sz w:val="23"/>
        </w:rPr>
        <w:t>What it does</w:t>
      </w:r>
    </w:p>
    <w:p>
      <w:r>
        <w:rPr>
          <w:b w:val="0"/>
          <w:i w:val="0"/>
          <w:sz w:val="22"/>
        </w:rPr>
        <w:t>When building each individual tree, randomly select 80% of the FEATURES and consider only those features for the splits in that tree. The other 20% of features are unavailable to that tree.</w:t>
      </w:r>
    </w:p>
    <w:p>
      <w:pPr>
        <w:spacing w:after="40"/>
      </w:pPr>
    </w:p>
    <w:p>
      <w:r>
        <w:rPr>
          <w:b/>
          <w:color w:val="6F42C1"/>
          <w:sz w:val="23"/>
        </w:rPr>
        <w:t>Layman analogy</w:t>
      </w:r>
    </w:p>
    <w:p>
      <w:r>
        <w:rPr>
          <w:b w:val="0"/>
          <w:i w:val="0"/>
          <w:sz w:val="22"/>
        </w:rPr>
        <w:t>Imagine each judge in your panel is given only 80% of the available evidence to make their decision. Judge A might be shown lag_1, income, and competition but NOT housing share. Judge B might be shown housing share, urbanicity, and lag_4 but NOT lag_1. By forcing different judges to consider different evidence, you prevent any single piece of evidence from dominating every decision.</w:t>
      </w:r>
    </w:p>
    <w:p>
      <w:pPr>
        <w:spacing w:after="40"/>
      </w:pPr>
    </w:p>
    <w:p>
      <w:r>
        <w:rPr>
          <w:b/>
          <w:color w:val="6F42C1"/>
          <w:sz w:val="23"/>
        </w:rPr>
        <w:t>Why this matters HUGELY for our model specifically</w:t>
      </w:r>
    </w:p>
    <w:p>
      <w:r>
        <w:rPr>
          <w:b w:val="0"/>
          <w:i w:val="0"/>
          <w:sz w:val="22"/>
        </w:rPr>
        <w:t>Our lag_1 feature is so dominant (correlation 0.982 with target) that without colsample_bytree, every single one of the 500 trees would split on lag_1 first. Other features would never get a chance to contribute.</w:t>
      </w:r>
    </w:p>
    <w:p>
      <w:r>
        <w:rPr>
          <w:b w:val="0"/>
          <w:i/>
          <w:sz w:val="22"/>
        </w:rPr>
        <w:t>With colsample_bytree=0.8, lag_1 is unavailable in ~20% of trees. Those trees are FORCED to find their second-best feature — and that's exactly when market signals (housing, income, competition) get to shine. The end result: a model whose feature importance distribution is meaningful, not monopolized.</w:t>
      </w:r>
    </w:p>
    <w:p>
      <w:pPr>
        <w:spacing w:after="60"/>
      </w:pPr>
    </w:p>
    <w:p>
      <w:r>
        <w:rPr>
          <w:b/>
          <w:color w:val="6F42C1"/>
          <w:sz w:val="23"/>
        </w:rPr>
        <w:t>Effect on our reported feature importances</w:t>
      </w:r>
    </w:p>
    <w:p>
      <w:r>
        <w:rPr>
          <w:b w:val="0"/>
          <w:i w:val="0"/>
          <w:sz w:val="22"/>
        </w:rPr>
        <w:t>Compare what you'd see WITH vs WITHOUT colsample_bytree=0.8 (illustrative):</w:t>
      </w:r>
    </w:p>
    <w:tbl>
      <w:tblPr>
        <w:tblStyle w:val="LightGrid-Accent1"/>
        <w:tblW w:type="auto" w:w="0"/>
        <w:tblLook w:firstColumn="1" w:firstRow="1" w:lastColumn="0" w:lastRow="0" w:noHBand="0" w:noVBand="1" w:val="04A0"/>
      </w:tblPr>
      <w:tblGrid>
        <w:gridCol w:w="3408"/>
        <w:gridCol w:w="3408"/>
        <w:gridCol w:w="3408"/>
      </w:tblGrid>
      <w:tr>
        <w:tc>
          <w:tcPr>
            <w:tcW w:type="dxa" w:w="3168"/>
            <w:shd w:val="clear" w:color="auto" w:fill="003087"/>
          </w:tcPr>
          <w:p>
            <w:r/>
            <w:r>
              <w:rPr>
                <w:b/>
                <w:color w:val="FFFFFF"/>
                <w:sz w:val="21"/>
              </w:rPr>
              <w:t>Feature</w:t>
            </w:r>
          </w:p>
        </w:tc>
        <w:tc>
          <w:tcPr>
            <w:tcW w:type="dxa" w:w="3312"/>
            <w:shd w:val="clear" w:color="auto" w:fill="003087"/>
          </w:tcPr>
          <w:p>
            <w:r/>
            <w:r>
              <w:rPr>
                <w:b/>
                <w:color w:val="FFFFFF"/>
                <w:sz w:val="21"/>
              </w:rPr>
              <w:t>With colsample 1.0 (hypothetical)</w:t>
            </w:r>
          </w:p>
        </w:tc>
        <w:tc>
          <w:tcPr>
            <w:tcW w:type="dxa" w:w="3312"/>
            <w:shd w:val="clear" w:color="auto" w:fill="003087"/>
          </w:tcPr>
          <w:p>
            <w:r/>
            <w:r>
              <w:rPr>
                <w:b/>
                <w:color w:val="FFFFFF"/>
                <w:sz w:val="21"/>
              </w:rPr>
              <w:t>With colsample 0.8 (our model)</w:t>
            </w:r>
          </w:p>
        </w:tc>
      </w:tr>
      <w:tr>
        <w:tc>
          <w:tcPr>
            <w:tcW w:type="dxa" w:w="3168"/>
          </w:tcPr>
          <w:p>
            <w:r/>
            <w:r>
              <w:rPr>
                <w:sz w:val="20"/>
              </w:rPr>
              <w:t>lag_1</w:t>
            </w:r>
          </w:p>
        </w:tc>
        <w:tc>
          <w:tcPr>
            <w:tcW w:type="dxa" w:w="3312"/>
          </w:tcPr>
          <w:p>
            <w:r/>
            <w:r>
              <w:rPr>
                <w:sz w:val="20"/>
              </w:rPr>
              <w:t>~92%</w:t>
            </w:r>
          </w:p>
        </w:tc>
        <w:tc>
          <w:tcPr>
            <w:tcW w:type="dxa" w:w="3312"/>
          </w:tcPr>
          <w:p>
            <w:r/>
            <w:r>
              <w:rPr>
                <w:sz w:val="20"/>
              </w:rPr>
              <w:t>62.22%</w:t>
            </w:r>
          </w:p>
        </w:tc>
      </w:tr>
      <w:tr>
        <w:tc>
          <w:tcPr>
            <w:tcW w:type="dxa" w:w="3168"/>
          </w:tcPr>
          <w:p>
            <w:r/>
            <w:r>
              <w:rPr>
                <w:sz w:val="20"/>
              </w:rPr>
              <w:t>lag_4</w:t>
            </w:r>
          </w:p>
        </w:tc>
        <w:tc>
          <w:tcPr>
            <w:tcW w:type="dxa" w:w="3312"/>
          </w:tcPr>
          <w:p>
            <w:r/>
            <w:r>
              <w:rPr>
                <w:sz w:val="20"/>
              </w:rPr>
              <w:t>~5%</w:t>
            </w:r>
          </w:p>
        </w:tc>
        <w:tc>
          <w:tcPr>
            <w:tcW w:type="dxa" w:w="3312"/>
          </w:tcPr>
          <w:p>
            <w:r/>
            <w:r>
              <w:rPr>
                <w:sz w:val="20"/>
              </w:rPr>
              <w:t>29.63%</w:t>
            </w:r>
          </w:p>
        </w:tc>
      </w:tr>
      <w:tr>
        <w:tc>
          <w:tcPr>
            <w:tcW w:type="dxa" w:w="3168"/>
          </w:tcPr>
          <w:p>
            <w:r/>
            <w:r>
              <w:rPr>
                <w:sz w:val="20"/>
              </w:rPr>
              <w:t>Market features combined</w:t>
            </w:r>
          </w:p>
        </w:tc>
        <w:tc>
          <w:tcPr>
            <w:tcW w:type="dxa" w:w="3312"/>
          </w:tcPr>
          <w:p>
            <w:r/>
            <w:r>
              <w:rPr>
                <w:sz w:val="20"/>
              </w:rPr>
              <w:t>~3%</w:t>
            </w:r>
          </w:p>
        </w:tc>
        <w:tc>
          <w:tcPr>
            <w:tcW w:type="dxa" w:w="3312"/>
          </w:tcPr>
          <w:p>
            <w:r/>
            <w:r>
              <w:rPr>
                <w:sz w:val="20"/>
              </w:rPr>
              <w:t>~5%</w:t>
            </w:r>
          </w:p>
        </w:tc>
      </w:tr>
      <w:tr>
        <w:tc>
          <w:tcPr>
            <w:tcW w:type="dxa" w:w="3168"/>
          </w:tcPr>
          <w:p>
            <w:r/>
            <w:r>
              <w:rPr>
                <w:sz w:val="20"/>
              </w:rPr>
              <w:t>Explainability</w:t>
            </w:r>
          </w:p>
        </w:tc>
        <w:tc>
          <w:tcPr>
            <w:tcW w:type="dxa" w:w="3312"/>
          </w:tcPr>
          <w:p>
            <w:r/>
            <w:r>
              <w:rPr>
                <w:sz w:val="20"/>
              </w:rPr>
              <w:t>Black box (one feature drives everything)</w:t>
            </w:r>
          </w:p>
        </w:tc>
        <w:tc>
          <w:tcPr>
            <w:tcW w:type="dxa" w:w="3312"/>
          </w:tcPr>
          <w:p>
            <w:r/>
            <w:r>
              <w:rPr>
                <w:sz w:val="20"/>
              </w:rPr>
              <w:t>Defensible (4% explained by interpretable market signals)</w:t>
            </w:r>
          </w:p>
        </w:tc>
      </w:tr>
    </w:tbl>
    <w:p>
      <w:pPr>
        <w:spacing w:after="80"/>
      </w:pPr>
    </w:p>
    <w:p>
      <w:r>
        <w:rPr>
          <w:b/>
          <w:color w:val="0277BD"/>
          <w:sz w:val="26"/>
        </w:rPr>
        <w:t>Combined effect — why both matter</w:t>
      </w:r>
    </w:p>
    <w:p>
      <w:r>
        <w:rPr>
          <w:b/>
          <w:i w:val="0"/>
          <w:sz w:val="22"/>
        </w:rPr>
        <w:t>Both parameters introduce randomness, but along different axes:</w:t>
      </w:r>
    </w:p>
    <w:p>
      <w:pPr>
        <w:pStyle w:val="ListBullet"/>
        <w:spacing w:after="60"/>
      </w:pPr>
      <w:r>
        <w:rPr>
          <w:sz w:val="22"/>
        </w:rPr>
        <w:t>subsample randomizes WHICH OBSERVATIONS each tree learns from (rows)</w:t>
      </w:r>
    </w:p>
    <w:p>
      <w:pPr>
        <w:pStyle w:val="ListBullet"/>
        <w:spacing w:after="60"/>
      </w:pPr>
      <w:r>
        <w:rPr>
          <w:sz w:val="22"/>
        </w:rPr>
        <w:t>colsample_bytree randomizes WHICH FEATURES each tree can use (columns)</w:t>
      </w:r>
    </w:p>
    <w:p>
      <w:r>
        <w:rPr>
          <w:b w:val="0"/>
          <w:i/>
          <w:sz w:val="22"/>
        </w:rPr>
        <w:t>Together they make the 500-tree ensemble truly diverse — and reduced overfitting is the result. Both are forms of 'regularization through randomness'.</w:t>
      </w:r>
    </w:p>
    <w:p>
      <w:pPr>
        <w:spacing w:after="80"/>
      </w:pPr>
    </w:p>
    <w:p>
      <w:r>
        <w:rPr>
          <w:b/>
          <w:color w:val="0277BD"/>
          <w:sz w:val="26"/>
        </w:rPr>
        <w:t>Bottom line for the talking point</w:t>
      </w:r>
    </w:p>
    <w:p>
      <w:r>
        <w:rPr>
          <w:b w:val="0"/>
          <w:i/>
          <w:sz w:val="22"/>
        </w:rPr>
        <w:t>"subsample 0.8 means each tree only sees 80% of the rows, randomly chosen. colsample_bytree 0.8 means each tree only considers 80% of the features. Both inject randomness so the 500 trees in our ensemble are diverse instead of identical. The end result is a model that generalizes well to new data and doesn't let any single feature dominate every decision."</w:t>
      </w:r>
    </w:p>
    <w:p>
      <w:pPr>
        <w:spacing w:after="160"/>
      </w:pPr>
    </w:p>
    <w:p>
      <w:pPr>
        <w:jc w:val="center"/>
      </w:pPr>
      <w:r>
        <w:rPr>
          <w:i/>
          <w:color w:val="555555"/>
          <w:sz w:val="18"/>
        </w:rPr>
        <w:t>Capstone 8 · Group 8 · IIM Calcutta APAL02   |   github.com/nishthaspeakx/capstone_8</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