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087"/>
          <w:sz w:val="52"/>
        </w:rPr>
        <w:t>Lowe's Store-Level Sales Target Model</w:t>
      </w:r>
    </w:p>
    <w:p>
      <w:pPr>
        <w:jc w:val="center"/>
      </w:pPr>
      <w:r>
        <w:rPr>
          <w:i/>
          <w:color w:val="0277BD"/>
          <w:sz w:val="26"/>
        </w:rPr>
        <w:t>A Supervised Machine Learning Approach to Replace the 'Peanut Butter Spread'</w:t>
      </w:r>
    </w:p>
    <w:p/>
    <w:p>
      <w:pPr>
        <w:jc w:val="center"/>
      </w:pPr>
      <w:r>
        <w:rPr>
          <w:b/>
          <w:sz w:val="30"/>
        </w:rPr>
        <w:t>Comprehensive Project Documentation</w:t>
      </w:r>
    </w:p>
    <w:p>
      <w:pPr>
        <w:jc w:val="center"/>
      </w:pPr>
      <w:r>
        <w:rPr>
          <w:b/>
          <w:sz w:val="26"/>
        </w:rPr>
        <w:t>Capstone 8  ·  Group 8</w:t>
      </w:r>
    </w:p>
    <w:p>
      <w:pPr>
        <w:jc w:val="center"/>
      </w:pPr>
      <w:r>
        <w:rPr>
          <w:b w:val="0"/>
          <w:sz w:val="24"/>
        </w:rPr>
        <w:t>IIM Calcutta  ·  APAL02</w:t>
      </w:r>
    </w:p>
    <w:p>
      <w:pPr>
        <w:jc w:val="center"/>
      </w:pPr>
      <w:r>
        <w:rPr>
          <w:b w:val="0"/>
          <w:color w:val="555555"/>
          <w:sz w:val="22"/>
        </w:rPr>
        <w:t>Models · Features · Methodology · Results · Reflections</w:t>
      </w:r>
    </w:p>
    <w:p/>
    <w:p>
      <w:pPr>
        <w:jc w:val="center"/>
      </w:pPr>
      <w:r>
        <w:rPr>
          <w:sz w:val="20"/>
        </w:rPr>
        <w:t>GitHub: github.com/nishthaspeakx/capstone_8</w:t>
      </w:r>
    </w:p>
    <w:p>
      <w:r>
        <w:br w:type="page"/>
      </w:r>
    </w:p>
    <w:p>
      <w:pPr>
        <w:pStyle w:val="Heading1"/>
      </w:pPr>
      <w:r>
        <w:rPr>
          <w:b/>
          <w:color w:val="003087"/>
          <w:sz w:val="36"/>
        </w:rPr>
        <w:t>1.  Executive Summary</w:t>
      </w:r>
    </w:p>
    <w:p>
      <w:r>
        <w:rPr>
          <w:b w:val="0"/>
          <w:i w:val="0"/>
          <w:sz w:val="22"/>
        </w:rPr>
        <w:t>Lowe's currently sets each store's annual sales target with a 'peanut butter spread' — it divides the total company plan across stores using each store's 3-year historical sales share. This ignores local market dynamics (population growth, income shifts, housing age, competitive pressure), so under the current method roughly 25.83% of store-weeks miss their target by more than ±10%, forcing planners into a year of manual overrides.</w:t>
      </w:r>
    </w:p>
    <w:p>
      <w:r>
        <w:rPr>
          <w:b w:val="0"/>
          <w:i w:val="0"/>
          <w:sz w:val="22"/>
        </w:rPr>
        <w:t>This project replaces that heuristic with a supervised machine-learning model. We trained and benchmarked four models on 269,412 store-week records (1,727 stores, FY2023–FY2025), engineered a disciplined, leakage-free feature set, and finalized a 16-feature XGBoost model. We then built a Store-Level Accuracy Loop that flags exactly which stores are under- or over-targeted, plus a Role-of-Store segmentation that turns one model into five planning playbooks. The deliverable is an interactive Streamlit application.</w:t>
      </w:r>
    </w:p>
    <w:p>
      <w:pPr>
        <w:pStyle w:val="Heading3"/>
      </w:pPr>
      <w:r>
        <w:rPr>
          <w:b/>
          <w:color w:val="003087"/>
          <w:sz w:val="24"/>
        </w:rPr>
        <w:t>Final Model Scorecard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92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Success Criterion</w:t>
            </w:r>
          </w:p>
        </w:tc>
        <w:tc>
          <w:tcPr>
            <w:tcW w:type="dxa" w:w="2304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Overall WAPE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7.05%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&lt; 8%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Bias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-0.97%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within ±2%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R²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0.977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&gt; 0.88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Beat naive baseline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7.05% vs 8.27%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beat lag-52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PASS (15% better)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Well-calibrated stores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1,636 of 1,727 (94.7%)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maximize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PASS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03087"/>
          <w:sz w:val="36"/>
        </w:rPr>
        <w:t>2.  The Models — What We Used and Why</w:t>
      </w:r>
    </w:p>
    <w:p>
      <w:r>
        <w:rPr>
          <w:b w:val="0"/>
          <w:i w:val="0"/>
          <w:sz w:val="22"/>
        </w:rPr>
        <w:t>This is a supervised regression problem: we have a clear numeric target (Actual Sales USD) and labelled history, so the model learns input→output patterns and predicts a number. Clustering (unsupervised) is used only afterwards as a strategic overlay, not as the core model.</w:t>
      </w:r>
    </w:p>
    <w:p>
      <w:pPr>
        <w:pStyle w:val="Heading2"/>
      </w:pPr>
      <w:r>
        <w:rPr>
          <w:b/>
          <w:color w:val="0277BD"/>
          <w:sz w:val="28"/>
        </w:rPr>
        <w:t>2.1  XGBoost — Primary Model (Selected)</w:t>
      </w:r>
    </w:p>
    <w:p>
      <w:r>
        <w:rPr>
          <w:b w:val="0"/>
          <w:i w:val="0"/>
          <w:sz w:val="22"/>
        </w:rPr>
        <w:t>Extreme Gradient Boosting builds 500 decision trees sequentially. Tree 1 makes predictions, computes the errors (residuals); Tree 2 is trained on those errors to reduce them; Tree 3 reduces what remains, and so on. Each tree corrects the mistakes of all previous trees — this is 'boosting'.</w:t>
      </w:r>
    </w:p>
    <w:p>
      <w:r>
        <w:rPr>
          <w:b/>
          <w:i w:val="0"/>
          <w:sz w:val="22"/>
        </w:rPr>
        <w:t>Why we chose it:</w:t>
      </w:r>
    </w:p>
    <w:p>
      <w:pPr>
        <w:pStyle w:val="ListBullet"/>
      </w:pPr>
      <w:r>
        <w:t>Best WAPE of all candidates (7.05%) and near-zero bias (-0.97%).</w:t>
      </w:r>
    </w:p>
    <w:p>
      <w:pPr>
        <w:pStyle w:val="ListBullet"/>
      </w:pPr>
      <w:r>
        <w:t>Handles non-linear interactions between market features automatically (e.g., 'high income AND new housing AND low competition' is learned without us specifying it).</w:t>
      </w:r>
    </w:p>
    <w:p>
      <w:pPr>
        <w:pStyle w:val="ListBullet"/>
      </w:pPr>
      <w:r>
        <w:t>Robust to mixed feature scales — no need to normalize.</w:t>
      </w:r>
    </w:p>
    <w:p>
      <w:pPr>
        <w:pStyle w:val="ListBullet"/>
      </w:pPr>
      <w:r>
        <w:t>Built-in feature importance, which is essential for explaining targets to planners.</w:t>
      </w:r>
    </w:p>
    <w:p>
      <w:r>
        <w:rPr>
          <w:b/>
          <w:i w:val="0"/>
          <w:sz w:val="22"/>
        </w:rPr>
        <w:t>Hyperparameters used: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728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type="dxa" w:w="5760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n_estimators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500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Enough trees for refinement; early stopping prevents overfit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learning_rate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0.05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Small steps → stable, accurate convergence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max_depth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Limits tree complexity, controls overfitting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subsample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0.8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Row randomness → generalization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colsample_bytree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0.8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Feature randomness → de-correlated trees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early_stopping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50 rounds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Stop when validation stops improving</w:t>
            </w:r>
          </w:p>
        </w:tc>
      </w:tr>
    </w:tbl>
    <w:p>
      <w:pPr>
        <w:pStyle w:val="Heading2"/>
      </w:pPr>
      <w:r>
        <w:rPr>
          <w:b/>
          <w:color w:val="0277BD"/>
          <w:sz w:val="28"/>
        </w:rPr>
        <w:t>2.2  LightGBM — Secondary Benchmark</w:t>
      </w:r>
    </w:p>
    <w:p>
      <w:r>
        <w:rPr>
          <w:b w:val="0"/>
          <w:i w:val="0"/>
          <w:sz w:val="22"/>
        </w:rPr>
        <w:t>Same gradient-boosting concept, but it grows trees leaf-by-leaf (always splitting the leaf with the largest loss reduction) rather than level-by-level. It is faster on large datasets. Result: WAPE 7.07%, essentially tied with XGBoost — this cross-validates that the result is model-robust, not a fluke of one algorithm.</w:t>
      </w:r>
    </w:p>
    <w:p>
      <w:pPr>
        <w:pStyle w:val="Heading2"/>
      </w:pPr>
      <w:r>
        <w:rPr>
          <w:b/>
          <w:color w:val="0277BD"/>
          <w:sz w:val="28"/>
        </w:rPr>
        <w:t>2.3  Ridge Regression — Linear Baseline</w:t>
      </w:r>
    </w:p>
    <w:p>
      <w:r>
        <w:rPr>
          <w:b w:val="0"/>
          <w:i w:val="0"/>
          <w:sz w:val="22"/>
        </w:rPr>
        <w:t>A linear regression with an L2 penalty (α·Σβ²) that shrinks coefficients to prevent instability from correlated features. It is a sanity check: if gradient boosting could not beat a regularized linear model, the added complexity would not be justified. Ridge scored WAPE 7.11% — competitive, which tells us the relationship is fairly linear once lag features are present, but XGBoost still edges it out and captures the non-linear market effects.</w:t>
      </w:r>
    </w:p>
    <w:p>
      <w:pPr>
        <w:pStyle w:val="Heading2"/>
      </w:pPr>
      <w:r>
        <w:rPr>
          <w:b/>
          <w:color w:val="0277BD"/>
          <w:sz w:val="28"/>
        </w:rPr>
        <w:t>2.4  Naive Baseline — Lag-52</w:t>
      </w:r>
    </w:p>
    <w:p>
      <w:r>
        <w:rPr>
          <w:b w:val="0"/>
          <w:i w:val="0"/>
          <w:sz w:val="22"/>
        </w:rPr>
        <w:t>The simplest possible 'model': this week's sales = the same week last year. WAPE 8.27%. Any real model must beat this to justify its existence. Our final model is 15% better, which is the headline improvement story.</w:t>
      </w:r>
    </w:p>
    <w:p>
      <w:pPr>
        <w:pStyle w:val="Heading3"/>
      </w:pPr>
      <w:r>
        <w:rPr>
          <w:b/>
          <w:color w:val="003087"/>
          <w:sz w:val="24"/>
        </w:rPr>
        <w:t>Head-to-Head Comparison (Holdout Set)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296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WAPE</w:t>
            </w:r>
          </w:p>
        </w:tc>
        <w:tc>
          <w:tcPr>
            <w:tcW w:type="dxa" w:w="1296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Bias</w:t>
            </w:r>
          </w:p>
        </w:tc>
        <w:tc>
          <w:tcPr>
            <w:tcW w:type="dxa" w:w="1872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RMSE</w:t>
            </w:r>
          </w:p>
        </w:tc>
        <w:tc>
          <w:tcPr>
            <w:tcW w:type="dxa" w:w="1872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MAE</w:t>
            </w:r>
          </w:p>
        </w:tc>
        <w:tc>
          <w:tcPr>
            <w:tcW w:type="dxa" w:w="1296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R²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LightGBM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7.07%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-1.11%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$119,332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$67,941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0.9773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XGBoost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7.05%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-0.97%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$120,417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$67,797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0.9769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Ridge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7.11%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+0.39%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$116,758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$68,385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0.9783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Naive (lag-52)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8.27%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+0.33%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$148,762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$79,523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0.9648</w:t>
            </w:r>
          </w:p>
        </w:tc>
      </w:tr>
    </w:tbl>
    <w:p>
      <w:r>
        <w:rPr>
          <w:b w:val="0"/>
          <w:i/>
          <w:sz w:val="18"/>
        </w:rPr>
        <w:t>Holdout = rolling time split, last ~15% of dates (Sep 19, 2025 → Jan 30, 2026, all 1,727 stores, 22,439 rows). XGBoost selected as the production model.</w:t>
      </w:r>
    </w:p>
    <w:p>
      <w:r>
        <w:br w:type="page"/>
      </w:r>
    </w:p>
    <w:p>
      <w:pPr>
        <w:pStyle w:val="Heading1"/>
      </w:pPr>
      <w:r>
        <w:rPr>
          <w:b/>
          <w:color w:val="003087"/>
          <w:sz w:val="36"/>
        </w:rPr>
        <w:t>3.  The Final 16 Features — What and Why</w:t>
      </w:r>
    </w:p>
    <w:p>
      <w:r>
        <w:rPr>
          <w:b w:val="0"/>
          <w:i w:val="0"/>
          <w:sz w:val="22"/>
        </w:rPr>
        <w:t>We began with 35 Phase-1 candidate features (already filtered from 194 raw columns), then ran a criticality analysis and finalized 16 high-criticality features. Critically, we deliberately removed the rolling-average features (roll_4, roll_13) and the calendar features (Year, Fiscal Week). The rolling averages were so dominant (~94% combined importance) that they masked every market signal. Removing them made the model more explainable to planners AND improved bias to -0.97% (near-perfect).</w:t>
      </w:r>
    </w:p>
    <w:p>
      <w:pPr>
        <w:pStyle w:val="Heading2"/>
      </w:pPr>
      <w:r>
        <w:rPr>
          <w:b/>
          <w:color w:val="0277BD"/>
          <w:sz w:val="28"/>
        </w:rPr>
        <w:t>3.1  Lag / Momentum Features (4)</w:t>
      </w:r>
    </w:p>
    <w:p>
      <w:r>
        <w:rPr>
          <w:b w:val="0"/>
          <w:i w:val="0"/>
          <w:sz w:val="22"/>
        </w:rPr>
        <w:t>Engineered from Actual Sales USD using groupby('Store ID').shift(n). Every lag uses a minimum shift of 1 so the model can never see the week it is predicting (leakage-safe).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440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Formula</w:t>
            </w:r>
          </w:p>
        </w:tc>
        <w:tc>
          <w:tcPr>
            <w:tcW w:type="dxa" w:w="6912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Logic — Why It's Used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lag_1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shift(1)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Sales 1 week ago. Strongest single predictor (corr 0.982) — captures very recent store momentum.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lag_4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shift(4)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Sales ~1 month ago. Monthly rhythm: pay cycles, monthly promotions, billing.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lag_13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shift(13)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Sales ~1 quarter ago. Quarter-over-quarter retail dynamics.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lag_52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shift(52)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Sales same week last year. Pure annual seasonality — the most reliable seasonal anchor.</w:t>
            </w:r>
          </w:p>
        </w:tc>
      </w:tr>
    </w:tbl>
    <w:p>
      <w:pPr>
        <w:pStyle w:val="Heading2"/>
      </w:pPr>
      <w:r>
        <w:rPr>
          <w:b/>
          <w:color w:val="0277BD"/>
          <w:sz w:val="28"/>
        </w:rPr>
        <w:t>3.2  Demand / Housing — Raw (5)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624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Logic — Why It's Used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CYE Total Households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Core addressable market. More households = more potential customers.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CYE Household Density HH/SqMi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Distinguishes dense walkable trade areas from sprawling car-based ones — different basket behavior.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CYE Median Household Income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Best single summary of purchasing power. Median is robust to outliers.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CYE Total Housing Units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Housing stock incl. vacant/new — captures renovation/construction demand beyond current occupants.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CYE Total Population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Market-size complement to households (captures household-size variation).</w:t>
            </w:r>
          </w:p>
        </w:tc>
      </w:tr>
    </w:tbl>
    <w:p>
      <w:pPr>
        <w:pStyle w:val="Heading2"/>
      </w:pPr>
      <w:r>
        <w:rPr>
          <w:b/>
          <w:color w:val="0277BD"/>
          <w:sz w:val="28"/>
        </w:rPr>
        <w:t>3.3  Demand / Housing — Engineered (3)</w:t>
      </w:r>
    </w:p>
    <w:p>
      <w:r>
        <w:rPr>
          <w:b w:val="0"/>
          <w:i w:val="0"/>
          <w:sz w:val="22"/>
        </w:rPr>
        <w:t>Each replaces multiple raw columns to avoid multicollinearity (the original income brackets sum to 100%, housing decades sum to 100% — using all of them destabilizes the model).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736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Formula</w:t>
            </w:r>
          </w:p>
        </w:tc>
        <w:tc>
          <w:tcPr>
            <w:tcW w:type="dxa" w:w="4752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Logic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income_affluent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%150–250K + %250K+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Pro/contractor proxy — wealthy areas drive remodeling &amp; high-value purchases.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housing_new_share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%2000s + %2010s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New construction → new-homeowner finishing/landscaping demand. Highest static-feature correlation.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housing_old_share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%pre-1949 + %1950s + %1960s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Old stock → continuous repair demand (plumbing, electrical, roofing).</w:t>
            </w:r>
          </w:p>
        </w:tc>
      </w:tr>
    </w:tbl>
    <w:p>
      <w:pPr>
        <w:pStyle w:val="Heading2"/>
      </w:pPr>
      <w:r>
        <w:rPr>
          <w:b/>
          <w:color w:val="0277BD"/>
          <w:sz w:val="28"/>
        </w:rPr>
        <w:t>3.4  Competition (3)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624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Logic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Sister Store Count (TA)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Self-cannibalization. 3 Lowe's in one trade area share demand — corrects raw market size.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total_competitor_ta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Engineered: sum of all 17 competitor counts. Single composite of competitive intensity.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Wallflowers Depot Count (TA)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Most prevalent competitor (mean 4.68, only 1% zeros) — broad signal.</w:t>
            </w:r>
          </w:p>
        </w:tc>
      </w:tr>
    </w:tbl>
    <w:p>
      <w:pPr>
        <w:pStyle w:val="Heading2"/>
      </w:pPr>
      <w:r>
        <w:rPr>
          <w:b/>
          <w:color w:val="0277BD"/>
          <w:sz w:val="28"/>
        </w:rPr>
        <w:t>3.5  Store / Market (1)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624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Logic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Urbanicity (encoded)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7-level density (Metropolis→Remote). Master segmentation variable — Metropolis stores avg $1.63M/wk vs Large City $930K.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03087"/>
          <w:sz w:val="36"/>
        </w:rPr>
        <w:t>4.  Feature Importance — Ranked &amp; Interpreted</w:t>
      </w:r>
    </w:p>
    <w:p>
      <w:r>
        <w:rPr>
          <w:b w:val="0"/>
          <w:i w:val="0"/>
          <w:sz w:val="22"/>
        </w:rPr>
        <w:t>XGBoost reports how often and how decisively each feature was used across all 500 trees. Below is the final ranking on the 16-feature model.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52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Rank</w:t>
            </w:r>
          </w:p>
        </w:tc>
        <w:tc>
          <w:tcPr>
            <w:tcW w:type="dxa" w:w="5040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Importance 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lag_1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62.22%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lag_4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29.63%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lag_52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3.14%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Wallflowers Depot Count in TradeArea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0.70%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lag_13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0.55%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housing_new_share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0.40%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CYE Total Population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CYE Median Household Income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0.38%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CYE Total Housing Units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0.36%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income_affluent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0.35%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housing_old_share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0.34%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CYE Household Density HH SqMi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0.34%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Sister Store Count in TradeArea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0.34%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14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total_competitor_ta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0.33%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15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CYE Total Households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0.29%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Urbanicity_enc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0.24%</w:t>
            </w:r>
          </w:p>
        </w:tc>
      </w:tr>
    </w:tbl>
    <w:p>
      <w:pPr>
        <w:pStyle w:val="Heading3"/>
      </w:pPr>
      <w:r>
        <w:rPr>
          <w:b/>
          <w:color w:val="003087"/>
          <w:sz w:val="24"/>
        </w:rPr>
        <w:t>How to Read This</w:t>
      </w:r>
    </w:p>
    <w:p>
      <w:pPr>
        <w:pStyle w:val="ListBullet"/>
      </w:pPr>
      <w:r>
        <w:t>lag_1 (62%) + lag_4 (30%) dominate — recent store performance is the backbone of any short-horizon sales forecast. This is expected and correct for week-ahead prediction.</w:t>
      </w:r>
    </w:p>
    <w:p>
      <w:pPr>
        <w:pStyle w:val="ListBullet"/>
      </w:pPr>
      <w:r>
        <w:t>After lags, the leading signals are Wallflowers Depot (competition), housing_new_share, CYE Total Population, and CYE Median Household Income — the market features earn a meaningful, interpretable share.</w:t>
      </w:r>
    </w:p>
    <w:p>
      <w:pPr>
        <w:pStyle w:val="ListBullet"/>
      </w:pPr>
      <w:r>
        <w:t>Why this matters: planners distrust black boxes. By trimming the rolling averages we made the model's reasoning legible — 'recent sales, adjusted for competition, housing growth, income, and population' — which is exactly the story a planner can defend in a target review.</w:t>
      </w:r>
    </w:p>
    <w:p>
      <w:r>
        <w:rPr>
          <w:b w:val="0"/>
          <w:i/>
          <w:sz w:val="22"/>
        </w:rPr>
        <w:t>Important nuance: feature importance is for 1-week-ahead prediction, where recent sales already encode slow-moving market effects. For a brand-new store (no lag history) or a multi-year forecast, the demographic and competition features would carry far more weight — which is why we kept them in the model.</w:t>
      </w:r>
    </w:p>
    <w:p>
      <w:r>
        <w:br w:type="page"/>
      </w:r>
    </w:p>
    <w:p>
      <w:pPr>
        <w:pStyle w:val="Heading1"/>
      </w:pPr>
      <w:r>
        <w:rPr>
          <w:b/>
          <w:color w:val="003087"/>
          <w:sz w:val="36"/>
        </w:rPr>
        <w:t>5.  Methodology &amp; Model Integrity</w:t>
      </w:r>
    </w:p>
    <w:p>
      <w:pPr>
        <w:pStyle w:val="Heading2"/>
      </w:pPr>
      <w:r>
        <w:rPr>
          <w:b/>
          <w:color w:val="0277BD"/>
          <w:sz w:val="28"/>
        </w:rPr>
        <w:t>5.1  Leakage Prevention (the most important guard)</w:t>
      </w:r>
    </w:p>
    <w:p>
      <w:r>
        <w:rPr>
          <w:b w:val="0"/>
          <w:i w:val="0"/>
          <w:sz w:val="22"/>
        </w:rPr>
        <w:t>Three columns are permanently blacklisted as inputs because they are same-period measures that would not be available when the prediction is actually needed: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Forbidden Column</w:t>
            </w:r>
          </w:p>
        </w:tc>
        <w:tc>
          <w:tcPr>
            <w:tcW w:type="dxa" w:w="2016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Corr w/ Target</w:t>
            </w:r>
          </w:p>
        </w:tc>
        <w:tc>
          <w:tcPr>
            <w:tcW w:type="dxa" w:w="5184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Why It's Leakage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Plan Sales USD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0.986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It IS essentially the answer — the plan we are trying to improve upon.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Invoice Count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0.972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Same-period transaction count; Sales = Invoices × Avg Ticket.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Avg Ticket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0.133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Same-period decomposition of Sales.</w:t>
            </w:r>
          </w:p>
        </w:tc>
      </w:tr>
    </w:tbl>
    <w:p>
      <w:r>
        <w:rPr>
          <w:b w:val="0"/>
          <w:i w:val="0"/>
          <w:sz w:val="22"/>
        </w:rPr>
        <w:t>A programmatic assertion in feature_engineering.py raises an error if any blacklisted column ever enters the feature list. All lag features use shift(1) minimum.</w:t>
      </w:r>
    </w:p>
    <w:p>
      <w:pPr>
        <w:pStyle w:val="Heading2"/>
      </w:pPr>
      <w:r>
        <w:rPr>
          <w:b/>
          <w:color w:val="0277BD"/>
          <w:sz w:val="28"/>
        </w:rPr>
        <w:t>5.2  Time-Based Validation (not random)</w:t>
      </w:r>
    </w:p>
    <w:p>
      <w:pPr>
        <w:pStyle w:val="ListBullet"/>
      </w:pPr>
      <w:r>
        <w:t>Rolling split, NOT random — random splitting on time series leaks the future into training.</w:t>
      </w:r>
    </w:p>
    <w:p>
      <w:pPr>
        <w:pStyle w:val="ListBullet"/>
      </w:pPr>
      <w:r>
        <w:t>Train: all data before 19 Sep 2025. Holdout: 19 Sep 2025 → 30 Jan 2026 (Q4 FY2025).</w:t>
      </w:r>
    </w:p>
    <w:p>
      <w:pPr>
        <w:pStyle w:val="ListBullet"/>
      </w:pPr>
      <w:r>
        <w:t>22,439 holdout rows spanning all 1,727 stores → the model only predicts the future from the past.</w:t>
      </w:r>
    </w:p>
    <w:p>
      <w:pPr>
        <w:pStyle w:val="Heading2"/>
      </w:pPr>
      <w:r>
        <w:rPr>
          <w:b/>
          <w:color w:val="0277BD"/>
          <w:sz w:val="28"/>
        </w:rPr>
        <w:t>5.3  Multicollinearity Handling</w:t>
      </w:r>
    </w:p>
    <w:p>
      <w:r>
        <w:rPr>
          <w:b w:val="0"/>
          <w:i w:val="0"/>
          <w:sz w:val="22"/>
        </w:rPr>
        <w:t>Raw income brackets (8 columns) and housing decades (9 columns) each sum to ~100%. Feeding all of them in creates redundant, unstable inputs. We engineered strategic combinations (income_affluent, housing_new_share, housing_old_share) that preserve the signal without the instability.</w:t>
      </w:r>
    </w:p>
    <w:p>
      <w:pPr>
        <w:pStyle w:val="Heading2"/>
      </w:pPr>
      <w:r>
        <w:rPr>
          <w:b/>
          <w:color w:val="0277BD"/>
          <w:sz w:val="28"/>
        </w:rPr>
        <w:t>5.4  The Store-Level Accuracy Loop</w:t>
      </w:r>
    </w:p>
    <w:p>
      <w:r>
        <w:rPr>
          <w:b w:val="0"/>
          <w:i w:val="0"/>
          <w:sz w:val="22"/>
        </w:rPr>
        <w:t>Instead of trusting one global WAPE (which can hide offsetting errors), we compute per-store WAPE, Bias, RMSE and quarterly bias, then classify each store: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Classification</w:t>
            </w:r>
          </w:p>
        </w:tc>
        <w:tc>
          <w:tcPr>
            <w:tcW w:type="dxa" w:w="1872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5472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Planner Action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Under-Targeted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bias &lt; -5%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Store sandbagged — raise the target.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Over-Targeted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bias &gt; +5%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Target too aggressive — review for headwinds.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Well-Calibrated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within ±5%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Trust the model output directly.</w:t>
            </w:r>
          </w:p>
        </w:tc>
      </w:tr>
    </w:tbl>
    <w:p>
      <w:r>
        <w:rPr>
          <w:b w:val="0"/>
          <w:i w:val="0"/>
          <w:sz w:val="22"/>
        </w:rPr>
        <w:t>Result on the final model: 1,636 well-calibrated, 60 under-targeted, 31 over-targeted. This enables surgical overrides instead of chain-wide guesswork — the core business value.</w:t>
      </w:r>
    </w:p>
    <w:p>
      <w:pPr>
        <w:pStyle w:val="Heading2"/>
      </w:pPr>
      <w:r>
        <w:rPr>
          <w:b/>
          <w:color w:val="0277BD"/>
          <w:sz w:val="28"/>
        </w:rPr>
        <w:t>5.5  Role-of-Store Segmentation</w:t>
      </w:r>
    </w:p>
    <w:p>
      <w:r>
        <w:rPr>
          <w:b w:val="0"/>
          <w:i w:val="0"/>
          <w:sz w:val="22"/>
        </w:rPr>
        <w:t>A post-prediction overlay. We compute a growth_score (CAGR households, new-housing share, minus model bias) and a risk_score (competitive pressure plus bias), take the net, and split stores into quintiles → High Growth, Growth, Neutral, Maintain, Defend (≈20% each). Quantile bucketing was chosen after fixed thresholds produced an unusable 86% 'High Growth'. Each role becomes a distinct planning playbook.</w:t>
      </w:r>
    </w:p>
    <w:p>
      <w:r>
        <w:br w:type="page"/>
      </w:r>
    </w:p>
    <w:p>
      <w:pPr>
        <w:pStyle w:val="Heading1"/>
      </w:pPr>
      <w:r>
        <w:rPr>
          <w:b/>
          <w:color w:val="003087"/>
          <w:sz w:val="36"/>
        </w:rPr>
        <w:t>6.  Results &amp; Business Impact</w:t>
      </w:r>
    </w:p>
    <w:p>
      <w:pPr>
        <w:pStyle w:val="ListBullet"/>
      </w:pPr>
      <w:r>
        <w:rPr>
          <w:b/>
        </w:rPr>
        <w:t xml:space="preserve">Accuracy: </w:t>
      </w:r>
      <w:r>
        <w:t>Accuracy: 7.05% WAPE vs 8.27% naive — a 15% reduction in error, on 1,727 stores.</w:t>
      </w:r>
    </w:p>
    <w:p>
      <w:pPr>
        <w:pStyle w:val="ListBullet"/>
      </w:pPr>
      <w:r>
        <w:rPr>
          <w:b/>
        </w:rPr>
        <w:t xml:space="preserve">Bias: </w:t>
      </w:r>
      <w:r>
        <w:t>Bias: -0.97% means the model neither systematically over- nor under-commits — the annual plan reconciles cleanly.</w:t>
      </w:r>
    </w:p>
    <w:p>
      <w:pPr>
        <w:pStyle w:val="ListBullet"/>
      </w:pPr>
      <w:r>
        <w:rPr>
          <w:b/>
        </w:rPr>
        <w:t xml:space="preserve">Calibration: </w:t>
      </w:r>
      <w:r>
        <w:t>Calibration: 94.7% of stores within ±5% bias — planners can trust the vast majority of targets out-of-the-box.</w:t>
      </w:r>
    </w:p>
    <w:p>
      <w:pPr>
        <w:pStyle w:val="ListBullet"/>
      </w:pPr>
      <w:r>
        <w:rPr>
          <w:b/>
        </w:rPr>
        <w:t xml:space="preserve">Efficiency: </w:t>
      </w:r>
      <w:r>
        <w:t>Targeted overrides: only ~91 stores need human review (vs. chain-wide manual replanning today).</w:t>
      </w:r>
    </w:p>
    <w:p>
      <w:pPr>
        <w:pStyle w:val="ListBullet"/>
      </w:pPr>
      <w:r>
        <w:rPr>
          <w:b/>
        </w:rPr>
        <w:t xml:space="preserve">Trust: </w:t>
      </w:r>
      <w:r>
        <w:t>Explainability: a 16-feature model whose drivers a planner can read and defend.</w:t>
      </w:r>
    </w:p>
    <w:p>
      <w:r>
        <w:br w:type="page"/>
      </w:r>
    </w:p>
    <w:p>
      <w:pPr>
        <w:pStyle w:val="Heading1"/>
      </w:pPr>
      <w:r>
        <w:rPr>
          <w:b/>
          <w:color w:val="003087"/>
          <w:sz w:val="36"/>
        </w:rPr>
        <w:t>7.  What Worked Well — Reflections</w:t>
      </w:r>
    </w:p>
    <w:p>
      <w:pPr>
        <w:pStyle w:val="Heading3"/>
      </w:pPr>
      <w:r>
        <w:rPr>
          <w:b/>
          <w:color w:val="003087"/>
          <w:sz w:val="24"/>
        </w:rPr>
        <w:t>What we liked</w:t>
      </w:r>
    </w:p>
    <w:p>
      <w:pPr>
        <w:pStyle w:val="ListBullet"/>
      </w:pPr>
      <w:r>
        <w:t>The lag-feature design. Engineering store-grouped, leakage-safe lags turned a hard forecasting problem into a tractable one — they alone explain ~90% of predictive power.</w:t>
      </w:r>
    </w:p>
    <w:p>
      <w:pPr>
        <w:pStyle w:val="ListBullet"/>
      </w:pPr>
      <w:r>
        <w:t>Trimming to 16 features. Counter-intuitively, removing the two strongest rolling features improved bias and made the model presentable. Fewer, well-chosen features beat a kitchen-sink model.</w:t>
      </w:r>
    </w:p>
    <w:p>
      <w:pPr>
        <w:pStyle w:val="ListBullet"/>
      </w:pPr>
      <w:r>
        <w:t>The Store-Level Accuracy Loop. This is the real differentiator versus a generic forecast — it converts model output into a concrete, prioritized planner action list.</w:t>
      </w:r>
    </w:p>
    <w:p>
      <w:pPr>
        <w:pStyle w:val="ListBullet"/>
      </w:pPr>
      <w:r>
        <w:t>Model agreement. XGBoost, LightGBM and Ridge all landing near 7% WAPE gave high confidence the result is real and robust, not an artifact.</w:t>
      </w:r>
    </w:p>
    <w:p>
      <w:pPr>
        <w:pStyle w:val="ListBullet"/>
      </w:pPr>
      <w:r>
        <w:t>Discipline on leakage. Refusing to use Plan Sales USD (corr 0.986) cost headline accuracy but produced a model that actually works in production — the right trade-off.</w:t>
      </w:r>
    </w:p>
    <w:p>
      <w:pPr>
        <w:pStyle w:val="Heading3"/>
      </w:pPr>
      <w:r>
        <w:rPr>
          <w:b/>
          <w:color w:val="003087"/>
          <w:sz w:val="24"/>
        </w:rPr>
        <w:t>Honest limitations</w:t>
      </w:r>
    </w:p>
    <w:p>
      <w:pPr>
        <w:pStyle w:val="ListBullet"/>
      </w:pPr>
      <w:r>
        <w:t>Lag dominance means the model is strongest for existing stores with history; brand-new stores need a cold-start variant relying on demographics only.</w:t>
      </w:r>
    </w:p>
    <w:p>
      <w:pPr>
        <w:pStyle w:val="ListBullet"/>
      </w:pPr>
      <w:r>
        <w:t>Pure week-ahead scoring. True forward forecasting of an unseen future year needs recursive prediction (predict week 1 → feed as lag → predict week 2). A clear next step.</w:t>
      </w:r>
    </w:p>
    <w:p>
      <w:pPr>
        <w:pStyle w:val="ListBullet"/>
      </w:pPr>
      <w:r>
        <w:t>Role-of-Store thresholds are heuristic. A future iteration could derive them from a proper clustering model.</w:t>
      </w:r>
    </w:p>
    <w:p>
      <w:pPr>
        <w:pStyle w:val="ListBullet"/>
      </w:pPr>
      <w:r>
        <w:t>Demographics are annual snapshots; intra-year shifts are not captured.</w:t>
      </w:r>
    </w:p>
    <w:p>
      <w:pPr>
        <w:pStyle w:val="Heading3"/>
      </w:pPr>
      <w:r>
        <w:rPr>
          <w:b/>
          <w:color w:val="003087"/>
          <w:sz w:val="24"/>
        </w:rPr>
        <w:t>Recommended next steps</w:t>
      </w:r>
    </w:p>
    <w:p>
      <w:pPr>
        <w:pStyle w:val="ListBullet"/>
      </w:pPr>
      <w:r>
        <w:t>Add recursive multi-week forecasting for true next-FY target setting.</w:t>
      </w:r>
    </w:p>
    <w:p>
      <w:pPr>
        <w:pStyle w:val="ListBullet"/>
      </w:pPr>
      <w:r>
        <w:t>Build a cold-start (no-lag) model for new stores using only market features.</w:t>
      </w:r>
    </w:p>
    <w:p>
      <w:pPr>
        <w:pStyle w:val="ListBullet"/>
      </w:pPr>
      <w:r>
        <w:t>Layer constrained optimization so store targets sum exactly to the division plan.</w:t>
      </w:r>
    </w:p>
    <w:p>
      <w:pPr>
        <w:pStyle w:val="ListBullet"/>
      </w:pPr>
      <w:r>
        <w:t>Pilot on the West Division, measure override-rate reduction vs. the current process, then scale chain-wide.</w:t>
      </w:r>
    </w:p>
    <w:p>
      <w:r>
        <w:br w:type="page"/>
      </w:r>
    </w:p>
    <w:p>
      <w:pPr>
        <w:pStyle w:val="Heading1"/>
      </w:pPr>
      <w:r>
        <w:rPr>
          <w:b/>
          <w:color w:val="003087"/>
          <w:sz w:val="36"/>
        </w:rPr>
        <w:t>8.  Deliverables &amp; How to Run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4896"/>
            <w:shd w:val="clear" w:color="auto" w:fill="003087"/>
          </w:tcPr>
          <w:p>
            <w:r/>
            <w:r>
              <w:rPr>
                <w:b/>
                <w:color w:val="FFFFFF"/>
                <w:sz w:val="20"/>
              </w:rPr>
              <w:t>Location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ML pipeline (feature eng., training, store loop)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src/*.py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Interactive presentation app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app/streamlit_app.py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Trained model + results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outputs/ (pkl + CSVs)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Feature documentation (Excel)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outputs/Phase1_Feature_Documentation.xlsx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This document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outputs/Capstone8_Full_Documentation.docx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Source repository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github.com/nishthaspeakx/capstone_8</w:t>
            </w:r>
          </w:p>
        </w:tc>
      </w:tr>
    </w:tbl>
    <w:p>
      <w:pPr>
        <w:pStyle w:val="Heading3"/>
      </w:pPr>
      <w:r>
        <w:rPr>
          <w:b/>
          <w:color w:val="003087"/>
          <w:sz w:val="24"/>
        </w:rPr>
        <w:t>Reproduce end-to-end</w:t>
      </w:r>
    </w:p>
    <w:p>
      <w:r>
        <w:rPr>
          <w:b w:val="0"/>
          <w:i w:val="0"/>
          <w:sz w:val="22"/>
        </w:rPr>
        <w:t>pip install -r requirements.txt</w:t>
      </w:r>
    </w:p>
    <w:p>
      <w:r>
        <w:rPr>
          <w:b w:val="0"/>
          <w:i w:val="0"/>
          <w:sz w:val="22"/>
        </w:rPr>
        <w:t>python src/train_model.py        # retrains, regenerates outputs/</w:t>
      </w:r>
    </w:p>
    <w:p>
      <w:r>
        <w:rPr>
          <w:b w:val="0"/>
          <w:i w:val="0"/>
          <w:sz w:val="22"/>
        </w:rPr>
        <w:t>streamlit run app/streamlit_app.py   # launches the dashboard</w:t>
      </w:r>
    </w:p>
    <w:p/>
    <w:p>
      <w:pPr>
        <w:jc w:val="center"/>
      </w:pPr>
      <w:r>
        <w:rPr>
          <w:i/>
          <w:color w:val="555555"/>
          <w:sz w:val="18"/>
        </w:rPr>
        <w:t>Capstone 8 · Group 8 · IIM Calcutta APAL02 · Lowe's Store-Level Sales Target Model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