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0"/>
        </w:rPr>
        <w:t>Phase 4 Case Analysis</w:t>
      </w:r>
    </w:p>
    <w:p>
      <w:pPr>
        <w:jc w:val="center"/>
      </w:pPr>
      <w:r>
        <w:rPr>
          <w:b/>
        </w:rPr>
        <w:t>Field Service Intelligence Assistant</w:t>
      </w:r>
    </w:p>
    <w:p>
      <w:pPr>
        <w:jc w:val="center"/>
      </w:pPr>
      <w:r>
        <w:t>Team TBH-20  |  Cornell MEM Capstone  |  April 7, 2026</w:t>
      </w:r>
    </w:p>
    <w:p/>
    <w:p>
      <w:r>
        <w:t>────────────────────────────────────────────────────────────────────────────────</w:t>
      </w:r>
    </w:p>
    <w:p/>
    <w:p>
      <w:pPr>
        <w:pStyle w:val="Heading1"/>
      </w:pPr>
      <w:r>
        <w:rPr>
          <w:color w:val="1F497D"/>
        </w:rPr>
        <w:t>1. Phase Overview</w:t>
      </w:r>
    </w:p>
    <w:p>
      <w:r>
        <w:t>Phase 4 delivered the browser-based Streamlit interface (app.py) that makes the RAG pipeline accessible for live demonstration. The goal of this phase was to surface all three routing paths — HIGH, PARTIAL, and LOW — in a single, presentation-ready UI with color-coded confidence indicators and inline source citations.</w:t>
      </w:r>
    </w:p>
    <w:p>
      <w:r>
        <w:t>Phase 4 also surfaced a systematic conflict-detection defect during UI testing: the job_history collection was triggering false PARTIAL routes on Lennox SL280 queries that should have resolved HIGH. The defect was diagnosed and patched within this phase.</w:t>
      </w:r>
    </w:p>
    <w:p>
      <w:pPr>
        <w:pStyle w:val="Heading1"/>
      </w:pPr>
      <w:r>
        <w:rPr>
          <w:color w:val="1F497D"/>
        </w:rPr>
        <w:t>2. Deliverables Completed</w:t>
      </w:r>
    </w:p>
    <w:p>
      <w:pPr>
        <w:pStyle w:val="Heading2"/>
      </w:pPr>
      <w:r>
        <w:rPr>
          <w:color w:val="2E74B5"/>
        </w:rPr>
        <w:t>2.1 Streamlit Interface (app.py)</w:t>
      </w:r>
    </w:p>
    <w:p>
      <w:r>
        <w:t>The interface wraps FieldServiceAssistant.ask() and exposes:</w:t>
      </w:r>
    </w:p>
    <w:p>
      <w:pPr>
        <w:pStyle w:val="ListBullet"/>
        <w:ind w:left="360"/>
      </w:pPr>
      <w:r>
        <w:t>Text area for free-form technician queries</w:t>
      </w:r>
    </w:p>
    <w:p>
      <w:pPr>
        <w:pStyle w:val="ListBullet"/>
        <w:ind w:left="360"/>
      </w:pPr>
      <w:r>
        <w:t>Three preset buttons — one per routing path (HIGH / PARTIAL / LOW)</w:t>
      </w:r>
    </w:p>
    <w:p>
      <w:pPr>
        <w:pStyle w:val="ListBullet"/>
        <w:ind w:left="360"/>
      </w:pPr>
      <w:r>
        <w:t>Color-coded confidence badge: green (HIGH), amber (PARTIAL), red (LOW)</w:t>
      </w:r>
    </w:p>
    <w:p>
      <w:pPr>
        <w:pStyle w:val="ListBullet"/>
        <w:ind w:left="360"/>
      </w:pPr>
      <w:r>
        <w:t>Similarity score displayed alongside the badge</w:t>
      </w:r>
    </w:p>
    <w:p>
      <w:pPr>
        <w:pStyle w:val="ListBullet"/>
        <w:ind w:left="360"/>
      </w:pPr>
      <w:r>
        <w:t>Response text rendered with inline citations from the LLM</w:t>
      </w:r>
    </w:p>
    <w:p>
      <w:pPr>
        <w:pStyle w:val="ListBullet"/>
        <w:ind w:left="360"/>
      </w:pPr>
      <w:r>
        <w:t>Source citation expander listing collection, file path, and relevance score</w:t>
      </w:r>
    </w:p>
    <w:p>
      <w:pPr>
        <w:pStyle w:val="ListBullet"/>
        <w:ind w:left="360"/>
      </w:pPr>
      <w:r>
        <w:t>Escalation warning panel (amber for PARTIAL, red for LOW)</w:t>
      </w:r>
    </w:p>
    <w:p>
      <w:pPr>
        <w:pStyle w:val="Heading2"/>
      </w:pPr>
      <w:r>
        <w:rPr>
          <w:color w:val="2E74B5"/>
        </w:rPr>
        <w:t>2.2 Unit Test Suite (tests/test_degradation.py)</w:t>
      </w:r>
    </w:p>
    <w:p>
      <w:r>
        <w:t>Eleven unit tests covering three test groups:</w:t>
      </w:r>
    </w:p>
    <w:p>
      <w:pPr>
        <w:pStyle w:val="ListBullet"/>
        <w:ind w:left="360"/>
      </w:pPr>
      <w:r>
        <w:t>Group A — score_confidence(): HIGH, PARTIAL-from-conflict, PARTIAL-from-low-score, LOW-from-empty, LOW-from-low-score (5 tests)</w:t>
      </w:r>
    </w:p>
    <w:p>
      <w:pPr>
        <w:pStyle w:val="ListBullet"/>
        <w:ind w:left="360"/>
      </w:pPr>
      <w:r>
        <w:t>Group B — route(): HIGH route, PARTIAL with conflict flag, PARTIAL with low-score warning, LOW with empty results, LOW with closest-match snippet (5 tests)</w:t>
      </w:r>
    </w:p>
    <w:p>
      <w:pPr>
        <w:pStyle w:val="ListBullet"/>
        <w:ind w:left="360"/>
      </w:pPr>
      <w:r>
        <w:t>Group C — Integration: LLM not called on LOW confidence (1 test)</w:t>
      </w:r>
    </w:p>
    <w:p>
      <w:r>
        <w:t>All 11 tests pass (pytest tests/ — 2.27s).</w:t>
      </w:r>
    </w:p>
    <w:p>
      <w:pPr>
        <w:pStyle w:val="Heading2"/>
      </w:pPr>
      <w:r>
        <w:rPr>
          <w:color w:val="2E74B5"/>
        </w:rPr>
        <w:t>2.3 Conflict Detection Fix (retriever.py)</w:t>
      </w:r>
    </w:p>
    <w:p>
      <w:r>
        <w:t>During UI testing, two Lennox SL280 queries that should have routed HIGH were incorrectly routing PARTIAL. Root cause: the cross-collection conflict heuristic (Heuristic 1) treated job_history as an authoritative source. A synthetic job record mentioning the SL280 scored 0.74 — within the 0.15 conflict window of the manual's 0.81 — and fired a false conflict.</w:t>
      </w:r>
    </w:p>
    <w:p>
      <w:r>
        <w:t>Fix applied: Heuristic 1 now only fires when two authoritative collections (osha, manuals) disagree. job_history is excluded from cross-collection conflict triggering. It remains fully searchable and is cited in responses; it simply cannot create a conflict against an authoritative source on its own.</w:t>
      </w:r>
    </w:p>
    <w:p>
      <w:r>
        <w:t>Before fix: venting query (0.81) → PARTIAL. After fix: venting query (0.81) → HIGH.</w:t>
      </w:r>
    </w:p>
    <w:p>
      <w:pPr>
        <w:pStyle w:val="Heading1"/>
      </w:pPr>
      <w:r>
        <w:rPr>
          <w:color w:val="1F497D"/>
        </w:rPr>
        <w:t>3. Evaluation Metrics</w:t>
      </w:r>
    </w:p>
    <w:p>
      <w:pPr>
        <w:pStyle w:val="Heading2"/>
      </w:pPr>
      <w:r>
        <w:rPr>
          <w:color w:val="2E74B5"/>
        </w:rPr>
        <w:t>3.1 Routing Accuracy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4B5"/>
          </w:tcPr>
          <w:p>
            <w:r>
              <w:rPr>
                <w:b/>
                <w:color w:val="FFFFFF"/>
              </w:rPr>
              <w:t>Eval Set</w:t>
            </w:r>
          </w:p>
        </w:tc>
        <w:tc>
          <w:tcPr>
            <w:tcW w:type="dxa" w:w="1728"/>
            <w:shd w:val="clear" w:color="auto" w:fill="2E74B5"/>
          </w:tcPr>
          <w:p>
            <w:r>
              <w:rPr>
                <w:b/>
                <w:color w:val="FFFFFF"/>
              </w:rPr>
              <w:t>Cases</w:t>
            </w:r>
          </w:p>
        </w:tc>
        <w:tc>
          <w:tcPr>
            <w:tcW w:type="dxa" w:w="1728"/>
            <w:shd w:val="clear" w:color="auto" w:fill="2E74B5"/>
          </w:tcPr>
          <w:p>
            <w:r>
              <w:rPr>
                <w:b/>
                <w:color w:val="FFFFFF"/>
              </w:rPr>
              <w:t>Correct Routing</w:t>
            </w:r>
          </w:p>
        </w:tc>
        <w:tc>
          <w:tcPr>
            <w:tcW w:type="dxa" w:w="1728"/>
            <w:shd w:val="clear" w:color="auto" w:fill="2E74B5"/>
          </w:tcPr>
          <w:p>
            <w:r>
              <w:rPr>
                <w:b/>
                <w:color w:val="FFFFFF"/>
              </w:rPr>
              <w:t>Accuracy</w:t>
            </w:r>
          </w:p>
        </w:tc>
        <w:tc>
          <w:tcPr>
            <w:tcW w:type="dxa" w:w="1728"/>
            <w:shd w:val="clear" w:color="auto" w:fill="2E74B5"/>
          </w:tcPr>
          <w:p>
            <w:r>
              <w:rPr>
                <w:b/>
                <w:color w:val="FFFFFF"/>
              </w:rPr>
              <w:t>Target</w:t>
            </w:r>
          </w:p>
        </w:tc>
      </w:tr>
      <w:tr>
        <w:tc>
          <w:tcPr>
            <w:tcW w:type="dxa" w:w="1728"/>
          </w:tcPr>
          <w:p>
            <w:r>
              <w:t>Ground Truth</w:t>
            </w:r>
          </w:p>
        </w:tc>
        <w:tc>
          <w:tcPr>
            <w:tcW w:type="dxa" w:w="1728"/>
          </w:tcPr>
          <w:p>
            <w:r>
              <w:t>50</w:t>
            </w:r>
          </w:p>
        </w:tc>
        <w:tc>
          <w:tcPr>
            <w:tcW w:type="dxa" w:w="1728"/>
          </w:tcPr>
          <w:p>
            <w:r>
              <w:t>47 / 50</w:t>
            </w:r>
          </w:p>
        </w:tc>
        <w:tc>
          <w:tcPr>
            <w:tcW w:type="dxa" w:w="1728"/>
          </w:tcPr>
          <w:p>
            <w:r>
              <w:t>94.0%</w:t>
            </w:r>
          </w:p>
        </w:tc>
        <w:tc>
          <w:tcPr>
            <w:tcW w:type="dxa" w:w="1728"/>
          </w:tcPr>
          <w:p>
            <w:r>
              <w:t>HIGH or PARTIAL (not LOW)</w:t>
            </w:r>
          </w:p>
        </w:tc>
      </w:tr>
      <w:tr>
        <w:tc>
          <w:tcPr>
            <w:tcW w:type="dxa" w:w="1728"/>
          </w:tcPr>
          <w:p>
            <w:r>
              <w:t>Adversarial</w:t>
            </w:r>
          </w:p>
        </w:tc>
        <w:tc>
          <w:tcPr>
            <w:tcW w:type="dxa" w:w="1728"/>
          </w:tcPr>
          <w:p>
            <w:r>
              <w:t>20</w:t>
            </w:r>
          </w:p>
        </w:tc>
        <w:tc>
          <w:tcPr>
            <w:tcW w:type="dxa" w:w="1728"/>
          </w:tcPr>
          <w:p>
            <w:r>
              <w:t>9 / 20</w:t>
            </w:r>
          </w:p>
        </w:tc>
        <w:tc>
          <w:tcPr>
            <w:tcW w:type="dxa" w:w="1728"/>
          </w:tcPr>
          <w:p>
            <w:r>
              <w:t>45.0%</w:t>
            </w:r>
          </w:p>
        </w:tc>
        <w:tc>
          <w:tcPr>
            <w:tcW w:type="dxa" w:w="1728"/>
          </w:tcPr>
          <w:p>
            <w:r>
              <w:t>LOW (escalate)</w:t>
            </w:r>
          </w:p>
        </w:tc>
      </w:tr>
      <w:tr>
        <w:tc>
          <w:tcPr>
            <w:tcW w:type="dxa" w:w="1728"/>
          </w:tcPr>
          <w:p>
            <w:r>
              <w:t>Contradictions</w:t>
            </w:r>
          </w:p>
        </w:tc>
        <w:tc>
          <w:tcPr>
            <w:tcW w:type="dxa" w:w="1728"/>
          </w:tcPr>
          <w:p>
            <w:r>
              <w:t>15</w:t>
            </w:r>
          </w:p>
        </w:tc>
        <w:tc>
          <w:tcPr>
            <w:tcW w:type="dxa" w:w="1728"/>
          </w:tcPr>
          <w:p>
            <w:r>
              <w:t>13 / 15</w:t>
            </w:r>
          </w:p>
        </w:tc>
        <w:tc>
          <w:tcPr>
            <w:tcW w:type="dxa" w:w="1728"/>
          </w:tcPr>
          <w:p>
            <w:r>
              <w:t>86.7%</w:t>
            </w:r>
          </w:p>
        </w:tc>
        <w:tc>
          <w:tcPr>
            <w:tcW w:type="dxa" w:w="1728"/>
          </w:tcPr>
          <w:p>
            <w:r>
              <w:t>PARTIAL (conflict surfaced)</w:t>
            </w:r>
          </w:p>
        </w:tc>
      </w:tr>
      <w:tr>
        <w:tc>
          <w:tcPr>
            <w:tcW w:type="dxa" w:w="1728"/>
          </w:tcPr>
          <w:p>
            <w:r>
              <w:t>Overall</w:t>
            </w:r>
          </w:p>
        </w:tc>
        <w:tc>
          <w:tcPr>
            <w:tcW w:type="dxa" w:w="1728"/>
          </w:tcPr>
          <w:p>
            <w:r>
              <w:t>85</w:t>
            </w:r>
          </w:p>
        </w:tc>
        <w:tc>
          <w:tcPr>
            <w:tcW w:type="dxa" w:w="1728"/>
          </w:tcPr>
          <w:p>
            <w:r>
              <w:t>69 / 85</w:t>
            </w:r>
          </w:p>
        </w:tc>
        <w:tc>
          <w:tcPr>
            <w:tcW w:type="dxa" w:w="1728"/>
          </w:tcPr>
          <w:p>
            <w:r>
              <w:t>81.2%</w:t>
            </w:r>
          </w:p>
        </w:tc>
        <w:tc>
          <w:tcPr>
            <w:tcW w:type="dxa" w:w="1728"/>
          </w:tcPr>
          <w:p>
            <w:r>
              <w:t>—</w:t>
            </w:r>
          </w:p>
        </w:tc>
      </w:tr>
    </w:tbl>
    <w:p/>
    <w:p>
      <w:pPr>
        <w:pStyle w:val="Heading2"/>
      </w:pPr>
      <w:r>
        <w:rPr>
          <w:color w:val="2E74B5"/>
        </w:rPr>
        <w:t>3.2 Ground Truth Failures (3 of 50)</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Query</w:t>
            </w:r>
          </w:p>
        </w:tc>
        <w:tc>
          <w:tcPr>
            <w:tcW w:type="dxa" w:w="2160"/>
            <w:shd w:val="clear" w:color="auto" w:fill="2E74B5"/>
          </w:tcPr>
          <w:p>
            <w:r>
              <w:rPr>
                <w:b/>
                <w:color w:val="FFFFFF"/>
              </w:rPr>
              <w:t>Top Score</w:t>
            </w:r>
          </w:p>
        </w:tc>
        <w:tc>
          <w:tcPr>
            <w:tcW w:type="dxa" w:w="2160"/>
            <w:shd w:val="clear" w:color="auto" w:fill="2E74B5"/>
          </w:tcPr>
          <w:p>
            <w:r>
              <w:rPr>
                <w:b/>
                <w:color w:val="FFFFFF"/>
              </w:rPr>
              <w:t>Route</w:t>
            </w:r>
          </w:p>
        </w:tc>
        <w:tc>
          <w:tcPr>
            <w:tcW w:type="dxa" w:w="2160"/>
            <w:shd w:val="clear" w:color="auto" w:fill="2E74B5"/>
          </w:tcPr>
          <w:p>
            <w:r>
              <w:rPr>
                <w:b/>
                <w:color w:val="FFFFFF"/>
              </w:rPr>
              <w:t>Expected</w:t>
            </w:r>
          </w:p>
        </w:tc>
      </w:tr>
      <w:tr>
        <w:tc>
          <w:tcPr>
            <w:tcW w:type="dxa" w:w="2160"/>
          </w:tcPr>
          <w:p>
            <w:r>
              <w:t>What are the installation requirements for the Trane XR15 heat pump?</w:t>
            </w:r>
          </w:p>
        </w:tc>
        <w:tc>
          <w:tcPr>
            <w:tcW w:type="dxa" w:w="2160"/>
          </w:tcPr>
          <w:p>
            <w:r>
              <w:t>0.48</w:t>
            </w:r>
          </w:p>
        </w:tc>
        <w:tc>
          <w:tcPr>
            <w:tcW w:type="dxa" w:w="2160"/>
          </w:tcPr>
          <w:p>
            <w:r>
              <w:t>LOW</w:t>
            </w:r>
          </w:p>
        </w:tc>
        <w:tc>
          <w:tcPr>
            <w:tcW w:type="dxa" w:w="2160"/>
          </w:tcPr>
          <w:p>
            <w:r>
              <w:t>HIGH or PARTIAL</w:t>
            </w:r>
          </w:p>
        </w:tc>
      </w:tr>
      <w:tr>
        <w:tc>
          <w:tcPr>
            <w:tcW w:type="dxa" w:w="2160"/>
          </w:tcPr>
          <w:p>
            <w:r>
              <w:t>What is the SEER rating for the Trane XR15?</w:t>
            </w:r>
          </w:p>
        </w:tc>
        <w:tc>
          <w:tcPr>
            <w:tcW w:type="dxa" w:w="2160"/>
          </w:tcPr>
          <w:p>
            <w:r>
              <w:t>0.42</w:t>
            </w:r>
          </w:p>
        </w:tc>
        <w:tc>
          <w:tcPr>
            <w:tcW w:type="dxa" w:w="2160"/>
          </w:tcPr>
          <w:p>
            <w:r>
              <w:t>LOW</w:t>
            </w:r>
          </w:p>
        </w:tc>
        <w:tc>
          <w:tcPr>
            <w:tcW w:type="dxa" w:w="2160"/>
          </w:tcPr>
          <w:p>
            <w:r>
              <w:t>HIGH or PARTIAL</w:t>
            </w:r>
          </w:p>
        </w:tc>
      </w:tr>
      <w:tr>
        <w:tc>
          <w:tcPr>
            <w:tcW w:type="dxa" w:w="2160"/>
          </w:tcPr>
          <w:p>
            <w:r>
              <w:t>What electrical supply is required for the Lennox SL280?</w:t>
            </w:r>
          </w:p>
        </w:tc>
        <w:tc>
          <w:tcPr>
            <w:tcW w:type="dxa" w:w="2160"/>
          </w:tcPr>
          <w:p>
            <w:r>
              <w:t>0.49</w:t>
            </w:r>
          </w:p>
        </w:tc>
        <w:tc>
          <w:tcPr>
            <w:tcW w:type="dxa" w:w="2160"/>
          </w:tcPr>
          <w:p>
            <w:r>
              <w:t>LOW</w:t>
            </w:r>
          </w:p>
        </w:tc>
        <w:tc>
          <w:tcPr>
            <w:tcW w:type="dxa" w:w="2160"/>
          </w:tcPr>
          <w:p>
            <w:r>
              <w:t>HIGH or PARTIAL</w:t>
            </w:r>
          </w:p>
        </w:tc>
      </w:tr>
    </w:tbl>
    <w:p/>
    <w:p>
      <w:r>
        <w:t>All three failures share the same root cause: the specific query phrasing produces a top-score just below the LOW threshold (0.50). The underlying content exists in the corpus but the dense-retrieval embedding does not surface it with sufficient similarity for these exact query forms. These are chunking/phrasing sensitivity issues, not architectural defects.</w:t>
      </w:r>
    </w:p>
    <w:p>
      <w:pPr>
        <w:pStyle w:val="Heading2"/>
      </w:pPr>
      <w:r>
        <w:rPr>
          <w:color w:val="2E74B5"/>
        </w:rPr>
        <w:t>3.3 Adversarial Failures (11 of 20)</w:t>
      </w:r>
    </w:p>
    <w:p>
      <w:r>
        <w:t>The adversarial set targets out-of-corpus equipment queries. The 11 failures all route PARTIAL instead of LOW because near-miss equipment names (e.g., Lennox XC25, Trane XR13, Carrier 50XC, R-22 handling, OSHA confined space) score ≥ 0.50 against in-corpus counterparts via cosine similarity. This is an accepted architectural limitation of dense vector retrieval — model numbers are semantically similar even when they refer to different equipment. The system does not hallucinate in these cases (it routes PARTIAL with a "verify before acting" warning), so the safety guarantee is preserved. A production fix would require hybrid retrieval (BM25 + dense) or metadata filtering on equipment identifiers.</w:t>
      </w:r>
    </w:p>
    <w:p>
      <w:pPr>
        <w:pStyle w:val="Heading2"/>
      </w:pPr>
      <w:r>
        <w:rPr>
          <w:color w:val="2E74B5"/>
        </w:rPr>
        <w:t>3.4 Contradiction Failures (2 of 15)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Query</w:t>
            </w:r>
          </w:p>
        </w:tc>
        <w:tc>
          <w:tcPr>
            <w:tcW w:type="dxa" w:w="2160"/>
            <w:shd w:val="clear" w:color="auto" w:fill="2E74B5"/>
          </w:tcPr>
          <w:p>
            <w:r>
              <w:rPr>
                <w:b/>
                <w:color w:val="FFFFFF"/>
              </w:rPr>
              <w:t>Top Score</w:t>
            </w:r>
          </w:p>
        </w:tc>
        <w:tc>
          <w:tcPr>
            <w:tcW w:type="dxa" w:w="2160"/>
            <w:shd w:val="clear" w:color="auto" w:fill="2E74B5"/>
          </w:tcPr>
          <w:p>
            <w:r>
              <w:rPr>
                <w:b/>
                <w:color w:val="FFFFFF"/>
              </w:rPr>
              <w:t>Route</w:t>
            </w:r>
          </w:p>
        </w:tc>
        <w:tc>
          <w:tcPr>
            <w:tcW w:type="dxa" w:w="2160"/>
            <w:shd w:val="clear" w:color="auto" w:fill="2E74B5"/>
          </w:tcPr>
          <w:p>
            <w:r>
              <w:rPr>
                <w:b/>
                <w:color w:val="FFFFFF"/>
              </w:rPr>
              <w:t>Expected</w:t>
            </w:r>
          </w:p>
        </w:tc>
      </w:tr>
      <w:tr>
        <w:tc>
          <w:tcPr>
            <w:tcW w:type="dxa" w:w="2160"/>
          </w:tcPr>
          <w:p>
            <w:r>
              <w:t>Carrier 48LC filter replacement intervals: 2017 vs 2023?</w:t>
            </w:r>
          </w:p>
        </w:tc>
        <w:tc>
          <w:tcPr>
            <w:tcW w:type="dxa" w:w="2160"/>
          </w:tcPr>
          <w:p>
            <w:r>
              <w:t>0.48</w:t>
            </w:r>
          </w:p>
        </w:tc>
        <w:tc>
          <w:tcPr>
            <w:tcW w:type="dxa" w:w="2160"/>
          </w:tcPr>
          <w:p>
            <w:r>
              <w:t>LOW</w:t>
            </w:r>
          </w:p>
        </w:tc>
        <w:tc>
          <w:tcPr>
            <w:tcW w:type="dxa" w:w="2160"/>
          </w:tcPr>
          <w:p>
            <w:r>
              <w:t>PARTIAL</w:t>
            </w:r>
          </w:p>
        </w:tc>
      </w:tr>
      <w:tr>
        <w:tc>
          <w:tcPr>
            <w:tcW w:type="dxa" w:w="2160"/>
          </w:tcPr>
          <w:p>
            <w:r>
              <w:t>Differences in maintenance requirements: 2017 vs 2023 Carrier 48LC?</w:t>
            </w:r>
          </w:p>
        </w:tc>
        <w:tc>
          <w:tcPr>
            <w:tcW w:type="dxa" w:w="2160"/>
          </w:tcPr>
          <w:p>
            <w:r>
              <w:t>0.48</w:t>
            </w:r>
          </w:p>
        </w:tc>
        <w:tc>
          <w:tcPr>
            <w:tcW w:type="dxa" w:w="2160"/>
          </w:tcPr>
          <w:p>
            <w:r>
              <w:t>LOW</w:t>
            </w:r>
          </w:p>
        </w:tc>
        <w:tc>
          <w:tcPr>
            <w:tcW w:type="dxa" w:w="2160"/>
          </w:tcPr>
          <w:p>
            <w:r>
              <w:t>PARTIAL</w:t>
            </w:r>
          </w:p>
        </w:tc>
      </w:tr>
    </w:tbl>
    <w:p/>
    <w:p>
      <w:r>
        <w:t>Both failures are direct version-comparison queries (explicitly naming "2017 vs 2023"). The query phrasing is too specific to match well against either version of the manual using dense embeddings. These are the same chunking sensitivity issues as the ground truth failures — the content is present but not surfaced with sufficient similarity.</w:t>
      </w:r>
    </w:p>
    <w:p>
      <w:pPr>
        <w:pStyle w:val="Heading2"/>
      </w:pPr>
      <w:r>
        <w:rPr>
          <w:color w:val="2E74B5"/>
        </w:rPr>
        <w:t>3.5 Key System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Metric</w:t>
            </w:r>
          </w:p>
        </w:tc>
        <w:tc>
          <w:tcPr>
            <w:tcW w:type="dxa" w:w="2160"/>
            <w:shd w:val="clear" w:color="auto" w:fill="2E74B5"/>
          </w:tcPr>
          <w:p>
            <w:r>
              <w:rPr>
                <w:b/>
                <w:color w:val="FFFFFF"/>
              </w:rPr>
              <w:t>Value</w:t>
            </w:r>
          </w:p>
        </w:tc>
        <w:tc>
          <w:tcPr>
            <w:tcW w:type="dxa" w:w="2160"/>
            <w:shd w:val="clear" w:color="auto" w:fill="2E74B5"/>
          </w:tcPr>
          <w:p>
            <w:r>
              <w:rPr>
                <w:b/>
                <w:color w:val="FFFFFF"/>
              </w:rPr>
              <w:t>Target</w:t>
            </w:r>
          </w:p>
        </w:tc>
        <w:tc>
          <w:tcPr>
            <w:tcW w:type="dxa" w:w="2160"/>
            <w:shd w:val="clear" w:color="auto" w:fill="2E74B5"/>
          </w:tcPr>
          <w:p>
            <w:r>
              <w:rPr>
                <w:b/>
                <w:color w:val="FFFFFF"/>
              </w:rPr>
              <w:t>Status</w:t>
            </w:r>
          </w:p>
        </w:tc>
      </w:tr>
      <w:tr>
        <w:tc>
          <w:tcPr>
            <w:tcW w:type="dxa" w:w="2160"/>
          </w:tcPr>
          <w:p>
            <w:r>
              <w:t>Hallucination rate (HIGH wrong answer)</w:t>
            </w:r>
          </w:p>
        </w:tc>
        <w:tc>
          <w:tcPr>
            <w:tcW w:type="dxa" w:w="2160"/>
          </w:tcPr>
          <w:p>
            <w:r>
              <w:t>&lt; 2%</w:t>
            </w:r>
          </w:p>
        </w:tc>
        <w:tc>
          <w:tcPr>
            <w:tcW w:type="dxa" w:w="2160"/>
          </w:tcPr>
          <w:p>
            <w:r>
              <w:t>&lt; 2%</w:t>
            </w:r>
          </w:p>
        </w:tc>
        <w:tc>
          <w:tcPr>
            <w:tcW w:type="dxa" w:w="2160"/>
          </w:tcPr>
          <w:p>
            <w:r>
              <w:t>PASS</w:t>
            </w:r>
          </w:p>
        </w:tc>
      </w:tr>
      <w:tr>
        <w:tc>
          <w:tcPr>
            <w:tcW w:type="dxa" w:w="2160"/>
          </w:tcPr>
          <w:p>
            <w:r>
              <w:t>Coverage rate (HIGH or PARTIAL on known queries)</w:t>
            </w:r>
          </w:p>
        </w:tc>
        <w:tc>
          <w:tcPr>
            <w:tcW w:type="dxa" w:w="2160"/>
          </w:tcPr>
          <w:p>
            <w:r>
              <w:t>94.0%</w:t>
            </w:r>
          </w:p>
        </w:tc>
        <w:tc>
          <w:tcPr>
            <w:tcW w:type="dxa" w:w="2160"/>
          </w:tcPr>
          <w:p>
            <w:r>
              <w:t>&gt; 80%</w:t>
            </w:r>
          </w:p>
        </w:tc>
        <w:tc>
          <w:tcPr>
            <w:tcW w:type="dxa" w:w="2160"/>
          </w:tcPr>
          <w:p>
            <w:r>
              <w:t>PASS</w:t>
            </w:r>
          </w:p>
        </w:tc>
      </w:tr>
      <w:tr>
        <w:tc>
          <w:tcPr>
            <w:tcW w:type="dxa" w:w="2160"/>
          </w:tcPr>
          <w:p>
            <w:r>
              <w:t>Escalation rate (LOW on unknown queries)</w:t>
            </w:r>
          </w:p>
        </w:tc>
        <w:tc>
          <w:tcPr>
            <w:tcW w:type="dxa" w:w="2160"/>
          </w:tcPr>
          <w:p>
            <w:r>
              <w:t>45.0%</w:t>
            </w:r>
          </w:p>
        </w:tc>
        <w:tc>
          <w:tcPr>
            <w:tcW w:type="dxa" w:w="2160"/>
          </w:tcPr>
          <w:p>
            <w:r>
              <w:t>10–25%*</w:t>
            </w:r>
          </w:p>
        </w:tc>
        <w:tc>
          <w:tcPr>
            <w:tcW w:type="dxa" w:w="2160"/>
          </w:tcPr>
          <w:p>
            <w:r>
              <w:t>ACCEPTED LIMITATION</w:t>
            </w:r>
          </w:p>
        </w:tc>
      </w:tr>
      <w:tr>
        <w:tc>
          <w:tcPr>
            <w:tcW w:type="dxa" w:w="2160"/>
          </w:tcPr>
          <w:p>
            <w:r>
              <w:t>Contradiction detection rate</w:t>
            </w:r>
          </w:p>
        </w:tc>
        <w:tc>
          <w:tcPr>
            <w:tcW w:type="dxa" w:w="2160"/>
          </w:tcPr>
          <w:p>
            <w:r>
              <w:t>86.7%</w:t>
            </w:r>
          </w:p>
        </w:tc>
        <w:tc>
          <w:tcPr>
            <w:tcW w:type="dxa" w:w="2160"/>
          </w:tcPr>
          <w:p>
            <w:r>
              <w:t>&gt; 80%</w:t>
            </w:r>
          </w:p>
        </w:tc>
        <w:tc>
          <w:tcPr>
            <w:tcW w:type="dxa" w:w="2160"/>
          </w:tcPr>
          <w:p>
            <w:r>
              <w:t>PASS</w:t>
            </w:r>
          </w:p>
        </w:tc>
      </w:tr>
      <w:tr>
        <w:tc>
          <w:tcPr>
            <w:tcW w:type="dxa" w:w="2160"/>
          </w:tcPr>
          <w:p>
            <w:r>
              <w:t>Unit tests</w:t>
            </w:r>
          </w:p>
        </w:tc>
        <w:tc>
          <w:tcPr>
            <w:tcW w:type="dxa" w:w="2160"/>
          </w:tcPr>
          <w:p>
            <w:r>
              <w:t>11 / 11</w:t>
            </w:r>
          </w:p>
        </w:tc>
        <w:tc>
          <w:tcPr>
            <w:tcW w:type="dxa" w:w="2160"/>
          </w:tcPr>
          <w:p>
            <w:r>
              <w:t>All pass</w:t>
            </w:r>
          </w:p>
        </w:tc>
        <w:tc>
          <w:tcPr>
            <w:tcW w:type="dxa" w:w="2160"/>
          </w:tcPr>
          <w:p>
            <w:r>
              <w:t>PASS</w:t>
            </w:r>
          </w:p>
        </w:tc>
      </w:tr>
    </w:tbl>
    <w:p/>
    <w:p>
      <w:r>
        <w:t>* Escalation rate target of 10–25% was defined for the full adversarial set. The actual 45% escalation rate on adversarial queries is expected given that 11/20 adversarial cases route PARTIAL (not LOW) due to near-miss equipment name similarity — a known architectural limitation. On the ground truth set, escalation rate is 6% (3/50), within target.</w:t>
      </w:r>
    </w:p>
    <w:p>
      <w:pPr>
        <w:pStyle w:val="Heading1"/>
      </w:pPr>
      <w:r>
        <w:rPr>
          <w:color w:val="1F497D"/>
        </w:rPr>
        <w:t>4. Issues Encountered and Resolutions</w:t>
      </w:r>
    </w:p>
    <w:p>
      <w:pPr>
        <w:pStyle w:val="Heading2"/>
      </w:pPr>
      <w:r>
        <w:rPr>
          <w:color w:val="2E74B5"/>
        </w:rPr>
        <w:t>4.1 False PARTIAL Routes on Lennox SL280 Queries</w:t>
      </w:r>
    </w:p>
    <w:p>
      <w:r>
        <w:t>Status: RESOLVED in this phase.</w:t>
      </w:r>
    </w:p>
    <w:p>
      <w:r>
        <w:t>Symptom: "What are the venting requirements for the Lennox SL280 furnace?" routed PARTIAL (score 0.81) instead of HIGH. "What is the gas pressure specification for the Lennox SL280?" returned job_history as the top-ranked source (0.72) and routed PARTIAL.</w:t>
      </w:r>
    </w:p>
    <w:p>
      <w:r>
        <w:t>Root cause: Heuristic 1 in detect_conflicts() treated all three collections as peers. Any two collections with top-3 scores within 0.15 of each other fired a conflict. Synthetic job records about SL280 service visits scored 0.74–0.75, placing them within the window of the manual at 0.81.</w:t>
      </w:r>
    </w:p>
    <w:p>
      <w:r>
        <w:t>Fix: Modified retriever.py:detect_conflicts() so Heuristic 1 only evaluates results from the AUTHORITATIVE set {osha, manuals}. job_history is excluded from conflict-triggering. The fix required three lines of code and preserves all existing behavior for osha–manuals conflicts and within-collection version conflicts (Heuristic 2 unchanged).</w:t>
      </w:r>
    </w:p>
    <w:p>
      <w:pPr>
        <w:pStyle w:val="Heading2"/>
      </w:pPr>
      <w:r>
        <w:rPr>
          <w:color w:val="2E74B5"/>
        </w:rPr>
        <w:t>4.2 Gas Pressure Query Routing PARTIAL (Score 0.72)</w:t>
      </w:r>
    </w:p>
    <w:p>
      <w:r>
        <w:t>Status: OPEN — accepted for submission.</w:t>
      </w:r>
    </w:p>
    <w:p>
      <w:r>
        <w:t>"What is the gas pressure specification for the Lennox SL280?" scores 0.72 — below the HIGH threshold of 0.80. The Lennox SL280 installation manual contains this specification, but the relevant chunk does not surface as the top result. This is a retrieval quality issue: the query phrasing does not align closely enough with the specific table/section in the manual where gas pressure specifications appear.</w:t>
      </w:r>
    </w:p>
    <w:p>
      <w:r>
        <w:t>The answer provided (3.2–3.8 inches WC) is factually derived from the corpus. The PARTIAL route is conservative and appropriate — a technician is instructed to verify before acting, which is the correct safety behavior. No fix required for submission.</w:t>
      </w:r>
    </w:p>
    <w:p>
      <w:pPr>
        <w:pStyle w:val="Heading2"/>
      </w:pPr>
      <w:r>
        <w:rPr>
          <w:color w:val="2E74B5"/>
        </w:rPr>
        <w:t>4.3 Duplicate Chunks in Chroma</w:t>
      </w:r>
    </w:p>
    <w:p>
      <w:r>
        <w:t>Status: OPEN — fix before submission.</w:t>
      </w:r>
    </w:p>
    <w:p>
      <w:r>
        <w:t>ingest.py was run twice without clearing the Chroma collections. All three collections contain 2× the expected chunk counts (osha: 566 vs. expected 283; manuals: 2,744 vs. expected 1,372; job_history: 183 vs. expected ~91). Retrieval still functions correctly but may return duplicate chunks in citations, and embedding time is doubled.</w:t>
      </w:r>
    </w:p>
    <w:p>
      <w:r>
        <w:t>Fix: Delete data/chroma_db/ entirely and run python src/ingest.py once before final submission.</w:t>
      </w:r>
    </w:p>
    <w:p>
      <w:pPr>
        <w:pStyle w:val="Heading1"/>
      </w:pPr>
      <w:r>
        <w:rPr>
          <w:color w:val="1F497D"/>
        </w:rPr>
        <w:t>5. Remaining Known Issues Entering Phase 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w:t>
            </w:r>
          </w:p>
        </w:tc>
        <w:tc>
          <w:tcPr>
            <w:tcW w:type="dxa" w:w="2160"/>
            <w:shd w:val="clear" w:color="auto" w:fill="2E74B5"/>
          </w:tcPr>
          <w:p>
            <w:r>
              <w:rPr>
                <w:b/>
                <w:color w:val="FFFFFF"/>
              </w:rPr>
              <w:t>Issue</w:t>
            </w:r>
          </w:p>
        </w:tc>
        <w:tc>
          <w:tcPr>
            <w:tcW w:type="dxa" w:w="2160"/>
            <w:shd w:val="clear" w:color="auto" w:fill="2E74B5"/>
          </w:tcPr>
          <w:p>
            <w:r>
              <w:rPr>
                <w:b/>
                <w:color w:val="FFFFFF"/>
              </w:rPr>
              <w:t>Severity</w:t>
            </w:r>
          </w:p>
        </w:tc>
        <w:tc>
          <w:tcPr>
            <w:tcW w:type="dxa" w:w="2160"/>
            <w:shd w:val="clear" w:color="auto" w:fill="2E74B5"/>
          </w:tcPr>
          <w:p>
            <w:r>
              <w:rPr>
                <w:b/>
                <w:color w:val="FFFFFF"/>
              </w:rPr>
              <w:t>Fix</w:t>
            </w:r>
          </w:p>
        </w:tc>
      </w:tr>
      <w:tr>
        <w:tc>
          <w:tcPr>
            <w:tcW w:type="dxa" w:w="2160"/>
          </w:tcPr>
          <w:p>
            <w:r>
              <w:t>1</w:t>
            </w:r>
          </w:p>
        </w:tc>
        <w:tc>
          <w:tcPr>
            <w:tcW w:type="dxa" w:w="2160"/>
          </w:tcPr>
          <w:p>
            <w:r>
              <w:t>Duplicate Chroma chunks (2× ingest)</w:t>
            </w:r>
          </w:p>
        </w:tc>
        <w:tc>
          <w:tcPr>
            <w:tcW w:type="dxa" w:w="2160"/>
          </w:tcPr>
          <w:p>
            <w:r>
              <w:t>Medium</w:t>
            </w:r>
          </w:p>
        </w:tc>
        <w:tc>
          <w:tcPr>
            <w:tcW w:type="dxa" w:w="2160"/>
          </w:tcPr>
          <w:p>
            <w:r>
              <w:t>Delete chroma_db/ and re-ingest once</w:t>
            </w:r>
          </w:p>
        </w:tc>
      </w:tr>
      <w:tr>
        <w:tc>
          <w:tcPr>
            <w:tcW w:type="dxa" w:w="2160"/>
          </w:tcPr>
          <w:p>
            <w:r>
              <w:t>2</w:t>
            </w:r>
          </w:p>
        </w:tc>
        <w:tc>
          <w:tcPr>
            <w:tcW w:type="dxa" w:w="2160"/>
          </w:tcPr>
          <w:p>
            <w:r>
              <w:t>Adversarial at 45% (near-miss equipment IDs)</w:t>
            </w:r>
          </w:p>
        </w:tc>
        <w:tc>
          <w:tcPr>
            <w:tcW w:type="dxa" w:w="2160"/>
          </w:tcPr>
          <w:p>
            <w:r>
              <w:t>Low (accepted)</w:t>
            </w:r>
          </w:p>
        </w:tc>
        <w:tc>
          <w:tcPr>
            <w:tcW w:type="dxa" w:w="2160"/>
          </w:tcPr>
          <w:p>
            <w:r>
              <w:t>Hybrid retrieval (BM25 + dense) — out of scope</w:t>
            </w:r>
          </w:p>
        </w:tc>
      </w:tr>
      <w:tr>
        <w:tc>
          <w:tcPr>
            <w:tcW w:type="dxa" w:w="2160"/>
          </w:tcPr>
          <w:p>
            <w:r>
              <w:t>3</w:t>
            </w:r>
          </w:p>
        </w:tc>
        <w:tc>
          <w:tcPr>
            <w:tcW w:type="dxa" w:w="2160"/>
          </w:tcPr>
          <w:p>
            <w:r>
              <w:t>Gas pressure query routes PARTIAL (0.72)</w:t>
            </w:r>
          </w:p>
        </w:tc>
        <w:tc>
          <w:tcPr>
            <w:tcW w:type="dxa" w:w="2160"/>
          </w:tcPr>
          <w:p>
            <w:r>
              <w:t>Low (accepted)</w:t>
            </w:r>
          </w:p>
        </w:tc>
        <w:tc>
          <w:tcPr>
            <w:tcW w:type="dxa" w:w="2160"/>
          </w:tcPr>
          <w:p>
            <w:r>
              <w:t>Chunking improvement — out of scope</w:t>
            </w:r>
          </w:p>
        </w:tc>
      </w:tr>
      <w:tr>
        <w:tc>
          <w:tcPr>
            <w:tcW w:type="dxa" w:w="2160"/>
          </w:tcPr>
          <w:p>
            <w:r>
              <w:t>4</w:t>
            </w:r>
          </w:p>
        </w:tc>
        <w:tc>
          <w:tcPr>
            <w:tcW w:type="dxa" w:w="2160"/>
          </w:tcPr>
          <w:p>
            <w:r>
              <w:t>Airflow query retrieves Lennox content for Carrier 48LC query</w:t>
            </w:r>
          </w:p>
        </w:tc>
        <w:tc>
          <w:tcPr>
            <w:tcW w:type="dxa" w:w="2160"/>
          </w:tcPr>
          <w:p>
            <w:r>
              <w:t>Low</w:t>
            </w:r>
          </w:p>
        </w:tc>
        <w:tc>
          <w:tcPr>
            <w:tcW w:type="dxa" w:w="2160"/>
          </w:tcPr>
          <w:p>
            <w:r>
              <w:t>Metadata filtering or query augmentation — out of scope</w:t>
            </w:r>
          </w:p>
        </w:tc>
      </w:tr>
    </w:tbl>
    <w:p/>
    <w:p>
      <w:pPr>
        <w:pStyle w:val="Heading1"/>
      </w:pPr>
      <w:r>
        <w:rPr>
          <w:color w:val="1F497D"/>
        </w:rPr>
        <w:t>6. Phase 5 Readiness</w:t>
      </w:r>
    </w:p>
    <w:p>
      <w:r>
        <w:t>Phase 5 (Submission Polish) is the final phase. The system is feature-complete. Required actions before April 8 submission:</w:t>
      </w:r>
    </w:p>
    <w:p>
      <w:pPr>
        <w:pStyle w:val="ListBullet"/>
        <w:ind w:left="360"/>
      </w:pPr>
      <w:r>
        <w:t>Delete data/chroma_db/ and run python src/ingest.py once to eliminate duplicate chunks</w:t>
      </w:r>
    </w:p>
    <w:p>
      <w:pPr>
        <w:pStyle w:val="ListBullet"/>
        <w:ind w:left="360"/>
      </w:pPr>
      <w:r>
        <w:t>Run python eval/run_eval.py — produce final clean eval_results.csv</w:t>
      </w:r>
    </w:p>
    <w:p>
      <w:pPr>
        <w:pStyle w:val="ListBullet"/>
        <w:ind w:left="360"/>
      </w:pPr>
      <w:r>
        <w:t>Verify final metrics: hallucination &lt; 2%, coverage &gt; 80%, escalation within acceptable range</w:t>
      </w:r>
    </w:p>
    <w:p>
      <w:pPr>
        <w:pStyle w:val="ListBullet"/>
        <w:ind w:left="360"/>
      </w:pPr>
      <w:r>
        <w:t>Update README.md with setup instructions and environment variable documentation</w:t>
      </w:r>
    </w:p>
    <w:p>
      <w:pPr>
        <w:pStyle w:val="ListBullet"/>
        <w:ind w:left="360"/>
      </w:pPr>
      <w:r>
        <w:t>Confirm requirements.txt is complete (streamlit, langchain_chroma, langchain_huggingface confirmed present)</w:t>
      </w:r>
    </w:p>
    <w:p>
      <w:pPr>
        <w:pStyle w:val="ListBullet"/>
        <w:ind w:left="360"/>
      </w:pPr>
      <w:r>
        <w:t>Record short video walkthrough: HIGH → PARTIAL → LOW in sequence via Streamlit UI</w:t>
      </w:r>
    </w:p>
    <w:p>
      <w:pPr>
        <w:pStyle w:val="Heading2"/>
      </w:pPr>
      <w:r>
        <w:rPr>
          <w:color w:val="2E74B5"/>
        </w:rPr>
        <w:t>Demo Query Reference (for video and live presentation)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4B5"/>
          </w:tcPr>
          <w:p>
            <w:r>
              <w:rPr>
                <w:b/>
                <w:color w:val="FFFFFF"/>
              </w:rPr>
              <w:t>Path</w:t>
            </w:r>
          </w:p>
        </w:tc>
        <w:tc>
          <w:tcPr>
            <w:tcW w:type="dxa" w:w="2160"/>
            <w:shd w:val="clear" w:color="auto" w:fill="2E74B5"/>
          </w:tcPr>
          <w:p>
            <w:r>
              <w:rPr>
                <w:b/>
                <w:color w:val="FFFFFF"/>
              </w:rPr>
              <w:t>Query</w:t>
            </w:r>
          </w:p>
        </w:tc>
        <w:tc>
          <w:tcPr>
            <w:tcW w:type="dxa" w:w="2160"/>
            <w:shd w:val="clear" w:color="auto" w:fill="2E74B5"/>
          </w:tcPr>
          <w:p>
            <w:r>
              <w:rPr>
                <w:b/>
                <w:color w:val="FFFFFF"/>
              </w:rPr>
              <w:t>Expected Score</w:t>
            </w:r>
          </w:p>
        </w:tc>
        <w:tc>
          <w:tcPr>
            <w:tcW w:type="dxa" w:w="2160"/>
            <w:shd w:val="clear" w:color="auto" w:fill="2E74B5"/>
          </w:tcPr>
          <w:p>
            <w:r>
              <w:rPr>
                <w:b/>
                <w:color w:val="FFFFFF"/>
              </w:rPr>
              <w:t>Note</w:t>
            </w:r>
          </w:p>
        </w:tc>
      </w:tr>
      <w:tr>
        <w:tc>
          <w:tcPr>
            <w:tcW w:type="dxa" w:w="2160"/>
          </w:tcPr>
          <w:p>
            <w:r>
              <w:t>HIGH</w:t>
            </w:r>
          </w:p>
        </w:tc>
        <w:tc>
          <w:tcPr>
            <w:tcW w:type="dxa" w:w="2160"/>
          </w:tcPr>
          <w:p>
            <w:r>
              <w:t>What are the steps for the lockout tagout energy control procedure?</w:t>
            </w:r>
          </w:p>
        </w:tc>
        <w:tc>
          <w:tcPr>
            <w:tcW w:type="dxa" w:w="2160"/>
          </w:tcPr>
          <w:p>
            <w:r>
              <w:t>~0.93</w:t>
            </w:r>
          </w:p>
        </w:tc>
        <w:tc>
          <w:tcPr>
            <w:tcW w:type="dxa" w:w="2160"/>
          </w:tcPr>
          <w:p>
            <w:r>
              <w:t>OSHA 1910.147 — confirmed demo query</w:t>
            </w:r>
          </w:p>
        </w:tc>
      </w:tr>
      <w:tr>
        <w:tc>
          <w:tcPr>
            <w:tcW w:type="dxa" w:w="2160"/>
          </w:tcPr>
          <w:p>
            <w:r>
              <w:t>PARTIAL</w:t>
            </w:r>
          </w:p>
        </w:tc>
        <w:tc>
          <w:tcPr>
            <w:tcW w:type="dxa" w:w="2160"/>
          </w:tcPr>
          <w:p>
            <w:r>
              <w:t>What is the recommended refrigerant charge pressure for a Carrier rooftop unit?</w:t>
            </w:r>
          </w:p>
        </w:tc>
        <w:tc>
          <w:tcPr>
            <w:tcW w:type="dxa" w:w="2160"/>
          </w:tcPr>
          <w:p>
            <w:r>
              <w:t>~0.52</w:t>
            </w:r>
          </w:p>
        </w:tc>
        <w:tc>
          <w:tcPr>
            <w:tcW w:type="dxa" w:w="2160"/>
          </w:tcPr>
          <w:p>
            <w:r>
              <w:t>Cross-version conflict: Carrier 2017 vs 2023</w:t>
            </w:r>
          </w:p>
        </w:tc>
      </w:tr>
      <w:tr>
        <w:tc>
          <w:tcPr>
            <w:tcW w:type="dxa" w:w="2160"/>
          </w:tcPr>
          <w:p>
            <w:r>
              <w:t>LOW</w:t>
            </w:r>
          </w:p>
        </w:tc>
        <w:tc>
          <w:tcPr>
            <w:tcW w:type="dxa" w:w="2160"/>
          </w:tcPr>
          <w:p>
            <w:r>
              <w:t>What are the repair procedures for a Daikin VRV system model DX300?</w:t>
            </w:r>
          </w:p>
        </w:tc>
        <w:tc>
          <w:tcPr>
            <w:tcW w:type="dxa" w:w="2160"/>
          </w:tcPr>
          <w:p>
            <w:r>
              <w:t>~0.31</w:t>
            </w:r>
          </w:p>
        </w:tc>
        <w:tc>
          <w:tcPr>
            <w:tcW w:type="dxa" w:w="2160"/>
          </w:tcPr>
          <w:p>
            <w:r>
              <w:t>Out-of-corpus — confirmed escalation</w:t>
            </w:r>
          </w:p>
        </w:tc>
      </w:tr>
    </w:tbl>
    <w:p/>
    <w:p>
      <w:pPr>
        <w:pStyle w:val="Heading1"/>
      </w:pPr>
      <w:r>
        <w:rPr>
          <w:color w:val="1F497D"/>
        </w:rPr>
        <w:t>7. Architecture Notes and Design Decisions</w:t>
      </w:r>
    </w:p>
    <w:p>
      <w:pPr>
        <w:pStyle w:val="Heading2"/>
      </w:pPr>
      <w:r>
        <w:rPr>
          <w:color w:val="2E74B5"/>
        </w:rPr>
        <w:t>7.1 Conflict Detection Hierarchy</w:t>
      </w:r>
    </w:p>
    <w:p>
      <w:r>
        <w:t>The conflict detection fix in Phase 4 formalizes a hierarchy that was implicit in the system design but not enforced in code: osha and manuals are authoritative sources; job_history is anecdotal context. This distinction matters for safety-critical routing — a field technician's service note should never override or "conflict" with the manufacturer's installation manual or an OSHA regulation.</w:t>
      </w:r>
    </w:p>
    <w:p>
      <w:pPr>
        <w:pStyle w:val="Heading2"/>
      </w:pPr>
      <w:r>
        <w:rPr>
          <w:color w:val="2E74B5"/>
        </w:rPr>
        <w:t>7.2 LOW Path LLM Skip</w:t>
      </w:r>
    </w:p>
    <w:p>
      <w:r>
        <w:t>The LOW path continues to skip the LLM entirely (assistant.py line 82). This is the core safety guarantee of the system. The conflict detection fix does not change this behavior — it only affects whether HIGH-scoring-manual queries are incorrectly downgraded to PARTIAL by job_history pollution.</w:t>
      </w:r>
    </w:p>
    <w:p>
      <w:pPr>
        <w:pStyle w:val="Heading2"/>
      </w:pPr>
      <w:r>
        <w:rPr>
          <w:color w:val="2E74B5"/>
        </w:rPr>
        <w:t>7.3 Threshold Configuration</w:t>
      </w:r>
    </w:p>
    <w:p>
      <w:r>
        <w:t>Confidence thresholds remain at their Phase 3 tuned values: HIGH_THRESHOLD = 0.80, PARTIAL_THRESHOLD = 0.50. These are configurable via environment variables without code changes. The Phase 4 fix improved routing accuracy without touching thresholds.</w:t>
      </w:r>
    </w:p>
    <w:p/>
    <w:p>
      <w:r>
        <w:t>────────────────────────────────────────────────────────────────────────────────</w:t>
      </w:r>
    </w:p>
    <w:p>
      <w:pPr>
        <w:jc w:val="center"/>
      </w:pPr>
      <w:r>
        <w:t>Team TBH-20  |  Field Service Intelligence Assistant  |  Cornell MEM Capstone  |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