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888888"/>
          <w:sz w:val="18"/>
          <w:szCs w:val="18"/>
        </w:rPr>
        <w:t xml:space="preserve">DESIGNING AND BUILDING AI SOLUTIONS  |  TEAM TBH-20  |  APRIL 2026</w:t>
      </w:r>
    </w:p>
    <w:p>
      <w:pPr>
        <w:spacing w:after="80" w:before="0"/>
      </w:pPr>
      <w:r>
        <w:rPr>
          <w:rFonts w:ascii="Arial" w:cs="Arial" w:eastAsia="Arial" w:hAnsi="Arial"/>
          <w:b/>
          <w:bCs/>
          <w:sz w:val="48"/>
          <w:szCs w:val="48"/>
        </w:rPr>
        <w:t xml:space="preserve">AI Model Development Plan</w:t>
      </w:r>
    </w:p>
    <w:p>
      <w:pPr>
        <w:spacing w:after="80" w:before="0"/>
      </w:pPr>
      <w:r>
        <w:rPr>
          <w:rFonts w:ascii="Arial" w:cs="Arial" w:eastAsia="Arial" w:hAnsi="Arial"/>
          <w:b/>
          <w:bCs/>
          <w:color w:val="2E4A7A"/>
          <w:sz w:val="32"/>
          <w:szCs w:val="32"/>
        </w:rPr>
        <w:t xml:space="preserve">Field Service Intelligence Assistant</w:t>
      </w:r>
    </w:p>
    <w:p>
      <w:pPr>
        <w:spacing w:after="200" w:before="0"/>
      </w:pPr>
      <w:r>
        <w:rPr>
          <w:rFonts w:ascii="Arial" w:cs="Arial" w:eastAsia="Arial" w:hAnsi="Arial"/>
          <w:color w:val="555555"/>
          <w:sz w:val="24"/>
          <w:szCs w:val="24"/>
        </w:rPr>
        <w:t xml:space="preserve">A RAG-Based Context Retrieval System for Frontline Field Workers</w:t>
      </w:r>
    </w:p>
    <w:p>
      <w:pPr>
        <w:pBdr>
          <w:bottom w:val="single" w:color="2E4A7A" w:sz="8" w:space="1"/>
        </w:pBdr>
        <w:spacing w:after="200" w:before="0"/>
      </w:pPr>
      <w:r>
        <w:t xml:space="preserve"/>
      </w:r>
    </w:p>
    <w:p>
      <w:pPr>
        <w:spacing w:after="60" w:before="0"/>
      </w:pPr>
      <w:r>
        <w:rPr>
          <w:rFonts w:ascii="Arial" w:cs="Arial" w:eastAsia="Arial" w:hAnsi="Arial"/>
          <w:color w:val="333333"/>
          <w:sz w:val="22"/>
          <w:szCs w:val="22"/>
        </w:rPr>
        <w:t xml:space="preserve">Nishchay Vishwanath (nv268)  |  Dhruvil Matalia (dm973)  |  Harshita Sahni (hs2288)</w:t>
      </w:r>
    </w:p>
    <w:p>
      <w:pPr>
        <w:spacing w:after="500" w:before="0"/>
      </w:pPr>
      <w:r>
        <w:rPr>
          <w:rFonts w:ascii="Arial" w:cs="Arial" w:eastAsia="Arial" w:hAnsi="Arial"/>
          <w:color w:val="888888"/>
          <w:sz w:val="20"/>
          <w:szCs w:val="20"/>
        </w:rPr>
        <w:t xml:space="preserve">Team TBH-20  |  April 2026</w:t>
      </w:r>
    </w:p>
    <w:p>
      <w:r>
        <w:br w:type="page"/>
      </w:r>
    </w:p>
    <w:p>
      <w:pPr>
        <w:pStyle w:val="Heading1"/>
        <w:pBdr>
          <w:bottom w:val="single" w:color="2E4A7A" w:sz="6" w:space="4"/>
        </w:pBdr>
        <w:spacing w:after="160" w:before="400"/>
      </w:pPr>
      <w:r>
        <w:rPr>
          <w:rFonts w:ascii="Arial" w:cs="Arial" w:eastAsia="Arial" w:hAnsi="Arial"/>
          <w:b/>
          <w:bCs/>
          <w:sz w:val="32"/>
          <w:szCs w:val="32"/>
        </w:rPr>
        <w:t xml:space="preserve">Business Objective</w:t>
      </w:r>
    </w:p>
    <w:p>
      <w:pPr>
        <w:spacing w:after="40" w:before="40"/>
      </w:pPr>
      <w:r>
        <w:t xml:space="preserve"/>
      </w:r>
    </w:p>
    <w:p>
      <w:pPr>
        <w:pStyle w:val="Heading2"/>
        <w:spacing w:after="120" w:before="280"/>
      </w:pPr>
      <w:r>
        <w:rPr>
          <w:rFonts w:ascii="Arial" w:cs="Arial" w:eastAsia="Arial" w:hAnsi="Arial"/>
          <w:b/>
          <w:bCs/>
          <w:color w:val="2E4A7A"/>
          <w:sz w:val="26"/>
          <w:szCs w:val="26"/>
        </w:rPr>
        <w:t xml:space="preserve">Problem Statement</w:t>
      </w:r>
    </w:p>
    <w:p>
      <w:pPr>
        <w:spacing w:after="60" w:before="60"/>
      </w:pPr>
      <w:r>
        <w:rPr>
          <w:rFonts w:ascii="Arial" w:cs="Arial" w:eastAsia="Arial" w:hAnsi="Arial"/>
          <w:sz w:val="22"/>
          <w:szCs w:val="22"/>
        </w:rPr>
        <w:t xml:space="preserve">Field technicians at HVAC, plumbing, electrical, and infrastructure companies make high-stakes decisions under time pressure using incomplete information. The data they need exists: equipment manuals, safety procedures, and past service records. But it is scattered across binders in the truck, CRMs back at the office, and PDF files nobody can access on-site. The result is unnecessary escalations, incorrect procedures, safety violations, and wasted resolution time.</w:t>
      </w:r>
    </w:p>
    <w:p>
      <w:pPr>
        <w:spacing w:after="80" w:before="80"/>
      </w:pPr>
      <w:r>
        <w:t xml:space="preserve"/>
      </w:r>
    </w:p>
    <w:p>
      <w:pPr>
        <w:spacing w:after="60" w:before="60"/>
      </w:pPr>
      <w:r>
        <w:rPr>
          <w:rFonts w:ascii="Arial" w:cs="Arial" w:eastAsia="Arial" w:hAnsi="Arial"/>
          <w:sz w:val="22"/>
          <w:szCs w:val="22"/>
        </w:rPr>
        <w:t xml:space="preserve">This is not a data availability problem. The information exists. It is a retrieval and trust problem. The right context is not surfaced at the right moment, and even when it is, technicians have no way to assess whether what the system returned is complete, current, or conflicting with another source.</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Business Objective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4A7A" w:sz="20"/>
              <w:bottom w:val="single" w:color="CCCCCC" w:sz="1"/>
              <w:right w:val="single" w:color="CCCCCC" w:sz="1"/>
            </w:tcBorders>
            <w:shd w:fill="EBF3FB" w:val="clear"/>
            <w:tcMar>
              <w:top w:type="dxa" w:w="120"/>
              <w:left w:type="dxa" w:w="200"/>
              <w:bottom w:type="dxa" w:w="120"/>
              <w:right w:type="dxa" w:w="120"/>
            </w:tcMar>
          </w:tcPr>
          <w:p>
            <w:r>
              <w:rPr>
                <w:rFonts w:ascii="Arial" w:cs="Arial" w:eastAsia="Arial" w:hAnsi="Arial"/>
                <w:b/>
                <w:bCs/>
                <w:color w:val="2E4A7A"/>
                <w:sz w:val="21"/>
                <w:szCs w:val="21"/>
              </w:rPr>
              <w:t xml:space="preserve">Objective:  </w:t>
            </w:r>
            <w:r>
              <w:rPr>
                <w:rFonts w:ascii="Arial" w:cs="Arial" w:eastAsia="Arial" w:hAnsi="Arial"/>
                <w:sz w:val="21"/>
                <w:szCs w:val="21"/>
              </w:rPr>
              <w:t xml:space="preserve">Reduce field technician decision errors and resolution time by building a RAG-based assistant that retrieves relevant documentation, past job history, and compliance requirements in real time during a job, with explicit handling for when the context is incomplete or contradictory.</w:t>
            </w:r>
          </w:p>
        </w:tc>
      </w:tr>
    </w:tbl>
    <w:p>
      <w:pPr>
        <w:spacing w:after="80" w:before="80"/>
      </w:pPr>
      <w:r>
        <w:t xml:space="preserve"/>
      </w:r>
    </w:p>
    <w:p>
      <w:pPr>
        <w:pStyle w:val="Heading2"/>
        <w:spacing w:after="120" w:before="280"/>
      </w:pPr>
      <w:r>
        <w:rPr>
          <w:rFonts w:ascii="Arial" w:cs="Arial" w:eastAsia="Arial" w:hAnsi="Arial"/>
          <w:b/>
          <w:bCs/>
          <w:color w:val="2E4A7A"/>
          <w:sz w:val="26"/>
          <w:szCs w:val="26"/>
        </w:rPr>
        <w:t xml:space="preserve">Feasibility</w:t>
      </w:r>
    </w:p>
    <w:p>
      <w:pPr>
        <w:spacing w:after="60" w:before="60"/>
      </w:pPr>
      <w:r>
        <w:rPr>
          <w:rFonts w:ascii="Arial" w:cs="Arial" w:eastAsia="Arial" w:hAnsi="Arial"/>
          <w:sz w:val="22"/>
          <w:szCs w:val="22"/>
        </w:rPr>
        <w:t xml:space="preserve">This objective is feasible within the project scope and timeline for the following reasons. First, RAG over structured operational documents is a proven architecture with extensive public implementation precedent. Second, all three data sources are either publicly available (OSHA documentation, manufacturer manuals) or synthetically generatable (job history records). Third, the foundation models available via API (Claude 3.5 Sonnet, GPT-4o) handle document retrieval and synthesis well out of the box without fine-tuning. Fourth, the prototype is scoped to a Streamlit web interface with a working retrieval pipeline, not a production-grade deployment, making it achievable in three weeks.</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Actionability</w:t>
      </w:r>
    </w:p>
    <w:p>
      <w:pPr>
        <w:spacing w:after="60" w:before="60"/>
      </w:pPr>
      <w:r>
        <w:rPr>
          <w:rFonts w:ascii="Arial" w:cs="Arial" w:eastAsia="Arial" w:hAnsi="Arial"/>
          <w:sz w:val="22"/>
          <w:szCs w:val="22"/>
        </w:rPr>
        <w:t xml:space="preserve">The output is a working RAG pipeline with a live demonstration showing all three confidence routing paths: HIGH (cited answer delivered), PARTIAL (conflict surfaced, both sources shown), and LOW (escalation to human, with explanation of what was and was not found). This is a demonstrable, evaluable system, not a theoretical plan. Every design decision maps to a specific file in the codebase and a specific rubric stage in this document.</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Definition and Target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Hallucination rate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Confident wrong answers divided by total responses. Target: below 2%. Measured by running 20 adversarial queries where no correct answer exists in the corpus. Correct behavior is escalation, not a fabricated answer.</w:t>
            </w:r>
          </w:p>
        </w:tc>
      </w:tr>
      <w:tr>
        <w:tc>
          <w:tcPr>
            <w:tcW w:type="dxa" w:w="2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Coverage rate</w:t>
            </w:r>
          </w:p>
        </w:tc>
        <w:tc>
          <w:tcPr>
            <w:tcW w:type="dxa" w:w="6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Queries with at least one relevant retrieval result divided by total queries. Target: above 80% for in-scope job types. Measured across 50 ground truth query pairs.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Escalation rate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LOW confidence routes divided by total queries. Target: 10 to 25%. This is not minimized. An escalation rate below 10% may indicate overconfident retrieval. Above 25% may indicate corpus gaps.</w:t>
            </w:r>
          </w:p>
        </w:tc>
      </w:tr>
      <w:tr>
        <w:tc>
          <w:tcPr>
            <w:tcW w:type="dxa" w:w="2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Human override rate</w:t>
            </w:r>
          </w:p>
        </w:tc>
        <w:tc>
          <w:tcPr>
            <w:tcW w:type="dxa" w:w="6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Dispatcher overrides of system answer divided by escalated cases. Target: below 20% after 30 days. High override rate signals retrieval failure or miscalibrated thresholds.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Time to answer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Seconds from technician query to usable response. Target: under 8 seconds. Compared against 4 to 12 minutes for manual lookup via binders or office calls.</w:t>
            </w:r>
          </w:p>
        </w:tc>
      </w:tr>
    </w:tbl>
    <w:p>
      <w:pPr>
        <w:spacing w:after="80" w:before="80"/>
      </w:pPr>
      <w:r>
        <w:t xml:space="preserve"/>
      </w:r>
    </w:p>
    <w:p>
      <w:pPr>
        <w:pStyle w:val="Heading2"/>
        <w:spacing w:after="120" w:before="280"/>
      </w:pPr>
      <w:r>
        <w:rPr>
          <w:rFonts w:ascii="Arial" w:cs="Arial" w:eastAsia="Arial" w:hAnsi="Arial"/>
          <w:b/>
          <w:bCs/>
          <w:color w:val="2E4A7A"/>
          <w:sz w:val="26"/>
          <w:szCs w:val="26"/>
        </w:rPr>
        <w:t xml:space="preserve">Ethical Considerations</w:t>
      </w:r>
    </w:p>
    <w:p>
      <w:pPr>
        <w:spacing w:after="60" w:before="60"/>
      </w:pPr>
      <w:r>
        <w:rPr>
          <w:rFonts w:ascii="Arial" w:cs="Arial" w:eastAsia="Arial" w:hAnsi="Arial"/>
          <w:sz w:val="22"/>
          <w:szCs w:val="22"/>
        </w:rPr>
        <w:t xml:space="preserve">Three ethical considerations are explicitly addressed in the system design.</w:t>
      </w:r>
    </w:p>
    <w:p>
      <w:pPr>
        <w:spacing w:after="80" w:before="80"/>
      </w:pPr>
      <w:r>
        <w:t xml:space="preserve"/>
      </w:r>
    </w:p>
    <w:p>
      <w:pPr>
        <w:pStyle w:val="ListParagraph"/>
        <w:numPr>
          <w:ilvl w:val="0"/>
          <w:numId w:val="2"/>
        </w:numPr>
        <w:spacing w:after="40" w:before="40"/>
      </w:pPr>
      <w:r>
        <w:rPr>
          <w:rFonts w:ascii="Arial" w:cs="Arial" w:eastAsia="Arial" w:hAnsi="Arial"/>
          <w:b/>
          <w:bCs/>
          <w:sz w:val="22"/>
          <w:szCs w:val="22"/>
        </w:rPr>
        <w:t xml:space="preserve">Safety liability: </w:t>
      </w:r>
      <w:r>
        <w:rPr>
          <w:rFonts w:ascii="Arial" w:cs="Arial" w:eastAsia="Arial" w:hAnsi="Arial"/>
          <w:sz w:val="22"/>
          <w:szCs w:val="22"/>
        </w:rPr>
        <w:t xml:space="preserve">In safety-critical field contexts, an AI system that provides a confident wrong answer is more dangerous than one that says it does not know. The system is deliberately calibrated to minimize false positives (confident wrong answers) even at the cost of higher false negatives (unnecessary escalations). No action-triggering response is delivered to a technician without a cited source document.</w:t>
      </w:r>
    </w:p>
    <w:p>
      <w:pPr>
        <w:pStyle w:val="ListParagraph"/>
        <w:numPr>
          <w:ilvl w:val="0"/>
          <w:numId w:val="2"/>
        </w:numPr>
        <w:spacing w:after="40" w:before="40"/>
      </w:pPr>
      <w:r>
        <w:rPr>
          <w:rFonts w:ascii="Arial" w:cs="Arial" w:eastAsia="Arial" w:hAnsi="Arial"/>
          <w:b/>
          <w:bCs/>
          <w:sz w:val="22"/>
          <w:szCs w:val="22"/>
        </w:rPr>
        <w:t xml:space="preserve">Worker data privacy: </w:t>
      </w:r>
      <w:r>
        <w:rPr>
          <w:rFonts w:ascii="Arial" w:cs="Arial" w:eastAsia="Arial" w:hAnsi="Arial"/>
          <w:sz w:val="22"/>
          <w:szCs w:val="22"/>
        </w:rPr>
        <w:t xml:space="preserve">No real field worker data is used in any data source. All job history records are synthetically generated using realistic but entirely fictional site IDs, equipment IDs, and technician notes. No personally identifiable information is present in the corpus or in any prompt context.</w:t>
      </w:r>
    </w:p>
    <w:p>
      <w:pPr>
        <w:pStyle w:val="ListParagraph"/>
        <w:numPr>
          <w:ilvl w:val="0"/>
          <w:numId w:val="2"/>
        </w:numPr>
        <w:spacing w:after="40" w:before="40"/>
      </w:pPr>
      <w:r>
        <w:rPr>
          <w:rFonts w:ascii="Arial" w:cs="Arial" w:eastAsia="Arial" w:hAnsi="Arial"/>
          <w:b/>
          <w:bCs/>
          <w:sz w:val="22"/>
          <w:szCs w:val="22"/>
        </w:rPr>
        <w:t xml:space="preserve">Data licensing and compliance: </w:t>
      </w:r>
      <w:r>
        <w:rPr>
          <w:rFonts w:ascii="Arial" w:cs="Arial" w:eastAsia="Arial" w:hAnsi="Arial"/>
          <w:sz w:val="22"/>
          <w:szCs w:val="22"/>
        </w:rPr>
        <w:t xml:space="preserve">OSHA documentation is U.S. government public domain material and carries no licensing restrictions. Equipment manuals from public manufacturer sites are used for educational and research purposes. The Claude API is used under Anthropic standard terms, with no proprietary data shared.</w:t>
      </w:r>
    </w:p>
    <w:p>
      <w:pPr>
        <w:spacing w:after="80" w:before="80"/>
      </w:pPr>
      <w:r>
        <w:t xml:space="preserve"/>
      </w:r>
    </w:p>
    <w:p>
      <w:r>
        <w:br w:type="page"/>
      </w:r>
    </w:p>
    <w:p>
      <w:pPr>
        <w:pStyle w:val="Heading1"/>
        <w:pBdr>
          <w:bottom w:val="single" w:color="2E4A7A" w:sz="6" w:space="4"/>
        </w:pBdr>
        <w:spacing w:after="160" w:before="400"/>
      </w:pPr>
      <w:r>
        <w:rPr>
          <w:rFonts w:ascii="Arial" w:cs="Arial" w:eastAsia="Arial" w:hAnsi="Arial"/>
          <w:b/>
          <w:bCs/>
          <w:sz w:val="32"/>
          <w:szCs w:val="32"/>
        </w:rPr>
        <w:t xml:space="preserve">Stage 1: Data Preprocessing and Preparation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4A7A" w:sz="20"/>
              <w:bottom w:val="single" w:color="CCCCCC" w:sz="1"/>
              <w:right w:val="single" w:color="CCCCCC" w:sz="1"/>
            </w:tcBorders>
            <w:shd w:fill="EBF3FB" w:val="clear"/>
            <w:tcMar>
              <w:top w:type="dxa" w:w="120"/>
              <w:left w:type="dxa" w:w="200"/>
              <w:bottom w:type="dxa" w:w="120"/>
              <w:right w:type="dxa" w:w="120"/>
            </w:tcMar>
          </w:tcPr>
          <w:p>
            <w:r>
              <w:rPr>
                <w:rFonts w:ascii="Arial" w:cs="Arial" w:eastAsia="Arial" w:hAnsi="Arial"/>
                <w:b/>
                <w:bCs/>
                <w:color w:val="2E4A7A"/>
                <w:sz w:val="21"/>
                <w:szCs w:val="21"/>
              </w:rPr>
              <w:t xml:space="preserve">Note on genAI framing:  </w:t>
            </w:r>
            <w:r>
              <w:rPr>
                <w:rFonts w:ascii="Arial" w:cs="Arial" w:eastAsia="Arial" w:hAnsi="Arial"/>
                <w:sz w:val="21"/>
                <w:szCs w:val="21"/>
              </w:rPr>
              <w:t xml:space="preserve">This project uses a generative AI architecture (RAG). All Stage 1 items are addressed from the genAI column of the rubric. Items marked cML-only in the rubric are noted explicitly and the genAI equivalent is provided.</w:t>
            </w:r>
          </w:p>
        </w:tc>
      </w:tr>
    </w:tbl>
    <w:p>
      <w:pPr>
        <w:spacing w:after="80" w:before="80"/>
      </w:pPr>
      <w:r>
        <w:t xml:space="preserve"/>
      </w:r>
    </w:p>
    <w:p>
      <w:pPr>
        <w:pStyle w:val="Heading2"/>
        <w:spacing w:after="120" w:before="280"/>
      </w:pPr>
      <w:r>
        <w:rPr>
          <w:rFonts w:ascii="Arial" w:cs="Arial" w:eastAsia="Arial" w:hAnsi="Arial"/>
          <w:b/>
          <w:bCs/>
          <w:color w:val="2E4A7A"/>
          <w:sz w:val="26"/>
          <w:szCs w:val="26"/>
        </w:rPr>
        <w:t xml:space="preserve">Pre-Trained Model Fit</w:t>
      </w:r>
    </w:p>
    <w:p>
      <w:pPr>
        <w:spacing w:after="60" w:before="60"/>
      </w:pPr>
      <w:r>
        <w:rPr>
          <w:rFonts w:ascii="Arial" w:cs="Arial" w:eastAsia="Arial" w:hAnsi="Arial"/>
          <w:sz w:val="22"/>
          <w:szCs w:val="22"/>
        </w:rPr>
        <w:t xml:space="preserve">Foundation model selection was evaluated against three criteria: accuracy on technical documentation, reliability of instruction following, and cost-performance ratio. Claude 3.5 Sonnet was selected as the primary foundation model based on lower hallucination rates on domain-specific technical content compared to GPT-4o in published benchmarks, stronger structured output compliance (critical for citation formatting), and competitive cost at $3 per million input tokens.</w:t>
      </w:r>
    </w:p>
    <w:p>
      <w:pPr>
        <w:spacing w:after="80" w:before="80"/>
      </w:pPr>
      <w:r>
        <w:t xml:space="preserve"/>
      </w:r>
    </w:p>
    <w:p>
      <w:pPr>
        <w:spacing w:after="60" w:before="60"/>
      </w:pPr>
      <w:r>
        <w:rPr>
          <w:rFonts w:ascii="Arial" w:cs="Arial" w:eastAsia="Arial" w:hAnsi="Arial"/>
          <w:sz w:val="22"/>
          <w:szCs w:val="22"/>
        </w:rPr>
        <w:t xml:space="preserve">Closed-source model risks are explicitly acknowledged: opaque training data, potential for hidden biases in technical domains, API rate limits under high query volume, and dependency on third-party availability. These risks are mitigated by designing the retrieval layer to be model-agnostic. The system prompt and retrieval pipeline are structured so that Claude can be replaced with an open-source model (Llama 3 70B) by changing a single environment variable, with no code changes required.</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Legal and Ethical Concerns</w:t>
      </w:r>
    </w:p>
    <w:p>
      <w:pPr>
        <w:spacing w:after="60" w:before="60"/>
      </w:pPr>
      <w:r>
        <w:rPr>
          <w:rFonts w:ascii="Arial" w:cs="Arial" w:eastAsia="Arial" w:hAnsi="Arial"/>
          <w:sz w:val="22"/>
          <w:szCs w:val="22"/>
        </w:rPr>
        <w:t xml:space="preserve">All three data sources are legally and ethically cleared for use. OSHA documentation (29 CFR 1910 series and the Field Operations Manual) is U.S. government public domain material with no copyright restrictions. Equipment manuals from Carrier, Trane, and Lennox are publicly available technical documents on manufacturer websites. Synthetic job history records are entirely AI-generated with no connection to real individuals, companies, or incident records. No data scraping, login bypass, or paywalled content is involved.</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Confidentiality and Compliance</w:t>
      </w:r>
    </w:p>
    <w:p>
      <w:pPr>
        <w:spacing w:after="60" w:before="60"/>
      </w:pPr>
      <w:r>
        <w:rPr>
          <w:rFonts w:ascii="Arial" w:cs="Arial" w:eastAsia="Arial" w:hAnsi="Arial"/>
          <w:sz w:val="22"/>
          <w:szCs w:val="22"/>
        </w:rPr>
        <w:t xml:space="preserve">Prompts and outputs are designed to prevent sensitive data leakage in three ways. First, no real PII appears in any data source. Second, guardrails in the system prompt prevent the model from repeating raw document text verbatim in outputs. Third, all synthetic job records use fictional site codes, equipment IDs, and technician identifiers. If this system were deployed in production, an additional PII stripping layer would be applied to any ingested real job records before embedding.</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Missing Values and Data Gaps</w:t>
      </w:r>
    </w:p>
    <w:p>
      <w:pPr>
        <w:spacing w:after="60" w:before="60"/>
      </w:pPr>
      <w:r>
        <w:rPr>
          <w:rFonts w:ascii="Arial" w:cs="Arial" w:eastAsia="Arial" w:hAnsi="Arial"/>
          <w:sz w:val="22"/>
          <w:szCs w:val="22"/>
        </w:rPr>
        <w:t xml:space="preserve">Coverage gaps in the document corpus are addressed through two mechanisms. First, the synthetic job history generation script produces records across five equipment types and three job types, ensuring the corpus is not biased toward a single equipment category. Second, the adversarial evaluation set (20 queries with no correct answer in the corpus) directly tests the system's behavior when context is completely missing. Correct behavior on these queries is LOW confidence escalation, not a fabricated answer. This is a design requirement, not a fallback.</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Outliers and Anomalies</w:t>
      </w:r>
    </w:p>
    <w:p>
      <w:pPr>
        <w:spacing w:after="60" w:before="60"/>
      </w:pPr>
      <w:r>
        <w:rPr>
          <w:rFonts w:ascii="Arial" w:cs="Arial" w:eastAsia="Arial" w:hAnsi="Arial"/>
          <w:sz w:val="22"/>
          <w:szCs w:val="22"/>
        </w:rPr>
        <w:t xml:space="preserve">Adversarial and edge-case prompts are explicitly included in the evaluation set. The 15 contradiction scenarios test behavior when two sources return conflicting guidance on the same topic. The 20 adversarial queries test behavior on out-of-corpus equipment IDs and nonexistent job records. An additional category of ambiguous queries (equipment type unclear from query phrasing) is included to test retrieval stability when query intent is underspecified.</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Normalization and Standardization</w:t>
      </w:r>
    </w:p>
    <w:p>
      <w:pPr>
        <w:spacing w:after="60" w:before="60"/>
      </w:pPr>
      <w:r>
        <w:rPr>
          <w:rFonts w:ascii="Arial" w:cs="Arial" w:eastAsia="Arial" w:hAnsi="Arial"/>
          <w:sz w:val="22"/>
          <w:szCs w:val="22"/>
        </w:rPr>
        <w:t xml:space="preserve">All technician queries are standardized to a consistent input format before retrieval: job type, equipment ID, and natural language question. This reduces retrieval noise caused by query phrasing variation. All evaluation queries follow the same format, making results comparable across query types and confidence levels. System prompt instructions are identical across all queries, ensuring output format consistency.</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Data Types and Encoding</w:t>
      </w:r>
    </w:p>
    <w:p>
      <w:pPr>
        <w:spacing w:after="60" w:before="60"/>
      </w:pPr>
      <w:r>
        <w:rPr>
          <w:rFonts w:ascii="Arial" w:cs="Arial" w:eastAsia="Arial" w:hAnsi="Arial"/>
          <w:sz w:val="22"/>
          <w:szCs w:val="22"/>
        </w:rPr>
        <w:t xml:space="preserve">Three document types are handled with distinct loading strategies. OSHA PDFs and equipment manuals are loaded using PyPDF via LangChain's document loaders, chunked at 500 tokens with 50-token overlap, and embedded using sentence-transformers/all-MiniLM-L6-v2. Synthetic job history records are stored as JSON, loaded directly, and converted to LangChain Document objects with structured metadata (job ID, equipment type, site ID, job type). All three types are indexed into separate Chroma collections to enable source-aware retrieval and conflict detection.</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Feature Engineering and Domain Adaptation</w:t>
      </w:r>
    </w:p>
    <w:p>
      <w:pPr>
        <w:spacing w:after="60" w:before="60"/>
      </w:pPr>
      <w:r>
        <w:rPr>
          <w:rFonts w:ascii="Arial" w:cs="Arial" w:eastAsia="Arial" w:hAnsi="Arial"/>
          <w:sz w:val="22"/>
          <w:szCs w:val="22"/>
        </w:rPr>
        <w:t xml:space="preserve">RAG is the domain adaptation method for this project. No fine-tuning is required or planned for the prototype. Domain specificity is achieved through three mechanisms: a curated document corpus scoped to HVAC and field service contexts, a system prompt that enforces domain-specific output behavior (plain language, safety flagging, citation requirement), and separate Chroma collections per source type that enable collection-level filtering during retrieval. Prompt tuning is applied to enforce output format and uncertainty language across all routing paths.</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Relevant and Representative Data</w:t>
      </w:r>
    </w:p>
    <w:p>
      <w:pPr>
        <w:spacing w:after="60" w:before="60"/>
      </w:pPr>
      <w:r>
        <w:rPr>
          <w:rFonts w:ascii="Arial" w:cs="Arial" w:eastAsia="Arial" w:hAnsi="Arial"/>
          <w:sz w:val="22"/>
          <w:szCs w:val="22"/>
        </w:rPr>
        <w:t xml:space="preserve">The document corpus is designed to reflect the three primary information needs of HVAC field technicians: safety compliance (OSHA), equipment-specific procedures (manuals), and institutional memory (job history). The evaluation set reflects real-world query distribution: 40% procedural questions, 30% equipment specification questions, 20% compliance questions, and 10% historical job lookups. This distribution was estimated from common field service call patterns and validated against the document corpus coverage.</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Class Distribution and Balance</w:t>
      </w:r>
    </w:p>
    <w:p>
      <w:pPr>
        <w:spacing w:after="60" w:before="60"/>
      </w:pPr>
      <w:r>
        <w:rPr>
          <w:rFonts w:ascii="Arial" w:cs="Arial" w:eastAsia="Arial" w:hAnsi="Arial"/>
          <w:sz w:val="22"/>
          <w:szCs w:val="22"/>
        </w:rPr>
        <w:t xml:space="preserve">The evaluation prompt set covers diverse query categories, equipment types, and edge cases. The 50 ground truth pairs span all five equipment types and three job types in the synthetic corpus. The adversarial set covers two failure mode categories: out-of-corpus equipment and nonexistent job records. The contradiction set covers three conflict types: version conflicts within the same manual, spec disagreements across manufacturers, and procedure discrepancies between OSHA and manufacturer guidance.</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Multicollinearity and Dependence</w:t>
      </w:r>
    </w:p>
    <w:p>
      <w:pPr>
        <w:spacing w:after="60" w:before="60"/>
      </w:pPr>
      <w:r>
        <w:rPr>
          <w:rFonts w:ascii="Arial" w:cs="Arial" w:eastAsia="Arial" w:hAnsi="Arial"/>
          <w:sz w:val="22"/>
          <w:szCs w:val="22"/>
        </w:rPr>
        <w:t xml:space="preserve">Prompt sensitivity is monitored via consistency testing: the same query is run three times across independent sessions to measure output variance. Stable outputs are expected given structured prompts and deterministic retrieval. High variance on a specific query type signals retrieval instability and triggers threshold adjustment. This is the genAI equivalent of VIF analysis in classical ML: identifying where small input changes produce unstable outputs.</w:t>
      </w:r>
    </w:p>
    <w:p>
      <w:pPr>
        <w:spacing w:after="120" w:before="280"/>
      </w:pPr>
      <w:r>
        <w:rPr>
          <w:rFonts w:ascii="Arial" w:cs="Arial" w:eastAsia="Arial" w:hAnsi="Arial"/>
          <w:b/>
          <w:bCs/>
          <w:sz w:val="26"/>
          <w:szCs w:val="26"/>
          <w:color w:val="2E4A7A"/>
        </w:rPr>
        <w:t xml:space="preserve">Stage 1 References and Citations</w:t>
      </w:r>
    </w:p>
    <w:p>
      <w:pPr>
        <w:spacing w:after="60" w:before="60"/>
      </w:pPr>
      <w:r>
        <w:rPr>
          <w:rFonts w:ascii="Arial" w:cs="Arial" w:eastAsia="Arial" w:hAnsi="Arial"/>
          <w:b/>
          <w:bCs/>
          <w:sz w:val="22"/>
          <w:szCs w:val="22"/>
        </w:rPr>
        <w:t xml:space="preserve">[1] </w:t>
      </w:r>
      <w:r>
        <w:rPr>
          <w:rFonts w:ascii="Arial" w:cs="Arial" w:eastAsia="Arial" w:hAnsi="Arial"/>
          <w:sz w:val="22"/>
          <w:szCs w:val="22"/>
        </w:rPr>
        <w:t xml:space="preserve">Lewis, P., Perez, E., Piktus, A., et al. “Retrieval-Augmented Generation for Knowledge-Intensive NLP Tasks.” </w:t>
      </w:r>
      <w:r>
        <w:rPr>
          <w:rFonts w:ascii="Arial" w:cs="Arial" w:eastAsia="Arial" w:hAnsi="Arial"/>
          <w:i/>
          <w:sz w:val="22"/>
          <w:szCs w:val="22"/>
        </w:rPr>
        <w:t xml:space="preserve">NeurIPS 2020. </w:t>
      </w:r>
      <w:r>
        <w:rPr>
          <w:rFonts w:ascii="Arial" w:cs="Arial" w:eastAsia="Arial" w:hAnsi="Arial"/>
          <w:sz w:val="22"/>
          <w:szCs w:val="22"/>
        </w:rPr>
        <w:t xml:space="preserve">https://arxiv.org/abs/2005.11401 — Foundational paper establishing RAG as the domain adaptation method. Cited for: domain adaptation decision, chunking rationale, three-collection retrieval design.</w:t>
      </w:r>
    </w:p>
    <w:p>
      <w:pPr>
        <w:spacing w:after="60" w:before="60"/>
      </w:pPr>
      <w:r>
        <w:rPr>
          <w:rFonts w:ascii="Arial" w:cs="Arial" w:eastAsia="Arial" w:hAnsi="Arial"/>
          <w:b/>
          <w:bCs/>
          <w:sz w:val="22"/>
          <w:szCs w:val="22"/>
        </w:rPr>
        <w:t xml:space="preserve">[2] </w:t>
      </w:r>
      <w:r>
        <w:rPr>
          <w:rFonts w:ascii="Arial" w:cs="Arial" w:eastAsia="Arial" w:hAnsi="Arial"/>
          <w:sz w:val="22"/>
          <w:szCs w:val="22"/>
        </w:rPr>
        <w:t xml:space="preserve">Gao, Y., Xiong, Y., Gao, X., et al. “Retrieval-Augmented Generation for Large Language Models: A Survey.” </w:t>
      </w:r>
      <w:r>
        <w:rPr>
          <w:rFonts w:ascii="Arial" w:cs="Arial" w:eastAsia="Arial" w:hAnsi="Arial"/>
          <w:i/>
          <w:sz w:val="22"/>
          <w:szCs w:val="22"/>
        </w:rPr>
        <w:t xml:space="preserve">arXiv, 2023. </w:t>
      </w:r>
      <w:r>
        <w:rPr>
          <w:rFonts w:ascii="Arial" w:cs="Arial" w:eastAsia="Arial" w:hAnsi="Arial"/>
          <w:sz w:val="22"/>
          <w:szCs w:val="22"/>
        </w:rPr>
        <w:t xml:space="preserve">https://arxiv.org/abs/2312.10997 — Survey of RAG architectures and chunking strategies. Cited for: chunk size decision (500 tokens / 50 overlap), prompt sensitivity monitoring approach.</w:t>
      </w:r>
    </w:p>
    <w:p>
      <w:pPr>
        <w:spacing w:after="60" w:before="60"/>
      </w:pPr>
      <w:r>
        <w:rPr>
          <w:rFonts w:ascii="Arial" w:cs="Arial" w:eastAsia="Arial" w:hAnsi="Arial"/>
          <w:b/>
          <w:bCs/>
          <w:sz w:val="22"/>
          <w:szCs w:val="22"/>
        </w:rPr>
        <w:t xml:space="preserve">[3] </w:t>
      </w:r>
      <w:r>
        <w:rPr>
          <w:rFonts w:ascii="Arial" w:cs="Arial" w:eastAsia="Arial" w:hAnsi="Arial"/>
          <w:sz w:val="22"/>
          <w:szCs w:val="22"/>
        </w:rPr>
        <w:t xml:space="preserve">U.S. OSHA. “29 CFR 1910.147: The Control of Hazardous Energy (Lockout/Tagout).” </w:t>
      </w:r>
      <w:r>
        <w:rPr>
          <w:rFonts w:ascii="Arial" w:cs="Arial" w:eastAsia="Arial" w:hAnsi="Arial"/>
          <w:i/>
          <w:sz w:val="22"/>
          <w:szCs w:val="22"/>
        </w:rPr>
        <w:t xml:space="preserve">U.S. Department of Labor, 2024. </w:t>
      </w:r>
      <w:r>
        <w:rPr>
          <w:rFonts w:ascii="Arial" w:cs="Arial" w:eastAsia="Arial" w:hAnsi="Arial"/>
          <w:sz w:val="22"/>
          <w:szCs w:val="22"/>
        </w:rPr>
        <w:t xml:space="preserve">https://www.osha.gov/laws-regs/regulations/standardnumber/1910/1910.147 — Primary OSHA corpus source. U.S. government public domain. Cited for: OSHA data source, legal and ethical compliance justification.</w:t>
      </w:r>
    </w:p>
    <w:p>
      <w:pPr>
        <w:spacing w:after="60" w:before="60"/>
      </w:pPr>
      <w:r>
        <w:rPr>
          <w:rFonts w:ascii="Arial" w:cs="Arial" w:eastAsia="Arial" w:hAnsi="Arial"/>
          <w:b/>
          <w:bCs/>
          <w:sz w:val="22"/>
          <w:szCs w:val="22"/>
        </w:rPr>
        <w:t xml:space="preserve">[4] </w:t>
      </w:r>
      <w:r>
        <w:rPr>
          <w:rFonts w:ascii="Arial" w:cs="Arial" w:eastAsia="Arial" w:hAnsi="Arial"/>
          <w:sz w:val="22"/>
          <w:szCs w:val="22"/>
        </w:rPr>
        <w:t xml:space="preserve">U.S. OSHA. “Field Operations Manual (FOM).” </w:t>
      </w:r>
      <w:r>
        <w:rPr>
          <w:rFonts w:ascii="Arial" w:cs="Arial" w:eastAsia="Arial" w:hAnsi="Arial"/>
          <w:i/>
          <w:sz w:val="22"/>
          <w:szCs w:val="22"/>
        </w:rPr>
        <w:t xml:space="preserve">CPL 02-00-164, 2024. </w:t>
      </w:r>
      <w:r>
        <w:rPr>
          <w:rFonts w:ascii="Arial" w:cs="Arial" w:eastAsia="Arial" w:hAnsi="Arial"/>
          <w:sz w:val="22"/>
          <w:szCs w:val="22"/>
        </w:rPr>
        <w:t xml:space="preserve">https://www.osha.gov/enforcement/directives/cpl-02-00-164 — Secondary OSHA corpus source covering field inspection procedures. Cited for: OSHA corpus content, compliance checking design.</w:t>
      </w:r>
    </w:p>
    <w:p>
      <w:pPr>
        <w:spacing w:after="60" w:before="60"/>
      </w:pPr>
      <w:r>
        <w:rPr>
          <w:rFonts w:ascii="Arial" w:cs="Arial" w:eastAsia="Arial" w:hAnsi="Arial"/>
          <w:b/>
          <w:bCs/>
          <w:sz w:val="22"/>
          <w:szCs w:val="22"/>
        </w:rPr>
        <w:t xml:space="preserve">[5] </w:t>
      </w:r>
      <w:r>
        <w:rPr>
          <w:rFonts w:ascii="Arial" w:cs="Arial" w:eastAsia="Arial" w:hAnsi="Arial"/>
          <w:sz w:val="22"/>
          <w:szCs w:val="22"/>
        </w:rPr>
        <w:t xml:space="preserve">Karpukhin, V., Oguz, B., Min, S., et al. “Dense Passage Retrieval for Open-Domain Question Answering.” </w:t>
      </w:r>
      <w:r>
        <w:rPr>
          <w:rFonts w:ascii="Arial" w:cs="Arial" w:eastAsia="Arial" w:hAnsi="Arial"/>
          <w:i/>
          <w:sz w:val="22"/>
          <w:szCs w:val="22"/>
        </w:rPr>
        <w:t xml:space="preserve">EMNLP 2020. </w:t>
      </w:r>
      <w:r>
        <w:rPr>
          <w:rFonts w:ascii="Arial" w:cs="Arial" w:eastAsia="Arial" w:hAnsi="Arial"/>
          <w:sz w:val="22"/>
          <w:szCs w:val="22"/>
        </w:rPr>
        <w:t xml:space="preserve">https://arxiv.org/abs/2004.04906 — Foundational work on dense vector retrieval. Cited for: embedding model selection, cosine similarity scoring approach.</w:t>
      </w:r>
    </w:p>
    <w:p>
      <w:pPr>
        <w:spacing w:after="60" w:before="60"/>
      </w:pPr>
      <w:r>
        <w:rPr>
          <w:rFonts w:ascii="Arial" w:cs="Arial" w:eastAsia="Arial" w:hAnsi="Arial"/>
          <w:b/>
          <w:bCs/>
          <w:sz w:val="22"/>
          <w:szCs w:val="22"/>
        </w:rPr>
        <w:t xml:space="preserve">[6] </w:t>
      </w:r>
      <w:r>
        <w:rPr>
          <w:rFonts w:ascii="Arial" w:cs="Arial" w:eastAsia="Arial" w:hAnsi="Arial"/>
          <w:sz w:val="22"/>
          <w:szCs w:val="22"/>
        </w:rPr>
        <w:t xml:space="preserve">Anthropic. “Claude Model Card and Acceptable Use Policy.” </w:t>
      </w:r>
      <w:r>
        <w:rPr>
          <w:rFonts w:ascii="Arial" w:cs="Arial" w:eastAsia="Arial" w:hAnsi="Arial"/>
          <w:i/>
          <w:sz w:val="22"/>
          <w:szCs w:val="22"/>
        </w:rPr>
        <w:t xml:space="preserve">Anthropic, 2024. </w:t>
      </w:r>
      <w:r>
        <w:rPr>
          <w:rFonts w:ascii="Arial" w:cs="Arial" w:eastAsia="Arial" w:hAnsi="Arial"/>
          <w:sz w:val="22"/>
          <w:szCs w:val="22"/>
        </w:rPr>
        <w:t xml:space="preserve">https://www.anthropic.com/claude — Foundation model documentation and licensing. Cited for: model selection justification, Constitutional AI rationale, API data retention policy, closed-source risk assessment.</w:t>
      </w:r>
    </w:p>
    <w:p>
      <w:pPr>
        <w:spacing w:after="60" w:before="60"/>
      </w:pPr>
      <w:r>
        <w:rPr>
          <w:rFonts w:ascii="Arial" w:cs="Arial" w:eastAsia="Arial" w:hAnsi="Arial"/>
          <w:b/>
          <w:bCs/>
          <w:sz w:val="22"/>
          <w:szCs w:val="22"/>
        </w:rPr>
        <w:t xml:space="preserve">[7] </w:t>
      </w:r>
      <w:r>
        <w:rPr>
          <w:rFonts w:ascii="Arial" w:cs="Arial" w:eastAsia="Arial" w:hAnsi="Arial"/>
          <w:sz w:val="22"/>
          <w:szCs w:val="22"/>
        </w:rPr>
        <w:t xml:space="preserve">Reimers, N. and Gurevych, I. “Sentence-BERT: Sentence Embeddings using Siamese BERT-Networks.” </w:t>
      </w:r>
      <w:r>
        <w:rPr>
          <w:rFonts w:ascii="Arial" w:cs="Arial" w:eastAsia="Arial" w:hAnsi="Arial"/>
          <w:i/>
          <w:sz w:val="22"/>
          <w:szCs w:val="22"/>
        </w:rPr>
        <w:t xml:space="preserve">EMNLP 2019. </w:t>
      </w:r>
      <w:r>
        <w:rPr>
          <w:rFonts w:ascii="Arial" w:cs="Arial" w:eastAsia="Arial" w:hAnsi="Arial"/>
          <w:sz w:val="22"/>
          <w:szCs w:val="22"/>
        </w:rPr>
        <w:t xml:space="preserve">https://arxiv.org/abs/1908.10084 — Original paper for sentence-transformers library used as the local embedding model. Cited for: embedding model selection, data encoding section.</w:t>
      </w:r>
    </w:p>
    <w:p>
      <w:pPr>
        <w:spacing w:after="60" w:before="60"/>
      </w:pPr>
      <w:r>
        <w:rPr>
          <w:rFonts w:ascii="Arial" w:cs="Arial" w:eastAsia="Arial" w:hAnsi="Arial"/>
          <w:b/>
          <w:bCs/>
          <w:sz w:val="22"/>
          <w:szCs w:val="22"/>
        </w:rPr>
        <w:t xml:space="preserve">[8] </w:t>
      </w:r>
      <w:r>
        <w:rPr>
          <w:rFonts w:ascii="Arial" w:cs="Arial" w:eastAsia="Arial" w:hAnsi="Arial"/>
          <w:sz w:val="22"/>
          <w:szCs w:val="22"/>
        </w:rPr>
        <w:t xml:space="preserve">Finger, L. “AI Model Development Checklist.” </w:t>
      </w:r>
      <w:r>
        <w:rPr>
          <w:rFonts w:ascii="Arial" w:cs="Arial" w:eastAsia="Arial" w:hAnsi="Arial"/>
          <w:i/>
          <w:sz w:val="22"/>
          <w:szCs w:val="22"/>
        </w:rPr>
        <w:t xml:space="preserve">eCornell / Cornell University, 2026. </w:t>
      </w:r>
      <w:r>
        <w:rPr>
          <w:rFonts w:ascii="Arial" w:cs="Arial" w:eastAsia="Arial" w:hAnsi="Arial"/>
          <w:sz w:val="22"/>
          <w:szCs w:val="22"/>
        </w:rPr>
        <w:t xml:space="preserve">Course rubric used as evaluation framework for all four stages. Cited for: stage structure, genAI vs cML framing, evaluation set design guidance.</w:t>
      </w:r>
    </w:p>
    <w:p>
      <w:pPr>
        <w:spacing w:after="80" w:before="80"/>
      </w:pPr>
      <w:r>
        <w:t xml:space="preserve"/>
      </w:r>
    </w:p>
    <w:p>
      <w:r>
        <w:br w:type="page"/>
      </w:r>
    </w:p>
    <w:p>
      <w:pPr>
        <w:pStyle w:val="Heading1"/>
        <w:pBdr>
          <w:bottom w:val="single" w:color="2E4A7A" w:sz="6" w:space="4"/>
        </w:pBdr>
        <w:spacing w:after="160" w:before="400"/>
      </w:pPr>
      <w:r>
        <w:rPr>
          <w:rFonts w:ascii="Arial" w:cs="Arial" w:eastAsia="Arial" w:hAnsi="Arial"/>
          <w:b/>
          <w:bCs/>
          <w:sz w:val="32"/>
          <w:szCs w:val="32"/>
        </w:rPr>
        <w:t xml:space="preserve">Stage 2: Model Development</w:t>
      </w:r>
    </w:p>
    <w:p>
      <w:pPr>
        <w:spacing w:after="40" w:before="40"/>
      </w:pPr>
      <w:r>
        <w:t xml:space="preserve"/>
      </w:r>
    </w:p>
    <w:p>
      <w:pPr>
        <w:pStyle w:val="Heading2"/>
        <w:spacing w:after="120" w:before="280"/>
      </w:pPr>
      <w:r>
        <w:rPr>
          <w:rFonts w:ascii="Arial" w:cs="Arial" w:eastAsia="Arial" w:hAnsi="Arial"/>
          <w:b/>
          <w:bCs/>
          <w:color w:val="2E4A7A"/>
          <w:sz w:val="26"/>
          <w:szCs w:val="26"/>
        </w:rPr>
        <w:t xml:space="preserve">Linearity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AAAAA" w:sz="14"/>
              <w:bottom w:val="single" w:color="CCCCCC" w:sz="1"/>
              <w:right w:val="single" w:color="CCCCCC" w:sz="1"/>
            </w:tcBorders>
            <w:shd w:fill="F8F8F8" w:val="clear"/>
            <w:tcMar>
              <w:top w:type="dxa" w:w="80"/>
              <w:left w:type="dxa" w:w="160"/>
              <w:bottom w:type="dxa" w:w="80"/>
              <w:right w:type="dxa" w:w="120"/>
            </w:tcMar>
          </w:tcPr>
          <w:p>
            <w:r>
              <w:rPr>
                <w:rFonts w:ascii="Arial" w:cs="Arial" w:eastAsia="Arial" w:hAnsi="Arial"/>
                <w:b/>
                <w:bCs/>
                <w:color w:val="888888"/>
                <w:sz w:val="19"/>
                <w:szCs w:val="19"/>
              </w:rPr>
              <w:t xml:space="preserve">Linearity Assumption (cML only)  </w:t>
            </w:r>
            <w:r>
              <w:rPr>
                <w:rFonts w:ascii="Arial" w:cs="Arial" w:eastAsia="Arial" w:hAnsi="Arial"/>
                <w:i/>
                <w:iCs/>
                <w:color w:val="888888"/>
                <w:sz w:val="19"/>
                <w:szCs w:val="19"/>
              </w:rPr>
              <w:t xml:space="preserve">Not applicable to genAI projects. The rubric marks this as classical ML only.</w:t>
            </w:r>
          </w:p>
        </w:tc>
      </w:tr>
    </w:tbl>
    <w:p>
      <w:pPr>
        <w:spacing w:after="80" w:before="80"/>
      </w:pPr>
      <w:r>
        <w:t xml:space="preserve"/>
      </w:r>
    </w:p>
    <w:p>
      <w:pPr>
        <w:spacing w:after="60" w:before="60"/>
      </w:pPr>
      <w:r>
        <w:rPr>
          <w:rFonts w:ascii="Arial" w:cs="Arial" w:eastAsia="Arial" w:hAnsi="Arial"/>
          <w:sz w:val="22"/>
          <w:szCs w:val="22"/>
        </w:rPr>
        <w:t xml:space="preserve">GenAI equivalent: logical consistency of prompt-task pairs is validated against the ground truth evaluation set. All 50 ground truth queries are tested to confirm the system's output logically follows from the retrieved context. Prompt-task pairs where the model's output contradicts the source document are flagged as hallucination failures.</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Data Split and Size</w:t>
      </w:r>
    </w:p>
    <w:p>
      <w:pPr>
        <w:spacing w:after="60" w:before="60"/>
      </w:pPr>
      <w:r>
        <w:rPr>
          <w:rFonts w:ascii="Arial" w:cs="Arial" w:eastAsia="Arial" w:hAnsi="Arial"/>
          <w:sz w:val="22"/>
          <w:szCs w:val="22"/>
        </w:rPr>
        <w:t xml:space="preserve">Random train/test splits are not applicable to this genAI system. The evaluation strategy replaces this with three curated datasets. The ground truth set (50 query-answer pairs) functions as the holdout test set: known correct answers derived directly from source documents. The adversarial set (20 queries) functions as a stress test for out-of-distribution inputs. The contradiction set (15 scenarios) functions as an edge case test for conflict detection. Total evaluation coverage: 85 structured test cases across three failure mode categories.</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Model</w:t>
            </w:r>
          </w:p>
        </w:tc>
        <w:tc>
          <w:tcPr>
            <w:tcW w:type="dxa" w:w="358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Strengths for This Use Case</w:t>
            </w:r>
          </w:p>
        </w:tc>
        <w:tc>
          <w:tcPr>
            <w:tcW w:type="dxa" w:w="358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Why Not Selected / Limitations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Claude 3.5 Sonnet (selected)</w:t>
            </w:r>
          </w:p>
        </w:tc>
        <w:tc>
          <w:tcPr>
            <w:tcW w:type="dxa" w:w="35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Strong instruction following, low hallucination on technical docs, reliable citation formatting, $3/M input tokens.</w:t>
            </w:r>
          </w:p>
        </w:tc>
        <w:tc>
          <w:tcPr>
            <w:tcW w:type="dxa" w:w="35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Closed source, API dependency, rate limits at scale.</w:t>
            </w:r>
          </w:p>
        </w:tc>
      </w:tr>
      <w:tr>
        <w:tc>
          <w:tcPr>
            <w:tcW w:type="dxa" w:w="22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GPT-4o</w:t>
            </w:r>
          </w:p>
        </w:tc>
        <w:tc>
          <w:tcPr>
            <w:tcW w:type="dxa" w:w="358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Strong general retrieval, good tool use, widely benchmarked.</w:t>
            </w:r>
          </w:p>
        </w:tc>
        <w:tc>
          <w:tcPr>
            <w:tcW w:type="dxa" w:w="358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Higher hallucination rate on domain-specific technical content. $5/M input tokens at standard tier.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Llama 3 70B</w:t>
            </w:r>
          </w:p>
        </w:tc>
        <w:tc>
          <w:tcPr>
            <w:tcW w:type="dxa" w:w="35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Open source, deployable on-premises, no API cost at scale.</w:t>
            </w:r>
          </w:p>
        </w:tc>
        <w:tc>
          <w:tcPr>
            <w:tcW w:type="dxa" w:w="35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Higher infrastructure overhead. Requires fine-tuning for domain-specific output quality. Designated as v2 migration path.</w:t>
            </w:r>
          </w:p>
        </w:tc>
      </w:tr>
      <w:tr>
        <w:tc>
          <w:tcPr>
            <w:tcW w:type="dxa" w:w="22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Gemini 1.5 Pro</w:t>
            </w:r>
          </w:p>
        </w:tc>
        <w:tc>
          <w:tcPr>
            <w:tcW w:type="dxa" w:w="358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Long context window useful for large manual ingestion.</w:t>
            </w:r>
          </w:p>
        </w:tc>
        <w:tc>
          <w:tcPr>
            <w:tcW w:type="dxa" w:w="358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Weaker instruction following on structured citation tasks in testing. Higher latency for retrieval workflows.</w:t>
            </w:r>
          </w:p>
        </w:tc>
      </w:tr>
    </w:tbl>
    <w:p>
      <w:pPr>
        <w:spacing w:after="80" w:before="80"/>
      </w:pPr>
      <w:r>
        <w:t xml:space="preserve"/>
      </w:r>
    </w:p>
    <w:p>
      <w:pPr>
        <w:pStyle w:val="Heading2"/>
        <w:spacing w:after="120" w:before="280"/>
      </w:pPr>
      <w:r>
        <w:rPr>
          <w:rFonts w:ascii="Arial" w:cs="Arial" w:eastAsia="Arial" w:hAnsi="Arial"/>
          <w:b/>
          <w:bCs/>
          <w:color w:val="2E4A7A"/>
          <w:sz w:val="26"/>
          <w:szCs w:val="26"/>
        </w:rPr>
        <w:t xml:space="preserve">Adaptation and Fine-Tuning</w:t>
      </w:r>
    </w:p>
    <w:p>
      <w:pPr>
        <w:spacing w:after="60" w:before="60"/>
      </w:pPr>
      <w:r>
        <w:rPr>
          <w:rFonts w:ascii="Arial" w:cs="Arial" w:eastAsia="Arial" w:hAnsi="Arial"/>
          <w:sz w:val="22"/>
          <w:szCs w:val="22"/>
        </w:rPr>
        <w:t xml:space="preserve">Fine-tuning is explicitly not used in this prototype. The decision is based on two factors. First, the project does not yet have the 10,000 rated interaction pairs required for effective direct preference optimization (DPO). Second, RAG with domain-specific document corpus achieves comparable quality to fine-tuning for retrieval tasks without the infrastructure cost or training time. Prompt tuning is applied to enforce three behaviors: citation requirement on every response, explicit uncertainty language on PARTIAL and LOW confidence outputs, and plain language formatting for field worker audiences.</w:t>
      </w:r>
    </w:p>
    <w:p>
      <w:pPr>
        <w:spacing w:after="80" w:before="80"/>
      </w:pPr>
      <w:r>
        <w:t xml:space="preserve"/>
      </w:r>
    </w:p>
    <w:p>
      <w:pPr>
        <w:spacing w:after="60" w:before="60"/>
      </w:pPr>
      <w:r>
        <w:rPr>
          <w:rFonts w:ascii="Arial" w:cs="Arial" w:eastAsia="Arial" w:hAnsi="Arial"/>
          <w:sz w:val="22"/>
          <w:szCs w:val="22"/>
        </w:rPr>
        <w:t xml:space="preserve">Fine-tuning is designated as a future enhancement once the system accumulates sufficient real usage data. The dispatcher override decisions logged in production would serve as preference pairs for DPO training.</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Workflows and Guardrails</w:t>
      </w:r>
    </w:p>
    <w:p>
      <w:pPr>
        <w:spacing w:after="60" w:before="60"/>
      </w:pPr>
      <w:r>
        <w:rPr>
          <w:rFonts w:ascii="Arial" w:cs="Arial" w:eastAsia="Arial" w:hAnsi="Arial"/>
          <w:sz w:val="22"/>
          <w:szCs w:val="22"/>
        </w:rPr>
        <w:t xml:space="preserve">The system workflow has four stages executed sequentially on every query: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656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1. Retrieval</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Query is embedded using sentence-transformers/all-MiniLM-L6-v2. Top-5 results retrieved from each of three Chroma collections (osha, manuals, job_history) using cosine similarity. Results ranked by similarity score.</w:t>
            </w:r>
          </w:p>
        </w:tc>
      </w:tr>
      <w:tr>
        <w:tc>
          <w:tcPr>
            <w:tcW w:type="dxa" w:w="2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2. Confidence Scoring</w:t>
            </w:r>
          </w:p>
        </w:tc>
        <w:tc>
          <w:tcPr>
            <w:tcW w:type="dxa" w:w="6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Top result similarity score evaluated against thresholds. Conflict detection checks if top results come from different collections with similar scores (within 0.15 of each other). Outputs: HIGH (&gt;0.75, no conflict), PARTIAL (0.50-0.75 or conflict detected), LOW (&lt;0.50 or zero results).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3. LLM Generation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For HIGH and PARTIAL: retrieved context block + technician query sent to Claude API with structured system prompt. For LOW: LLM call skipped entirely, escalation message generated programmatically.</w:t>
            </w:r>
          </w:p>
        </w:tc>
      </w:tr>
      <w:tr>
        <w:tc>
          <w:tcPr>
            <w:tcW w:type="dxa" w:w="2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4. Graceful Degradation Routing</w:t>
            </w:r>
          </w:p>
        </w:tc>
        <w:tc>
          <w:tcPr>
            <w:tcW w:type="dxa" w:w="6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Response formatted based on confidence level. HIGH: answer + citations. PARTIAL: answer + conflict warning + both sources. LOW: escalation message + partial context + recommended action.</w:t>
            </w:r>
          </w:p>
        </w:tc>
      </w:tr>
    </w:tbl>
    <w:p>
      <w:pPr>
        <w:spacing w:after="80" w:before="80"/>
      </w:pPr>
      <w:r>
        <w:t xml:space="preserve"/>
      </w:r>
    </w:p>
    <w:p>
      <w:pPr>
        <w:spacing w:after="60" w:before="60"/>
      </w:pPr>
      <w:r>
        <w:rPr>
          <w:rFonts w:ascii="Arial" w:cs="Arial" w:eastAsia="Arial" w:hAnsi="Arial"/>
          <w:sz w:val="22"/>
          <w:szCs w:val="22"/>
        </w:rPr>
        <w:t xml:space="preserve">Four guardrails are enforced across all routing paths:</w:t>
      </w:r>
    </w:p>
    <w:p>
      <w:pPr>
        <w:pStyle w:val="ListParagraph"/>
        <w:numPr>
          <w:ilvl w:val="0"/>
          <w:numId w:val="2"/>
        </w:numPr>
        <w:spacing w:after="40" w:before="40"/>
      </w:pPr>
      <w:r>
        <w:rPr>
          <w:rFonts w:ascii="Arial" w:cs="Arial" w:eastAsia="Arial" w:hAnsi="Arial"/>
          <w:b/>
          <w:bCs/>
          <w:sz w:val="22"/>
          <w:szCs w:val="22"/>
        </w:rPr>
        <w:t xml:space="preserve">Citation requirement: </w:t>
      </w:r>
      <w:r>
        <w:rPr>
          <w:rFonts w:ascii="Arial" w:cs="Arial" w:eastAsia="Arial" w:hAnsi="Arial"/>
          <w:sz w:val="22"/>
          <w:szCs w:val="22"/>
        </w:rPr>
        <w:t xml:space="preserve">no response is delivered to the technician without at least one source citation (document name, collection, relevance score).</w:t>
      </w:r>
    </w:p>
    <w:p>
      <w:pPr>
        <w:pStyle w:val="ListParagraph"/>
        <w:numPr>
          <w:ilvl w:val="0"/>
          <w:numId w:val="2"/>
        </w:numPr>
        <w:spacing w:after="40" w:before="40"/>
      </w:pPr>
      <w:r>
        <w:rPr>
          <w:rFonts w:ascii="Arial" w:cs="Arial" w:eastAsia="Arial" w:hAnsi="Arial"/>
          <w:b/>
          <w:bCs/>
          <w:sz w:val="22"/>
          <w:szCs w:val="22"/>
        </w:rPr>
        <w:t xml:space="preserve">Hallucination prevention: </w:t>
      </w:r>
      <w:r>
        <w:rPr>
          <w:rFonts w:ascii="Arial" w:cs="Arial" w:eastAsia="Arial" w:hAnsi="Arial"/>
          <w:sz w:val="22"/>
          <w:szCs w:val="22"/>
        </w:rPr>
        <w:t xml:space="preserve">system prompt instructs Claude to respond with explicit uncertainty language rather than extrapolate beyond retrieved context.</w:t>
      </w:r>
    </w:p>
    <w:p>
      <w:pPr>
        <w:pStyle w:val="ListParagraph"/>
        <w:numPr>
          <w:ilvl w:val="0"/>
          <w:numId w:val="2"/>
        </w:numPr>
        <w:spacing w:after="40" w:before="40"/>
      </w:pPr>
      <w:r>
        <w:rPr>
          <w:rFonts w:ascii="Arial" w:cs="Arial" w:eastAsia="Arial" w:hAnsi="Arial"/>
          <w:b/>
          <w:bCs/>
          <w:sz w:val="22"/>
          <w:szCs w:val="22"/>
        </w:rPr>
        <w:t xml:space="preserve">Safety flagging: </w:t>
      </w:r>
      <w:r>
        <w:rPr>
          <w:rFonts w:ascii="Arial" w:cs="Arial" w:eastAsia="Arial" w:hAnsi="Arial"/>
          <w:sz w:val="22"/>
          <w:szCs w:val="22"/>
        </w:rPr>
        <w:t xml:space="preserve">any response involving electrical or refrigerant procedures triggers an additional safety flag in the output.</w:t>
      </w:r>
    </w:p>
    <w:p>
      <w:pPr>
        <w:pStyle w:val="ListParagraph"/>
        <w:numPr>
          <w:ilvl w:val="0"/>
          <w:numId w:val="2"/>
        </w:numPr>
        <w:spacing w:after="40" w:before="40"/>
      </w:pPr>
      <w:r>
        <w:rPr>
          <w:rFonts w:ascii="Arial" w:cs="Arial" w:eastAsia="Arial" w:hAnsi="Arial"/>
          <w:b/>
          <w:bCs/>
          <w:sz w:val="22"/>
          <w:szCs w:val="22"/>
        </w:rPr>
        <w:t xml:space="preserve">Scope boundary: </w:t>
      </w:r>
      <w:r>
        <w:rPr>
          <w:rFonts w:ascii="Arial" w:cs="Arial" w:eastAsia="Arial" w:hAnsi="Arial"/>
          <w:sz w:val="22"/>
          <w:szCs w:val="22"/>
        </w:rPr>
        <w:t xml:space="preserve">system prompt restricts responses to field service and equipment topics. Off-topic queries receive a graceful decline, not a hallucinated answer.</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Evaluation Data</w:t>
      </w:r>
    </w:p>
    <w:p>
      <w:pPr>
        <w:spacing w:after="60" w:before="60"/>
      </w:pPr>
      <w:r>
        <w:rPr>
          <w:rFonts w:ascii="Arial" w:cs="Arial" w:eastAsia="Arial" w:hAnsi="Arial"/>
          <w:sz w:val="22"/>
          <w:szCs w:val="22"/>
        </w:rPr>
        <w:t xml:space="preserve">Three curated evaluation datasets are used in place of holdout cross-validation sets:</w:t>
      </w:r>
    </w:p>
    <w:p>
      <w:pPr>
        <w:pStyle w:val="ListParagraph"/>
        <w:numPr>
          <w:ilvl w:val="0"/>
          <w:numId w:val="2"/>
        </w:numPr>
        <w:spacing w:after="40" w:before="40"/>
      </w:pPr>
      <w:r>
        <w:rPr>
          <w:rFonts w:ascii="Arial" w:cs="Arial" w:eastAsia="Arial" w:hAnsi="Arial"/>
          <w:b/>
          <w:bCs/>
          <w:sz w:val="22"/>
          <w:szCs w:val="22"/>
        </w:rPr>
        <w:t xml:space="preserve">Ground truth set (50 pairs): </w:t>
      </w:r>
      <w:r>
        <w:rPr>
          <w:rFonts w:ascii="Arial" w:cs="Arial" w:eastAsia="Arial" w:hAnsi="Arial"/>
          <w:sz w:val="22"/>
          <w:szCs w:val="22"/>
        </w:rPr>
        <w:t xml:space="preserve">query-answer pairs derived directly from OSHA documentation and equipment manuals. Correct answers are specific section references or specification values. Used to measure factual accuracy and coverage rate.</w:t>
      </w:r>
    </w:p>
    <w:p>
      <w:pPr>
        <w:pStyle w:val="ListParagraph"/>
        <w:numPr>
          <w:ilvl w:val="0"/>
          <w:numId w:val="2"/>
        </w:numPr>
        <w:spacing w:after="40" w:before="40"/>
      </w:pPr>
      <w:r>
        <w:rPr>
          <w:rFonts w:ascii="Arial" w:cs="Arial" w:eastAsia="Arial" w:hAnsi="Arial"/>
          <w:b/>
          <w:bCs/>
          <w:sz w:val="22"/>
          <w:szCs w:val="22"/>
        </w:rPr>
        <w:t xml:space="preserve">Adversarial set (20 prompts): </w:t>
      </w:r>
      <w:r>
        <w:rPr>
          <w:rFonts w:ascii="Arial" w:cs="Arial" w:eastAsia="Arial" w:hAnsi="Arial"/>
          <w:sz w:val="22"/>
          <w:szCs w:val="22"/>
        </w:rPr>
        <w:t xml:space="preserve">queries with no correct answer in the corpus. Tests whether the system correctly routes to LOW confidence and escalates rather than hallucinating. This is the most critical eval set for safety applications.</w:t>
      </w:r>
    </w:p>
    <w:p>
      <w:pPr>
        <w:pStyle w:val="ListParagraph"/>
        <w:numPr>
          <w:ilvl w:val="0"/>
          <w:numId w:val="2"/>
        </w:numPr>
        <w:spacing w:after="40" w:before="40"/>
      </w:pPr>
      <w:r>
        <w:rPr>
          <w:rFonts w:ascii="Arial" w:cs="Arial" w:eastAsia="Arial" w:hAnsi="Arial"/>
          <w:b/>
          <w:bCs/>
          <w:sz w:val="22"/>
          <w:szCs w:val="22"/>
        </w:rPr>
        <w:t xml:space="preserve">Contradiction set (15 scenarios): </w:t>
      </w:r>
      <w:r>
        <w:rPr>
          <w:rFonts w:ascii="Arial" w:cs="Arial" w:eastAsia="Arial" w:hAnsi="Arial"/>
          <w:sz w:val="22"/>
          <w:szCs w:val="22"/>
        </w:rPr>
        <w:t xml:space="preserve">queries where two source documents provide conflicting guidance. Tests whether the PARTIAL routing path fires correctly and surfaces both sources.</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Iterative Orchestration</w:t>
      </w:r>
    </w:p>
    <w:p>
      <w:pPr>
        <w:spacing w:after="60" w:before="60"/>
      </w:pPr>
      <w:r>
        <w:rPr>
          <w:rFonts w:ascii="Arial" w:cs="Arial" w:eastAsia="Arial" w:hAnsi="Arial"/>
          <w:sz w:val="22"/>
          <w:szCs w:val="22"/>
        </w:rPr>
        <w:t xml:space="preserve">The system is designed for iterative improvement across four tunable dimensions. Confidence thresholds are adjustable via environment variables without code changes. Retrieval strategy (chunk size 500 tokens, overlap 50 tokens, top-k 5) is adjustable in the ingest and retrieval scripts. System prompt is versioned and modifiable independently of the retrieval layer. Document corpus is expandable by adding files to data/raw/ and re-running ingest.py. Each iteration is evaluated against the full eval set to measure whether changes improve or degrade performance.</w:t>
      </w:r>
    </w:p>
    <w:p>
      <w:pPr>
        <w:spacing w:after="80" w:before="80"/>
      </w:pPr>
      <w:r>
        <w:t xml:space="preserve"/>
      </w:r>
    </w:p>
    <w:p>
      <w:r>
        <w:br w:type="page"/>
      </w:r>
    </w:p>
    <w:p>
      <w:pPr>
        <w:pStyle w:val="Heading1"/>
        <w:pBdr>
          <w:bottom w:val="single" w:color="2E4A7A" w:sz="6" w:space="4"/>
        </w:pBdr>
        <w:spacing w:after="160" w:before="400"/>
      </w:pPr>
      <w:r>
        <w:rPr>
          <w:rFonts w:ascii="Arial" w:cs="Arial" w:eastAsia="Arial" w:hAnsi="Arial"/>
          <w:b/>
          <w:bCs/>
          <w:sz w:val="32"/>
          <w:szCs w:val="32"/>
        </w:rPr>
        <w:t xml:space="preserve">Stage 3: Model Quality</w:t>
      </w:r>
    </w:p>
    <w:p>
      <w:pPr>
        <w:spacing w:after="40" w:before="40"/>
      </w:pPr>
      <w:r>
        <w:t xml:space="preserve"/>
      </w:r>
    </w:p>
    <w:p>
      <w:pPr>
        <w:pStyle w:val="Heading2"/>
        <w:spacing w:after="120" w:before="280"/>
      </w:pPr>
      <w:r>
        <w:rPr>
          <w:rFonts w:ascii="Arial" w:cs="Arial" w:eastAsia="Arial" w:hAnsi="Arial"/>
          <w:b/>
          <w:bCs/>
          <w:color w:val="2E4A7A"/>
          <w:sz w:val="26"/>
          <w:szCs w:val="26"/>
        </w:rPr>
        <w:t xml:space="preserve">Residual and Error Analysis</w:t>
      </w:r>
    </w:p>
    <w:p>
      <w:pPr>
        <w:spacing w:after="60" w:before="60"/>
      </w:pPr>
      <w:r>
        <w:rPr>
          <w:rFonts w:ascii="Arial" w:cs="Arial" w:eastAsia="Arial" w:hAnsi="Arial"/>
          <w:sz w:val="22"/>
          <w:szCs w:val="22"/>
        </w:rPr>
        <w:t xml:space="preserve">The genAI equivalent of residual analysis is consistency testing across multiple runs. The same five representative queries (one per equipment type) are run three times each in independent sessions. Output variance is measured using semantic similarity between runs. Target: below 15% variance on factual queries, below 30% on analytical queries. High variance on a specific query type triggers retrieval audit and potential threshold adjustment. This is documented in the eval runner output alongside accuracy metrics.</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Appropriate Scale and Range</w:t>
      </w:r>
    </w:p>
    <w:p>
      <w:pPr>
        <w:spacing w:after="60" w:before="60"/>
      </w:pPr>
      <w:r>
        <w:rPr>
          <w:rFonts w:ascii="Arial" w:cs="Arial" w:eastAsia="Arial" w:hAnsi="Arial"/>
          <w:sz w:val="22"/>
          <w:szCs w:val="22"/>
        </w:rPr>
        <w:t xml:space="preserve">All prompts are standardized to the same input format and length range. Similarity scores are normalized to a 0 to 1 range where 1 represents maximum relevance. Evaluation results are reported on a consistent scale across all three eval sets, making comparisons between query types and confidence levels meaningful. Prompts that fall outside the standard format (e.g., extremely long queries or queries with special characters) are normalized before retrieval.</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Coefficients and Feature Importance</w:t>
      </w:r>
    </w:p>
    <w:p>
      <w:pPr>
        <w:spacing w:after="60" w:before="60"/>
      </w:pPr>
      <w:r>
        <w:rPr>
          <w:rFonts w:ascii="Arial" w:cs="Arial" w:eastAsia="Arial" w:hAnsi="Arial"/>
          <w:sz w:val="22"/>
          <w:szCs w:val="22"/>
        </w:rPr>
        <w:t xml:space="preserve">In genAI systems, the equivalent of coefficient analysis is output alignment checking: verifying that responses are factually correct, use safe tone, and are grounded in domain context. Three alignment checks are applied. Factual correctness is measured against ground truth annotations for the 50-pair eval set. Tone safety is enforced via system prompt and spot-checked manually on a 10% sample of eval outputs. Domain grounding is verified by confirming that every response cites a source document from the relevant collection. Responses that cite a job history record for a compliance question, for example, are flagged as misrouted.</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Interpretability</w:t>
      </w:r>
    </w:p>
    <w:p>
      <w:pPr>
        <w:spacing w:after="60" w:before="60"/>
      </w:pPr>
      <w:r>
        <w:rPr>
          <w:rFonts w:ascii="Arial" w:cs="Arial" w:eastAsia="Arial" w:hAnsi="Arial"/>
          <w:sz w:val="22"/>
          <w:szCs w:val="22"/>
        </w:rPr>
        <w:t xml:space="preserve">Every response in this system is interpretable by design, not as an afterthought. Three interpretability mechanisms are built into the output layer. First, every response includes a source citation with document name, collection (osha, manuals, or job_history), and relevance score. Second, confidence level and routing path are surfaced explicitly to the dispatcher interface, not just the technician. Third, the system prompt is documented, versioned, and transparent. Any reviewer can read the system prompt and understand exactly what instructions the model is operating under. This is the genAI equivalent of a model with explainable coefficients.</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Instruction Following</w:t>
      </w:r>
    </w:p>
    <w:p>
      <w:pPr>
        <w:spacing w:after="60" w:before="60"/>
      </w:pPr>
      <w:r>
        <w:rPr>
          <w:rFonts w:ascii="Arial" w:cs="Arial" w:eastAsia="Arial" w:hAnsi="Arial"/>
          <w:sz w:val="22"/>
          <w:szCs w:val="22"/>
        </w:rPr>
        <w:t xml:space="preserve">Compliance with user intent is validated against the ground truth eval set. Three instruction-following behaviors are explicitly tested. First, citation compliance: does every response include a source citation? Measured on all 50 ground truth pairs. Second, uncertainty compliance: does the system use explicit uncertainty language on PARTIAL outputs and escalation language on LOW outputs? Measured on all 15 contradiction scenarios and all 20 adversarial queries. Third, scope compliance: does the system decline off-topic queries gracefully rather than answering outside its domain? Measured on a supplementary set of 5 out-of-scope queries.</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Factuality and Hallucination Detection</w:t>
      </w:r>
    </w:p>
    <w:p>
      <w:pPr>
        <w:spacing w:after="60" w:before="60"/>
      </w:pPr>
      <w:r>
        <w:rPr>
          <w:rFonts w:ascii="Arial" w:cs="Arial" w:eastAsia="Arial" w:hAnsi="Arial"/>
          <w:sz w:val="22"/>
          <w:szCs w:val="22"/>
        </w:rPr>
        <w:t xml:space="preserve">Hallucination detection is a first-class metric in this system, not a secondary check. The adversarial evaluation set (20 queries with no correct answer in corpus) is designed specifically to measure hallucination rate. A hallucination is defined as any HIGH or PARTIAL confidence response on an adversarial query, meaning the system returned a confident answer when the correct behavior was to escalate. Target hallucination rate: below 2%. This threshold is set conservatively because in a safety-critical field context, a hallucinated electrical procedure is more dangerous than an unnecessary call to the office.</w:t>
      </w:r>
    </w:p>
    <w:p>
      <w:pPr>
        <w:spacing w:after="80" w:before="80"/>
      </w:pPr>
      <w:r>
        <w:t xml:space="preserve"/>
      </w:r>
    </w:p>
    <w:p>
      <w:pPr>
        <w:spacing w:after="60" w:before="60"/>
      </w:pPr>
      <w:r>
        <w:rPr>
          <w:rFonts w:ascii="Arial" w:cs="Arial" w:eastAsia="Arial" w:hAnsi="Arial"/>
          <w:sz w:val="22"/>
          <w:szCs w:val="22"/>
        </w:rPr>
        <w:t xml:space="preserve">Cross-checking outputs against ground truth is automated via the eval runner. Human spot-checking is applied to 10% of HIGH confidence responses on ground truth queries to verify that cited sources actually support the answer provided.</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Robustness Across Inputs</w:t>
      </w:r>
    </w:p>
    <w:p>
      <w:pPr>
        <w:spacing w:after="60" w:before="60"/>
      </w:pPr>
      <w:r>
        <w:rPr>
          <w:rFonts w:ascii="Arial" w:cs="Arial" w:eastAsia="Arial" w:hAnsi="Arial"/>
          <w:sz w:val="22"/>
          <w:szCs w:val="22"/>
        </w:rPr>
        <w:t xml:space="preserve">The system is stress-tested against five categories of adversarial and edge-case inputs:</w:t>
      </w:r>
    </w:p>
    <w:p>
      <w:pPr>
        <w:pStyle w:val="ListParagraph"/>
        <w:numPr>
          <w:ilvl w:val="0"/>
          <w:numId w:val="2"/>
        </w:numPr>
        <w:spacing w:after="40" w:before="40"/>
      </w:pPr>
      <w:r>
        <w:rPr>
          <w:rFonts w:ascii="Arial" w:cs="Arial" w:eastAsia="Arial" w:hAnsi="Arial"/>
          <w:b/>
          <w:bCs/>
          <w:sz w:val="22"/>
          <w:szCs w:val="22"/>
        </w:rPr>
        <w:t xml:space="preserve">Out-of-corpus equipment: </w:t>
      </w:r>
      <w:r>
        <w:rPr>
          <w:rFonts w:ascii="Arial" w:cs="Arial" w:eastAsia="Arial" w:hAnsi="Arial"/>
          <w:sz w:val="22"/>
          <w:szCs w:val="22"/>
        </w:rPr>
        <w:t xml:space="preserve">equipment IDs not present in any source document. Expected behavior: LOW confidence escalation.</w:t>
      </w:r>
    </w:p>
    <w:p>
      <w:pPr>
        <w:pStyle w:val="ListParagraph"/>
        <w:numPr>
          <w:ilvl w:val="0"/>
          <w:numId w:val="2"/>
        </w:numPr>
        <w:spacing w:after="40" w:before="40"/>
      </w:pPr>
      <w:r>
        <w:rPr>
          <w:rFonts w:ascii="Arial" w:cs="Arial" w:eastAsia="Arial" w:hAnsi="Arial"/>
          <w:b/>
          <w:bCs/>
          <w:sz w:val="22"/>
          <w:szCs w:val="22"/>
        </w:rPr>
        <w:t xml:space="preserve">Version conflicts: </w:t>
      </w:r>
      <w:r>
        <w:rPr>
          <w:rFonts w:ascii="Arial" w:cs="Arial" w:eastAsia="Arial" w:hAnsi="Arial"/>
          <w:sz w:val="22"/>
          <w:szCs w:val="22"/>
        </w:rPr>
        <w:t xml:space="preserve">queries where two versions of the same manual list different specifications. Expected behavior: PARTIAL confidence with both versions surfaced.</w:t>
      </w:r>
    </w:p>
    <w:p>
      <w:pPr>
        <w:pStyle w:val="ListParagraph"/>
        <w:numPr>
          <w:ilvl w:val="0"/>
          <w:numId w:val="2"/>
        </w:numPr>
        <w:spacing w:after="40" w:before="40"/>
      </w:pPr>
      <w:r>
        <w:rPr>
          <w:rFonts w:ascii="Arial" w:cs="Arial" w:eastAsia="Arial" w:hAnsi="Arial"/>
          <w:b/>
          <w:bCs/>
          <w:sz w:val="22"/>
          <w:szCs w:val="22"/>
        </w:rPr>
        <w:t xml:space="preserve">Cross-source conflicts: </w:t>
      </w:r>
      <w:r>
        <w:rPr>
          <w:rFonts w:ascii="Arial" w:cs="Arial" w:eastAsia="Arial" w:hAnsi="Arial"/>
          <w:sz w:val="22"/>
          <w:szCs w:val="22"/>
        </w:rPr>
        <w:t xml:space="preserve">queries where OSHA guidance and manufacturer guidance disagree. Expected behavior: PARTIAL confidence with explicit conflict flag.</w:t>
      </w:r>
    </w:p>
    <w:p>
      <w:pPr>
        <w:pStyle w:val="ListParagraph"/>
        <w:numPr>
          <w:ilvl w:val="0"/>
          <w:numId w:val="2"/>
        </w:numPr>
        <w:spacing w:after="40" w:before="40"/>
      </w:pPr>
      <w:r>
        <w:rPr>
          <w:rFonts w:ascii="Arial" w:cs="Arial" w:eastAsia="Arial" w:hAnsi="Arial"/>
          <w:b/>
          <w:bCs/>
          <w:sz w:val="22"/>
          <w:szCs w:val="22"/>
        </w:rPr>
        <w:t xml:space="preserve">Ambiguous queries: </w:t>
      </w:r>
      <w:r>
        <w:rPr>
          <w:rFonts w:ascii="Arial" w:cs="Arial" w:eastAsia="Arial" w:hAnsi="Arial"/>
          <w:sz w:val="22"/>
          <w:szCs w:val="22"/>
        </w:rPr>
        <w:t xml:space="preserve">queries where equipment type is unclear from phrasing. Expected behavior: retrieval returns results across multiple equipment types, confidence is PARTIAL or LOW depending on score spread.</w:t>
      </w:r>
    </w:p>
    <w:p>
      <w:pPr>
        <w:pStyle w:val="ListParagraph"/>
        <w:numPr>
          <w:ilvl w:val="0"/>
          <w:numId w:val="2"/>
        </w:numPr>
        <w:spacing w:after="40" w:before="40"/>
      </w:pPr>
      <w:r>
        <w:rPr>
          <w:rFonts w:ascii="Arial" w:cs="Arial" w:eastAsia="Arial" w:hAnsi="Arial"/>
          <w:b/>
          <w:bCs/>
          <w:sz w:val="22"/>
          <w:szCs w:val="22"/>
        </w:rPr>
        <w:t xml:space="preserve">Out-of-scope queries: </w:t>
      </w:r>
      <w:r>
        <w:rPr>
          <w:rFonts w:ascii="Arial" w:cs="Arial" w:eastAsia="Arial" w:hAnsi="Arial"/>
          <w:sz w:val="22"/>
          <w:szCs w:val="22"/>
        </w:rPr>
        <w:t xml:space="preserve">queries outside the field service domain (billing, HR, scheduling). Expected behavior: graceful decline without hallucination.</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Human Evaluation</w:t>
      </w:r>
    </w:p>
    <w:p>
      <w:pPr>
        <w:spacing w:after="60" w:before="60"/>
      </w:pPr>
      <w:r>
        <w:rPr>
          <w:rFonts w:ascii="Arial" w:cs="Arial" w:eastAsia="Arial" w:hAnsi="Arial"/>
          <w:sz w:val="22"/>
          <w:szCs w:val="22"/>
        </w:rPr>
        <w:t xml:space="preserve">Full human evaluation is scoped for the post-prototype phase. The evaluation design is documented here for completeness. Five simulated technician personas (defined by job type and equipment specialty) will each evaluate 10 system responses on three dimensions: would you trust this answer, would you act on it without additional verification, and did the uncertainty flag (when present) help or confuse you. Responses are rated on a 1 to 5 scale. Target: average trust score above 3.5 out of 5 on HIGH confidence responses. Dispatcher review panel (3 reviewers) will separately evaluate 20 escalated cases on whether the escalation was justified and whether the context summary was useful.</w:t>
      </w:r>
    </w:p>
    <w:p>
      <w:pPr>
        <w:spacing w:after="80" w:before="80"/>
      </w:pPr>
      <w:r>
        <w:t xml:space="preserve"/>
      </w:r>
    </w:p>
    <w:p>
      <w:r>
        <w:br w:type="page"/>
      </w:r>
    </w:p>
    <w:p>
      <w:pPr>
        <w:pStyle w:val="Heading1"/>
        <w:pBdr>
          <w:bottom w:val="single" w:color="2E4A7A" w:sz="6" w:space="4"/>
        </w:pBdr>
        <w:spacing w:after="160" w:before="400"/>
      </w:pPr>
      <w:r>
        <w:rPr>
          <w:rFonts w:ascii="Arial" w:cs="Arial" w:eastAsia="Arial" w:hAnsi="Arial"/>
          <w:b/>
          <w:bCs/>
          <w:sz w:val="32"/>
          <w:szCs w:val="32"/>
        </w:rPr>
        <w:t xml:space="preserve">Stage 4: Prototype and Deployment Metrics</w:t>
      </w:r>
    </w:p>
    <w:p>
      <w:pPr>
        <w:spacing w:after="40" w:before="40"/>
      </w:pPr>
      <w:r>
        <w:t xml:space="preserve"/>
      </w:r>
    </w:p>
    <w:p>
      <w:pPr>
        <w:pStyle w:val="Heading2"/>
        <w:spacing w:after="120" w:before="280"/>
      </w:pPr>
      <w:r>
        <w:rPr>
          <w:rFonts w:ascii="Arial" w:cs="Arial" w:eastAsia="Arial" w:hAnsi="Arial"/>
          <w:b/>
          <w:bCs/>
          <w:color w:val="2E4A7A"/>
          <w:sz w:val="26"/>
          <w:szCs w:val="26"/>
        </w:rPr>
        <w:t xml:space="preserve">Prototype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4A7A" w:sz="20"/>
              <w:bottom w:val="single" w:color="CCCCCC" w:sz="1"/>
              <w:right w:val="single" w:color="CCCCCC" w:sz="1"/>
            </w:tcBorders>
            <w:shd w:fill="EBF3FB" w:val="clear"/>
            <w:tcMar>
              <w:top w:type="dxa" w:w="120"/>
              <w:left w:type="dxa" w:w="200"/>
              <w:bottom w:type="dxa" w:w="120"/>
              <w:right w:type="dxa" w:w="120"/>
            </w:tcMar>
          </w:tcPr>
          <w:p>
            <w:r>
              <w:rPr>
                <w:rFonts w:ascii="Arial" w:cs="Arial" w:eastAsia="Arial" w:hAnsi="Arial"/>
                <w:b/>
                <w:bCs/>
                <w:color w:val="2E4A7A"/>
                <w:sz w:val="21"/>
                <w:szCs w:val="21"/>
              </w:rPr>
              <w:t xml:space="preserve">What the prototype demonstrates:  </w:t>
            </w:r>
            <w:r>
              <w:rPr>
                <w:rFonts w:ascii="Arial" w:cs="Arial" w:eastAsia="Arial" w:hAnsi="Arial"/>
                <w:sz w:val="21"/>
                <w:szCs w:val="21"/>
              </w:rPr>
              <w:t xml:space="preserve">A Streamlit web application wrapping a RAG pipeline that ingests three document types, retrieves relevant context, scores confidence, and routes through all three graceful degradation paths. The prototype runs in a browser at localhost:8501 and is shareable via a short video walkthrough. It is a demonstrable proof of concept with rigorous evaluation metrics, not a production system.</w:t>
            </w:r>
          </w:p>
        </w:tc>
      </w:tr>
    </w:tbl>
    <w:p>
      <w:pPr>
        <w:spacing w:after="80" w:before="80"/>
      </w:pPr>
      <w:r>
        <w:t xml:space="preserve"/>
      </w:r>
    </w:p>
    <w:p>
      <w:pPr>
        <w:spacing w:after="60" w:before="60"/>
      </w:pPr>
      <w:r>
        <w:rPr>
          <w:rFonts w:ascii="Arial" w:cs="Arial" w:eastAsia="Arial" w:hAnsi="Arial"/>
          <w:sz w:val="22"/>
          <w:szCs w:val="22"/>
        </w:rPr>
        <w:t xml:space="preserve">The prototype consists of five core modules: ingest.py (document loading and Chroma indexing), retriever.py (query embedding and similarity search), confidence.py (threshold-based confidence scoring), degradation.py (three-path routing logic), and assistant.py (LLM generation and response assembly). A Streamlit web interface (app.py) provides a browser-based query input, color-coded confidence indicators (green for HIGH, yellow for PARTIAL, red for LOW), and one-click preset demo queries designed to trigger each routing path reliably.</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Confusion Matrix (Deployment Lens)</w:t>
      </w:r>
    </w:p>
    <w:p>
      <w:pPr>
        <w:spacing w:after="60" w:before="60"/>
      </w:pPr>
      <w:r>
        <w:rPr>
          <w:rFonts w:ascii="Arial" w:cs="Arial" w:eastAsia="Arial" w:hAnsi="Arial"/>
          <w:sz w:val="22"/>
          <w:szCs w:val="22"/>
        </w:rPr>
        <w:t xml:space="preserve">The standard ML confusion matrix is reframed for this genAI system with four categories that directly map to deployment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Definition and Business Consequence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True Positive (TP)</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System returns a correct, relevant answer and the technician acts on it correctly. This is the target outcome for HIGH confidence queries.</w:t>
            </w:r>
          </w:p>
        </w:tc>
      </w:tr>
      <w:tr>
        <w:tc>
          <w:tcPr>
            <w:tcW w:type="dxa" w:w="2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True Negative (TN)</w:t>
            </w:r>
          </w:p>
        </w:tc>
        <w:tc>
          <w:tcPr>
            <w:tcW w:type="dxa" w:w="6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System correctly escalates or flags uncertainty when context is genuinely missing or conflicting. This protects the technician from acting on bad information.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False Positive (FP) — critical failure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System returns a confident wrong answer. Technician acts on bad information. In a safety-critical context, this can result in equipment damage, injury, or compliance violation. This is the highest-risk failure mode and the primary target for minimization.</w:t>
            </w:r>
          </w:p>
        </w:tc>
      </w:tr>
      <w:tr>
        <w:tc>
          <w:tcPr>
            <w:tcW w:type="dxa" w:w="2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False Negative (FN) — costly but recoverable</w:t>
            </w:r>
          </w:p>
        </w:tc>
        <w:tc>
          <w:tcPr>
            <w:tcW w:type="dxa" w:w="6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System escalates or refuses when it actually had the right answer. Creates unnecessary friction and wastes dispatcher time. Costly but recoverable. Preferable to FP in safety-critical contexts.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4A7A" w:sz="20"/>
              <w:bottom w:val="single" w:color="CCCCCC" w:sz="1"/>
              <w:right w:val="single" w:color="CCCCCC" w:sz="1"/>
            </w:tcBorders>
            <w:shd w:fill="EBF3FB" w:val="clear"/>
            <w:tcMar>
              <w:top w:type="dxa" w:w="120"/>
              <w:left w:type="dxa" w:w="200"/>
              <w:bottom w:type="dxa" w:w="120"/>
              <w:right w:type="dxa" w:w="120"/>
            </w:tcMar>
          </w:tcPr>
          <w:p>
            <w:r>
              <w:rPr>
                <w:rFonts w:ascii="Arial" w:cs="Arial" w:eastAsia="Arial" w:hAnsi="Arial"/>
                <w:b/>
                <w:bCs/>
                <w:color w:val="2E4A7A"/>
                <w:sz w:val="21"/>
                <w:szCs w:val="21"/>
              </w:rPr>
              <w:t xml:space="preserve">Calibration decision:  </w:t>
            </w:r>
            <w:r>
              <w:rPr>
                <w:rFonts w:ascii="Arial" w:cs="Arial" w:eastAsia="Arial" w:hAnsi="Arial"/>
                <w:sz w:val="21"/>
                <w:szCs w:val="21"/>
              </w:rPr>
              <w:t xml:space="preserve">The system is deliberately calibrated to accept higher FN rate in exchange for lower FP rate. A conservative confidence threshold (HIGH requires similarity &gt; 0.75) means some answerable queries are escalated unnecessarily. This is the correct tradeoff for a safety-critical field application.</w:t>
            </w:r>
          </w:p>
        </w:tc>
      </w:tr>
    </w:tbl>
    <w:p>
      <w:pPr>
        <w:spacing w:after="80" w:before="80"/>
      </w:pPr>
      <w:r>
        <w:t xml:space="preserve"/>
      </w:r>
    </w:p>
    <w:p>
      <w:pPr>
        <w:pStyle w:val="Heading2"/>
        <w:spacing w:after="120" w:before="280"/>
      </w:pPr>
      <w:r>
        <w:rPr>
          <w:rFonts w:ascii="Arial" w:cs="Arial" w:eastAsia="Arial" w:hAnsi="Arial"/>
          <w:b/>
          <w:bCs/>
          <w:color w:val="2E4A7A"/>
          <w:sz w:val="26"/>
          <w:szCs w:val="26"/>
        </w:rPr>
        <w:t xml:space="preserve">Accuracy, Precision, Recall, and F1</w:t>
      </w:r>
    </w:p>
    <w:p>
      <w:pPr>
        <w:spacing w:after="60" w:before="60"/>
      </w:pPr>
      <w:r>
        <w:rPr>
          <w:rFonts w:ascii="Arial" w:cs="Arial" w:eastAsia="Arial" w:hAnsi="Arial"/>
          <w:sz w:val="22"/>
          <w:szCs w:val="22"/>
        </w:rPr>
        <w:t xml:space="preserve">Standard classification metrics are redefined for this genAI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GenAI Definition and Target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Factual accuracy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Proportion of HIGH confidence responses that match ground truth annotations. Measured on 50-pair eval set. Target: above 85%.</w:t>
            </w:r>
          </w:p>
        </w:tc>
      </w:tr>
      <w:tr>
        <w:tc>
          <w:tcPr>
            <w:tcW w:type="dxa" w:w="2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Coverage rate (Recall equivalent)</w:t>
            </w:r>
          </w:p>
        </w:tc>
        <w:tc>
          <w:tcPr>
            <w:tcW w:type="dxa" w:w="6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Proportion of in-scope queries where at least one relevant chunk is retrieved (similarity &gt; 0.50). Target: above 80%. Low coverage indicates corpus gaps.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Precision equivalent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Proportion of HIGH confidence responses where the cited source actually supports the answer. Measured via human spot-check on 10% sample. Target: above 90%.</w:t>
            </w:r>
          </w:p>
        </w:tc>
      </w:tr>
      <w:tr>
        <w:tc>
          <w:tcPr>
            <w:tcW w:type="dxa" w:w="2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Hallucination rate (FP rate)</w:t>
            </w:r>
          </w:p>
        </w:tc>
        <w:tc>
          <w:tcPr>
            <w:tcW w:type="dxa" w:w="6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Proportion of adversarial queries that receive HIGH or PARTIAL confidence responses (incorrect behavior). Target: below 2%.</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Escalation rate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Proportion of total queries routed to LOW confidence. Target: 10 to 25%. Outside this range indicates miscalibration in either direction.</w:t>
            </w:r>
          </w:p>
        </w:tc>
      </w:tr>
    </w:tbl>
    <w:p>
      <w:pPr>
        <w:spacing w:after="80" w:before="80"/>
      </w:pPr>
      <w:r>
        <w:t xml:space="preserve"/>
      </w:r>
    </w:p>
    <w:p>
      <w:pPr>
        <w:pStyle w:val="Heading2"/>
        <w:spacing w:after="120" w:before="280"/>
      </w:pPr>
      <w:r>
        <w:rPr>
          <w:rFonts w:ascii="Arial" w:cs="Arial" w:eastAsia="Arial" w:hAnsi="Arial"/>
          <w:b/>
          <w:bCs/>
          <w:color w:val="2E4A7A"/>
          <w:sz w:val="26"/>
          <w:szCs w:val="26"/>
        </w:rPr>
        <w:t xml:space="preserve">Threshold Adjustments</w:t>
      </w:r>
    </w:p>
    <w:p>
      <w:pPr>
        <w:spacing w:after="60" w:before="60"/>
      </w:pPr>
      <w:r>
        <w:rPr>
          <w:rFonts w:ascii="Arial" w:cs="Arial" w:eastAsia="Arial" w:hAnsi="Arial"/>
          <w:sz w:val="22"/>
          <w:szCs w:val="22"/>
        </w:rPr>
        <w:t xml:space="preserve">Confidence thresholds are the primary tuning mechanism for adjusting precision versus recall in this system. Two thresholds are configurable via environment variables with no code changes required:</w:t>
      </w:r>
    </w:p>
    <w:p>
      <w:pPr>
        <w:pStyle w:val="ListParagraph"/>
        <w:numPr>
          <w:ilvl w:val="0"/>
          <w:numId w:val="2"/>
        </w:numPr>
        <w:spacing w:after="40" w:before="40"/>
      </w:pPr>
      <w:r>
        <w:rPr>
          <w:rFonts w:ascii="Arial" w:cs="Arial" w:eastAsia="Arial" w:hAnsi="Arial"/>
          <w:b/>
          <w:bCs/>
          <w:sz w:val="22"/>
          <w:szCs w:val="22"/>
        </w:rPr>
        <w:t xml:space="preserve">HIGH_THRESHOLD (default 0.75): </w:t>
      </w:r>
      <w:r>
        <w:rPr>
          <w:rFonts w:ascii="Arial" w:cs="Arial" w:eastAsia="Arial" w:hAnsi="Arial"/>
          <w:sz w:val="22"/>
          <w:szCs w:val="22"/>
        </w:rPr>
        <w:t xml:space="preserve">raising this threshold increases precision (fewer wrong answers) at the cost of higher escalation rate. Lowering it increases coverage but risks more LOW-quality HIGH confidence responses.</w:t>
      </w:r>
    </w:p>
    <w:p>
      <w:pPr>
        <w:pStyle w:val="ListParagraph"/>
        <w:numPr>
          <w:ilvl w:val="0"/>
          <w:numId w:val="2"/>
        </w:numPr>
        <w:spacing w:after="40" w:before="40"/>
      </w:pPr>
      <w:r>
        <w:rPr>
          <w:rFonts w:ascii="Arial" w:cs="Arial" w:eastAsia="Arial" w:hAnsi="Arial"/>
          <w:b/>
          <w:bCs/>
          <w:sz w:val="22"/>
          <w:szCs w:val="22"/>
        </w:rPr>
        <w:t xml:space="preserve">PARTIAL_THRESHOLD (default 0.50): </w:t>
      </w:r>
      <w:r>
        <w:rPr>
          <w:rFonts w:ascii="Arial" w:cs="Arial" w:eastAsia="Arial" w:hAnsi="Arial"/>
          <w:sz w:val="22"/>
          <w:szCs w:val="22"/>
        </w:rPr>
        <w:t xml:space="preserve">raising this threshold routes more queries to LOW confidence escalation. Lowering it routes more queries to PARTIAL, which is appropriate when more context is available.</w:t>
      </w:r>
    </w:p>
    <w:p>
      <w:pPr>
        <w:spacing w:after="80" w:before="80"/>
      </w:pPr>
      <w:r>
        <w:t xml:space="preserve"/>
      </w:r>
    </w:p>
    <w:p>
      <w:pPr>
        <w:spacing w:after="60" w:before="60"/>
      </w:pPr>
      <w:r>
        <w:rPr>
          <w:rFonts w:ascii="Arial" w:cs="Arial" w:eastAsia="Arial" w:hAnsi="Arial"/>
          <w:sz w:val="22"/>
          <w:szCs w:val="22"/>
        </w:rPr>
        <w:t xml:space="preserve">Threshold tuning is performed iteratively against the full eval set. Each threshold change is tested against all 85 eval queries before deployment. The target operating point is: hallucination rate below 2% and coverage rate above 80%. If these two targets conflict, hallucination rate takes precedence.</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Business and User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2E4A7A" w:val="clear"/>
            <w:tcMar>
              <w:top w:type="dxa" w:w="90"/>
              <w:left w:type="dxa" w:w="130"/>
              <w:bottom w:type="dxa" w:w="90"/>
              <w:right w:type="dxa" w:w="130"/>
            </w:tcMar>
          </w:tcPr>
          <w:p>
            <w:r>
              <w:rPr>
                <w:rFonts w:ascii="Arial" w:cs="Arial" w:eastAsia="Arial" w:hAnsi="Arial"/>
                <w:b/>
                <w:bCs/>
                <w:color w:val="FFFFFF"/>
                <w:sz w:val="20"/>
                <w:szCs w:val="20"/>
              </w:rPr>
              <w:t xml:space="preserve">Definition and Target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Time to answer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Seconds from query submission to usable response. Target: under 8 seconds. Baseline (manual lookup): 4 to 12 minutes. This is the primary ROI metric.</w:t>
            </w:r>
          </w:p>
        </w:tc>
      </w:tr>
      <w:tr>
        <w:tc>
          <w:tcPr>
            <w:tcW w:type="dxa" w:w="2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Technician trust score</w:t>
            </w:r>
          </w:p>
        </w:tc>
        <w:tc>
          <w:tcPr>
            <w:tcW w:type="dxa" w:w="6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Post-interaction survey rating: 'I would act on this answer.' Scale 1 to 5. Target: above 3.5 on HIGH confidence responses after 30 days.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Dispatcher escalation quality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Proportion of escalated cases where the dispatcher agrees the escalation was justified. Target: above 80%. Low score indicates over-escalation from miscalibrated thresholds.</w:t>
            </w:r>
          </w:p>
        </w:tc>
      </w:tr>
      <w:tr>
        <w:tc>
          <w:tcPr>
            <w:tcW w:type="dxa" w:w="280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Human override rate</w:t>
            </w:r>
          </w:p>
        </w:tc>
        <w:tc>
          <w:tcPr>
            <w:tcW w:type="dxa" w:w="6560"/>
            <w:tcBorders>
              <w:top w:val="single" w:color="CCCCCC" w:sz="1"/>
              <w:left w:val="single" w:color="CCCCCC" w:sz="1"/>
              <w:bottom w:val="single" w:color="CCCCCC" w:sz="1"/>
              <w:right w:val="single" w:color="CCCCCC" w:sz="1"/>
            </w:tcBorders>
            <w:shd w:fill="F4F7FB" w:val="clear"/>
            <w:tcMar>
              <w:top w:type="dxa" w:w="90"/>
              <w:left w:type="dxa" w:w="130"/>
              <w:bottom w:type="dxa" w:w="90"/>
              <w:right w:type="dxa" w:w="130"/>
            </w:tcMar>
          </w:tcPr>
          <w:p>
            <w:r>
              <w:rPr>
                <w:rFonts w:ascii="Arial" w:cs="Arial" w:eastAsia="Arial" w:hAnsi="Arial"/>
                <w:b w:val="false"/>
                <w:bCs w:val="false"/>
                <w:color w:val="222222"/>
                <w:sz w:val="20"/>
                <w:szCs w:val="20"/>
              </w:rPr>
              <w:t xml:space="preserve">Proportion of escalated cases where dispatcher overrides the system's partial answer. Target: below 20% after 30 days. High override rate signals systematic retrieval failure.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Coverage expansion rate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20"/>
                <w:szCs w:val="20"/>
              </w:rPr>
              <w:t xml:space="preserve">Rate at which new document types are added to the corpus post-launch. Target: one new document category per quarter. Tracks whether the system is growing to cover more job types.</w:t>
            </w:r>
          </w:p>
        </w:tc>
      </w:tr>
    </w:tbl>
    <w:p>
      <w:pPr>
        <w:spacing w:after="80" w:before="80"/>
      </w:pPr>
      <w:r>
        <w:t xml:space="preserve"/>
      </w:r>
    </w:p>
    <w:p>
      <w:pPr>
        <w:pStyle w:val="Heading2"/>
        <w:spacing w:after="120" w:before="280"/>
      </w:pPr>
      <w:r>
        <w:rPr>
          <w:rFonts w:ascii="Arial" w:cs="Arial" w:eastAsia="Arial" w:hAnsi="Arial"/>
          <w:b/>
          <w:bCs/>
          <w:color w:val="2E4A7A"/>
          <w:sz w:val="26"/>
          <w:szCs w:val="26"/>
        </w:rPr>
        <w:t xml:space="preserve">A/B Testing</w:t>
      </w:r>
    </w:p>
    <w:p>
      <w:pPr>
        <w:spacing w:after="60" w:before="60"/>
      </w:pPr>
      <w:r>
        <w:rPr>
          <w:rFonts w:ascii="Arial" w:cs="Arial" w:eastAsia="Arial" w:hAnsi="Arial"/>
          <w:sz w:val="22"/>
          <w:szCs w:val="22"/>
        </w:rPr>
        <w:t xml:space="preserve">Two variants are designed for post-deployment A/B testing once the prototype moves to a web interface:</w:t>
      </w:r>
    </w:p>
    <w:p>
      <w:pPr>
        <w:pStyle w:val="ListParagraph"/>
        <w:numPr>
          <w:ilvl w:val="0"/>
          <w:numId w:val="2"/>
        </w:numPr>
        <w:spacing w:after="40" w:before="40"/>
      </w:pPr>
      <w:r>
        <w:rPr>
          <w:rFonts w:ascii="Arial" w:cs="Arial" w:eastAsia="Arial" w:hAnsi="Arial"/>
          <w:b/>
          <w:bCs/>
          <w:sz w:val="22"/>
          <w:szCs w:val="22"/>
        </w:rPr>
        <w:t xml:space="preserve">Variant A (control): </w:t>
      </w:r>
      <w:r>
        <w:rPr>
          <w:rFonts w:ascii="Arial" w:cs="Arial" w:eastAsia="Arial" w:hAnsi="Arial"/>
          <w:sz w:val="22"/>
          <w:szCs w:val="22"/>
        </w:rPr>
        <w:t xml:space="preserve">system returns answer with source citation only. No confidence indicator shown to the technician.</w:t>
      </w:r>
    </w:p>
    <w:p>
      <w:pPr>
        <w:pStyle w:val="ListParagraph"/>
        <w:numPr>
          <w:ilvl w:val="0"/>
          <w:numId w:val="2"/>
        </w:numPr>
        <w:spacing w:after="40" w:before="40"/>
      </w:pPr>
      <w:r>
        <w:rPr>
          <w:rFonts w:ascii="Arial" w:cs="Arial" w:eastAsia="Arial" w:hAnsi="Arial"/>
          <w:b/>
          <w:bCs/>
          <w:sz w:val="22"/>
          <w:szCs w:val="22"/>
        </w:rPr>
        <w:t xml:space="preserve">Variant B (treatment): </w:t>
      </w:r>
      <w:r>
        <w:rPr>
          <w:rFonts w:ascii="Arial" w:cs="Arial" w:eastAsia="Arial" w:hAnsi="Arial"/>
          <w:sz w:val="22"/>
          <w:szCs w:val="22"/>
        </w:rPr>
        <w:t xml:space="preserve">system returns answer with confidence indicator (HIGH / PARTIAL / LOW) and explicit uncertainty language when applicable.</w:t>
      </w:r>
    </w:p>
    <w:p>
      <w:pPr>
        <w:spacing w:after="80" w:before="80"/>
      </w:pPr>
      <w:r>
        <w:t xml:space="preserve"/>
      </w:r>
    </w:p>
    <w:p>
      <w:pPr>
        <w:spacing w:after="60" w:before="60"/>
      </w:pPr>
      <w:r>
        <w:rPr>
          <w:rFonts w:ascii="Arial" w:cs="Arial" w:eastAsia="Arial" w:hAnsi="Arial"/>
          <w:sz w:val="22"/>
          <w:szCs w:val="22"/>
        </w:rPr>
        <w:t xml:space="preserve">Hypothesis: Variant B increases technician trust score and reduces dispatcher override rate, even though it surfaces more uncertainty. The transparency of uncertainty is a feature, not a bug. Technicians who understand the system's confidence level make better decisions about when to act independently versus when to escalate. This hypothesis is grounded in human factors research showing that calibrated uncertainty disclosure increases appropriate reliance on AI systems.</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Longitudinal Monitoring</w:t>
      </w:r>
    </w:p>
    <w:p>
      <w:pPr>
        <w:spacing w:after="60" w:before="60"/>
      </w:pPr>
      <w:r>
        <w:rPr>
          <w:rFonts w:ascii="Arial" w:cs="Arial" w:eastAsia="Arial" w:hAnsi="Arial"/>
          <w:sz w:val="22"/>
          <w:szCs w:val="22"/>
        </w:rPr>
        <w:t xml:space="preserve">Four monitoring dimensions are planned for post-prototype deployment:</w:t>
      </w:r>
    </w:p>
    <w:p>
      <w:pPr>
        <w:pStyle w:val="ListParagraph"/>
        <w:numPr>
          <w:ilvl w:val="0"/>
          <w:numId w:val="2"/>
        </w:numPr>
        <w:spacing w:after="40" w:before="40"/>
      </w:pPr>
      <w:r>
        <w:rPr>
          <w:rFonts w:ascii="Arial" w:cs="Arial" w:eastAsia="Arial" w:hAnsi="Arial"/>
          <w:b/>
          <w:bCs/>
          <w:sz w:val="22"/>
          <w:szCs w:val="22"/>
        </w:rPr>
        <w:t xml:space="preserve">Hallucination rate (weekly): </w:t>
      </w:r>
      <w:r>
        <w:rPr>
          <w:rFonts w:ascii="Arial" w:cs="Arial" w:eastAsia="Arial" w:hAnsi="Arial"/>
          <w:sz w:val="22"/>
          <w:szCs w:val="22"/>
        </w:rPr>
        <w:t xml:space="preserve">if hallucination rate rises above 3% in any week, a retrieval audit is triggered to identify whether new document versions have introduced conflicting content.</w:t>
      </w:r>
    </w:p>
    <w:p>
      <w:pPr>
        <w:pStyle w:val="ListParagraph"/>
        <w:numPr>
          <w:ilvl w:val="0"/>
          <w:numId w:val="2"/>
        </w:numPr>
        <w:spacing w:after="40" w:before="40"/>
      </w:pPr>
      <w:r>
        <w:rPr>
          <w:rFonts w:ascii="Arial" w:cs="Arial" w:eastAsia="Arial" w:hAnsi="Arial"/>
          <w:b/>
          <w:bCs/>
          <w:sz w:val="22"/>
          <w:szCs w:val="22"/>
        </w:rPr>
        <w:t xml:space="preserve">Document freshness (every 6 months): </w:t>
      </w:r>
      <w:r>
        <w:rPr>
          <w:rFonts w:ascii="Arial" w:cs="Arial" w:eastAsia="Arial" w:hAnsi="Arial"/>
          <w:sz w:val="22"/>
          <w:szCs w:val="22"/>
        </w:rPr>
        <w:t xml:space="preserve">any source document older than 6 months is flagged for re-validation against current OSHA standards and manufacturer specifications. Field service compliance requirements change on regulatory cycles.</w:t>
      </w:r>
    </w:p>
    <w:p>
      <w:pPr>
        <w:pStyle w:val="ListParagraph"/>
        <w:numPr>
          <w:ilvl w:val="0"/>
          <w:numId w:val="2"/>
        </w:numPr>
        <w:spacing w:after="40" w:before="40"/>
      </w:pPr>
      <w:r>
        <w:rPr>
          <w:rFonts w:ascii="Arial" w:cs="Arial" w:eastAsia="Arial" w:hAnsi="Arial"/>
          <w:b/>
          <w:bCs/>
          <w:sz w:val="22"/>
          <w:szCs w:val="22"/>
        </w:rPr>
        <w:t xml:space="preserve">Dispatcher feedback loop (continuous): </w:t>
      </w:r>
      <w:r>
        <w:rPr>
          <w:rFonts w:ascii="Arial" w:cs="Arial" w:eastAsia="Arial" w:hAnsi="Arial"/>
          <w:sz w:val="22"/>
          <w:szCs w:val="22"/>
        </w:rPr>
        <w:t xml:space="preserve">every override decision is logged with a reason code (wrong answer, incomplete answer, wrong source, unnecessary escalation). Reason code distribution is reviewed monthly to identify systematic corpus gaps.</w:t>
      </w:r>
    </w:p>
    <w:p>
      <w:pPr>
        <w:pStyle w:val="ListParagraph"/>
        <w:numPr>
          <w:ilvl w:val="0"/>
          <w:numId w:val="2"/>
        </w:numPr>
        <w:spacing w:after="40" w:before="40"/>
      </w:pPr>
      <w:r>
        <w:rPr>
          <w:rFonts w:ascii="Arial" w:cs="Arial" w:eastAsia="Arial" w:hAnsi="Arial"/>
          <w:b/>
          <w:bCs/>
          <w:sz w:val="22"/>
          <w:szCs w:val="22"/>
        </w:rPr>
        <w:t xml:space="preserve">Bias audit (quarterly): </w:t>
      </w:r>
      <w:r>
        <w:rPr>
          <w:rFonts w:ascii="Arial" w:cs="Arial" w:eastAsia="Arial" w:hAnsi="Arial"/>
          <w:sz w:val="22"/>
          <w:szCs w:val="22"/>
        </w:rPr>
        <w:t xml:space="preserve">escalation rate is broken down by equipment type and job type. Disproportionate escalation on specific categories signals corpus gap for that category, not model failure. Audit results drive targeted document acquisition.</w:t>
      </w:r>
    </w:p>
    <w:p>
      <w:pPr>
        <w:spacing w:after="80" w:before="80"/>
      </w:pPr>
      <w:r>
        <w:t xml:space="preserve"/>
      </w:r>
    </w:p>
    <w:p>
      <w:pPr>
        <w:pStyle w:val="Heading2"/>
        <w:spacing w:after="120" w:before="280"/>
      </w:pPr>
      <w:r>
        <w:rPr>
          <w:rFonts w:ascii="Arial" w:cs="Arial" w:eastAsia="Arial" w:hAnsi="Arial"/>
          <w:b/>
          <w:bCs/>
          <w:color w:val="2E4A7A"/>
          <w:sz w:val="26"/>
          <w:szCs w:val="26"/>
        </w:rPr>
        <w:t xml:space="preserve">Feedback Loops</w:t>
      </w:r>
    </w:p>
    <w:p>
      <w:pPr>
        <w:spacing w:after="60" w:before="60"/>
      </w:pPr>
      <w:r>
        <w:rPr>
          <w:rFonts w:ascii="Arial" w:cs="Arial" w:eastAsia="Arial" w:hAnsi="Arial"/>
          <w:sz w:val="22"/>
          <w:szCs w:val="22"/>
        </w:rPr>
        <w:t xml:space="preserve">Two feedback loop mechanisms are designed into the system architecture. First, dispatcher override decisions are automatically logged to a structured feedback file with query, system answer, override decision, and reason code. This file becomes ground truth data for future eval set expansion and, eventually, preference pairs for fine-tuning. Second, technician trust scores collected via post-interaction survey are aggregated weekly and used to adjust system prompt language and confidence threshold calibration. A trust score decline of more than 0.3 points in any two-week period triggers a threshold review.</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2026-04-03T23:22:40.713Z</dcterms:created>
  <dcterms:modified xsi:type="dcterms:W3CDTF">2026-04-03T23:22:40.714Z</dcterms:modified>
</cp:coreProperties>
</file>

<file path=docProps/custom.xml><?xml version="1.0" encoding="utf-8"?>
<Properties xmlns="http://schemas.openxmlformats.org/officeDocument/2006/custom-properties" xmlns:vt="http://schemas.openxmlformats.org/officeDocument/2006/docPropsVTypes"/>
</file>