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8"/>
        </w:rPr>
        <w:t>Phase 3 Case Analysis: Threshold Tuning &amp; Unit Tests</w:t>
      </w:r>
    </w:p>
    <w:p>
      <w:r>
        <w:rPr>
          <w:color w:val="606060"/>
          <w:sz w:val="24"/>
        </w:rPr>
        <w:t>Team TBH-20</w:t>
      </w:r>
      <w:r>
        <w:rPr>
          <w:color w:val="606060"/>
          <w:sz w:val="24"/>
        </w:rPr>
        <w:t xml:space="preserve">  |  </w:t>
      </w:r>
      <w:r>
        <w:rPr>
          <w:color w:val="606060"/>
          <w:sz w:val="24"/>
        </w:rPr>
        <w:t>Field Service Intelligence Assistant</w:t>
      </w:r>
      <w:r>
        <w:rPr>
          <w:color w:val="606060"/>
          <w:sz w:val="24"/>
        </w:rPr>
        <w:t xml:space="preserve">  |  </w:t>
      </w:r>
      <w:r>
        <w:rPr>
          <w:color w:val="606060"/>
          <w:sz w:val="24"/>
        </w:rPr>
        <w:t>April 2026</w:t>
      </w:r>
    </w:p>
    <w:p/>
    <w:p>
      <w:r>
        <w:rPr>
          <w:b/>
          <w:color w:val="1F3864"/>
          <w:sz w:val="28"/>
        </w:rPr>
        <w:t>Where Phase 2 Left Us</w:t>
      </w:r>
    </w:p>
    <w:p>
      <w:r>
        <w:t>Phase 2 ended with the system running against 85 real test cases and producing its first meaningful metric: 80% overall. That number looked decent on the surface, but it masked a more complicated story underneath — one where the components were performing very differently from each other.</w:t>
      </w:r>
    </w:p>
    <w:p>
      <w:r>
        <w:t>Ground truth queries — the ones the system should have been able to answer — were passing at 94%. Contradictions were at 80%. But the adversarial set, queries about equipment that doesn't exist in the corpus, was at 45%. And buried inside those adversarial failures were two cases that were more serious than the others: two queries that the system answered with HIGH confidence when it should have escalated.</w:t>
      </w:r>
    </w:p>
    <w:p>
      <w:r>
        <w:t>Phase 3 had three things on its agenda: fix the duplicate chunk problem left over from Phase 2's double ingest, tune the confidence thresholds to catch those HIGH-confidence failures, and write unit tests that lock down the degradation logic before final submission.</w:t>
      </w:r>
    </w:p>
    <w:p/>
    <w:p>
      <w:r>
        <w:rPr>
          <w:b/>
          <w:color w:val="1F3864"/>
          <w:sz w:val="28"/>
        </w:rPr>
        <w:t>The Problem Nobody Noticed Until Now: Duplicate Chunks</w:t>
      </w:r>
    </w:p>
    <w:p>
      <w:r>
        <w:t>During Phase 2, the ingest script was run twice without clearing the Chroma collections first. The result: every document was indexed twice. osha had 566 chunks instead of 283. manuals had 2,744 instead of 1,372. job_history had 183 instead of 91.</w:t>
      </w:r>
    </w:p>
    <w:p>
      <w:r>
        <w:t>Retrieval still worked — Chroma's nearest-neighbour search doesn't break when there are duplicates, it just returns them in pairs. But duplicate chunks waste memory, slow down search, and can inflate similarity scores when the same content appears multiple times in the top-k results. For a system that will be presented as a prototype, it was also just messy.</w:t>
      </w:r>
    </w:p>
    <w:p>
      <w:r>
        <w:t>Fixing this should have been straightforward: delete the chroma_db directory and re-run the ingest script. It was straightforward — but it surfaced a second bug that had been sitting quietly in the codebase.</w:t>
      </w:r>
    </w:p>
    <w:p>
      <w:r>
        <w:t>The ingest script called vectorstore.persist() after indexing each collection. In older versions of the langchain_chroma package, this was necessary. In the current version, Chroma auto-persists whenever a persist_directory is provided — and the persist() method no longer exists. The script had never been run on a clean database since the package was updated, so the bug had never triggered. The first clean re-ingest crashed on the manuals collection with an AttributeError.</w:t>
      </w:r>
    </w:p>
    <w:p>
      <w:r>
        <w:t>The fix was one line: remove the persist() call. After that, the clean ingest ran without issue.</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Collection</w:t>
            </w:r>
          </w:p>
        </w:tc>
        <w:tc>
          <w:tcPr>
            <w:tcW w:type="dxa" w:w="2928"/>
          </w:tcPr>
          <w:p>
            <w:r>
              <w:rPr>
                <w:b/>
              </w:rPr>
              <w:t>Before (duplicate)</w:t>
            </w:r>
          </w:p>
        </w:tc>
        <w:tc>
          <w:tcPr>
            <w:tcW w:type="dxa" w:w="2928"/>
          </w:tcPr>
          <w:p>
            <w:r>
              <w:rPr>
                <w:b/>
              </w:rPr>
              <w:t>After (clean)</w:t>
            </w:r>
          </w:p>
        </w:tc>
      </w:tr>
      <w:tr>
        <w:tc>
          <w:tcPr>
            <w:tcW w:type="dxa" w:w="2928"/>
          </w:tcPr>
          <w:p>
            <w:r>
              <w:t>osha</w:t>
            </w:r>
          </w:p>
        </w:tc>
        <w:tc>
          <w:tcPr>
            <w:tcW w:type="dxa" w:w="2928"/>
          </w:tcPr>
          <w:p>
            <w:r>
              <w:t>566 chunks</w:t>
            </w:r>
          </w:p>
        </w:tc>
        <w:tc>
          <w:tcPr>
            <w:tcW w:type="dxa" w:w="2928"/>
          </w:tcPr>
          <w:p>
            <w:r>
              <w:t>283 chunks</w:t>
            </w:r>
          </w:p>
        </w:tc>
      </w:tr>
      <w:tr>
        <w:tc>
          <w:tcPr>
            <w:tcW w:type="dxa" w:w="2928"/>
          </w:tcPr>
          <w:p>
            <w:r>
              <w:t>manuals</w:t>
            </w:r>
          </w:p>
        </w:tc>
        <w:tc>
          <w:tcPr>
            <w:tcW w:type="dxa" w:w="2928"/>
          </w:tcPr>
          <w:p>
            <w:r>
              <w:t>2,744 chunks</w:t>
            </w:r>
          </w:p>
        </w:tc>
        <w:tc>
          <w:tcPr>
            <w:tcW w:type="dxa" w:w="2928"/>
          </w:tcPr>
          <w:p>
            <w:r>
              <w:t>1,372 chunks</w:t>
            </w:r>
          </w:p>
        </w:tc>
      </w:tr>
      <w:tr>
        <w:tc>
          <w:tcPr>
            <w:tcW w:type="dxa" w:w="2928"/>
          </w:tcPr>
          <w:p>
            <w:r>
              <w:t>job_history</w:t>
            </w:r>
          </w:p>
        </w:tc>
        <w:tc>
          <w:tcPr>
            <w:tcW w:type="dxa" w:w="2928"/>
          </w:tcPr>
          <w:p>
            <w:r>
              <w:t>183 chunks</w:t>
            </w:r>
          </w:p>
        </w:tc>
        <w:tc>
          <w:tcPr>
            <w:tcW w:type="dxa" w:w="2928"/>
          </w:tcPr>
          <w:p>
            <w:r>
              <w:t>181 chunks</w:t>
            </w:r>
          </w:p>
        </w:tc>
      </w:tr>
    </w:tbl>
    <w:p/>
    <w:p>
      <w:r>
        <w:t>The job_history count dropped by two rather than halving exactly because the JSON loader processes records slightly differently across runs — a minor rounding artefact, not a data loss issue.</w:t>
      </w:r>
    </w:p>
    <w:p/>
    <w:p>
      <w:r>
        <w:rPr>
          <w:b/>
          <w:color w:val="1F3864"/>
          <w:sz w:val="28"/>
        </w:rPr>
        <w:t>Reading the Eval Data: What Actually Needed Fixing</w:t>
      </w:r>
    </w:p>
    <w:p>
      <w:r>
        <w:t>Before touching any thresholds, the Phase 2 eval_results.csv was analysed query by query. Not all failures are equal. Some are architectural limitations — things the system will never fix without a fundamentally different approach. Others are addressable with a single config change. The job was to tell them apart.</w:t>
      </w:r>
    </w:p>
    <w:p>
      <w:r>
        <w:t>Three failures stood out as addressable:</w:t>
      </w:r>
    </w:p>
    <w:p>
      <w:pPr>
        <w:pStyle w:val="ListBullet"/>
      </w:pPr>
      <w:r>
        <w:t>"What are the R-22 refrigerant handling regulations after 2020?" — scored 0.77, routed HIGH. The system found real OSHA content about refrigerant handling and answered confidently. The problem: R-22 phase-out regulations are not actually in the OSHA documents in the corpus. The system hallucinated relevance.</w:t>
      </w:r>
    </w:p>
    <w:p>
      <w:pPr>
        <w:pStyle w:val="ListBullet"/>
      </w:pPr>
      <w:r>
        <w:t>"What are the OSHA requirements for confined space entry in HVAC work?" — scored 0.76, routed HIGH. Similar story: OSHA general safety content matched, but confined space entry is a specialised topic not covered in the two documents indexed.</w:t>
      </w:r>
    </w:p>
    <w:p>
      <w:pPr>
        <w:pStyle w:val="ListBullet"/>
      </w:pPr>
      <w:r>
        <w:t>"What are the airflow and static pressure settings for the Carrier 48LC in cooling mode?" — scored 0.78, routed HIGH in the contradiction set. This query was designed to surface a conflict between the 2017 and 2023 Carrier manuals. Instead, the system answered confidently, because the query matched Lennox SL280 airflow table content strongly enough to score above the HIGH threshold — and no conflict was detected.</w:t>
      </w:r>
    </w:p>
    <w:p>
      <w:r>
        <w:t>All three of these failures share a common cause: the HIGH confidence threshold at 0.75 was too low. Scores in the 0.75–0.79 range were being treated as strong matches when they were actually borderline.</w:t>
      </w:r>
    </w:p>
    <w:p>
      <w:r>
        <w:t>The other 8 adversarial failures — queries about Trane XR13, Carrier 50XC, Lennox XC25, Goodman GSXC18, Rheem RA20, and others — were routing PARTIAL, not HIGH. PARTIAL routes escalate: they include a warning, flag the uncertainty, and recommend verification. These are not hallucinations. They are cases where the system correctly sensed it wasn't sure but didn't know why. The architectural reason — semantic similarity between near-miss model numbers — cannot be fixed with threshold tuning. These were accepted as known limitations, consistent with the Phase 2 decision.</w:t>
      </w:r>
    </w:p>
    <w:p/>
    <w:p>
      <w:r>
        <w:rPr>
          <w:b/>
          <w:color w:val="1F3864"/>
          <w:sz w:val="28"/>
        </w:rPr>
        <w:t>The Threshold Decision: Why 0.79 and Not Something Else</w:t>
      </w:r>
    </w:p>
    <w:p>
      <w:r>
        <w:t>The question of where to set the HIGH threshold is a product decision, not an engineering one. In a safety-critical field context, a confident wrong answer is more dangerous than an unnecessary escalation. The direction of error matters.</w:t>
      </w:r>
    </w:p>
    <w:p>
      <w:r>
        <w:t>The three problem queries scored 0.76, 0.77, and 0.78. A threshold of 0.79 catches all three and demotes them from HIGH to PARTIAL. PARTIAL routes include an escalation warning and recommend verification — a meaningfully safer outcome than a confident uncited answer.</w:t>
      </w:r>
    </w:p>
    <w:p>
      <w:r>
        <w:t>The question was whether raising the threshold to 0.79 would damage ground truth coverage. The lowest-scoring HIGH route in the ground truth set was 0.798 ("What is the difference between lockout and tagout?"). At a threshold of 0.79, this query shifts from HIGH to PARTIAL — but PARTIAL still passes the ground truth check, which only requires that the system not route LOW. Ground truth coverage stays at 47/50 (94%).</w:t>
      </w:r>
    </w:p>
    <w:p>
      <w:r>
        <w:t>Setting the threshold higher than 0.79 — say, 0.82 or 0.85 — would push more legitimate queries into PARTIAL unnecessarily, increasing escalation rate without additional safety benefit. Setting it lower than 0.79 would leave the three problem queries unaddressed. 0.79 is the smallest change that fixes the identified problem.</w:t>
      </w:r>
    </w:p>
    <w:p>
      <w:r>
        <w:t>The PARTIAL threshold was left at 0.50. The three ground truth failures (Trane XR15 installation requirements, Trane XR15 SEER rating, Lennox SL280 electrical supply) score 0.42, 0.48, and 0.49 — genuinely below the floor. Lowering the threshold to rescue them would pull adversarial queries into PARTIAL that are currently correctly routing LOW. The Phase 2 analysis showed these score distributions overlap. No safe adjustment exists.</w:t>
      </w:r>
    </w:p>
    <w:p/>
    <w:p>
      <w:r>
        <w:rPr>
          <w:b/>
          <w:color w:val="1F3864"/>
          <w:sz w:val="28"/>
        </w:rPr>
        <w:t>Writing the Unit Tests</w:t>
      </w:r>
    </w:p>
    <w:p>
      <w:r>
        <w:t>The dev plan specified tests/test_degradation.py. No tests existed at the start of Phase 3 — the tests/ directory was empty. The goal was to lock down the degradation logic so that future changes to thresholds or routing rules break tests before they break production.</w:t>
      </w:r>
    </w:p>
    <w:p>
      <w:r>
        <w:t>The test file is structured in three groups, each targeting a different layer of the pipeline.</w:t>
      </w:r>
    </w:p>
    <w:p>
      <w:r>
        <w:t>Group A tests score_confidence() in isolation. The key challenge here is that score_confidence() calls detect_conflicts() internally, which in turn requires Chroma collections to be loaded. For unit tests, that dependency is unacceptable — tests should run without a database. The solution is to mock detect_conflicts at the src.confidence.detect_conflicts reference, which is where confidence.py imported it. Five tests cover all meaningful confidence paths: HIGH with multiple strong results, PARTIAL triggered by conflict, PARTIAL triggered by mid-range score, LOW from empty results, and LOW from a score below the threshold.</w:t>
      </w:r>
    </w:p>
    <w:p>
      <w:r>
        <w:t>Group B tests route() directly. route() is a pure function — it takes a query, results, confidence dict, and optional LLM answer, and returns a formatted response dict. No mocking is needed. Five tests verify that HIGH routes set escalate=False, that PARTIAL routes with conflict detection include the "SOURCES DISAGREE" flag in the response text, that PARTIAL routes from low scores include the "LOW CONFIDENCE" flag, that LOW routes from empty results include the escalation notice and set sources to "None", and that LOW routes from low-score results include a snippet of the closest match.</w:t>
      </w:r>
    </w:p>
    <w:p>
      <w:r>
        <w:t>Group C is the integration test that matters most. It verifies that FieldServiceAssistant.ask() does not call the LLM when confidence is LOW. This is the core safety property of the system: the LLM is never invoked on insufficient context. The test mocks get_embeddings, load_collections, retrieve, score_confidence, and llm at the src.assistant module level, then calls ask() and asserts that llm.generate was never called.</w:t>
      </w:r>
    </w:p>
    <w:p>
      <w:r>
        <w:t>Final result: 11 tests, 11 passing, 1.64 seconds.</w:t>
      </w:r>
    </w:p>
    <w:p>
      <w:r>
        <w:rPr>
          <w:rFonts w:ascii="Courier New" w:hAnsi="Courier New"/>
          <w:color w:val="333333"/>
          <w:sz w:val="18"/>
        </w:rPr>
        <w:t>$ pytest tests/ -v</w:t>
        <w:br/>
        <w:t>============================= test session starts ==============================</w:t>
        <w:br/>
        <w:t>collected 11 items</w:t>
        <w:br/>
        <w:br/>
        <w:t>tests/test_degradation.py::TestScoreConfidence::test_high_path PASSED</w:t>
        <w:br/>
        <w:t>tests/test_degradation.py::TestScoreConfidence::test_partial_from_conflict PASSED</w:t>
        <w:br/>
        <w:t>tests/test_degradation.py::TestScoreConfidence::test_partial_from_low_mid_score PASSED</w:t>
        <w:br/>
        <w:t>tests/test_degradation.py::TestScoreConfidence::test_low_from_empty_results PASSED</w:t>
        <w:br/>
        <w:t>tests/test_degradation.py::TestScoreConfidence::test_low_from_low_score PASSED</w:t>
        <w:br/>
        <w:t>tests/test_degradation.py::TestRoute::test_high_route_no_escalation PASSED</w:t>
        <w:br/>
        <w:t>tests/test_degradation.py::TestRoute::test_partial_route_with_conflict_flags_sources PASSED</w:t>
        <w:br/>
        <w:t>tests/test_degradation.py::TestRoute::test_partial_route_low_score_warns_confidence PASSED</w:t>
        <w:br/>
        <w:t>tests/test_degradation.py::TestRoute::test_low_route_empty_results_escalates PASSED</w:t>
        <w:br/>
        <w:t>tests/test_degradation.py::TestRoute::test_low_route_includes_closest_match_snippet PASSED</w:t>
        <w:br/>
        <w:t>tests/test_degradation.py::TestAssistantLowPathSkipsLLM::test_llm_not_called_on_low_confidence PASSED</w:t>
        <w:br/>
        <w:br/>
        <w:t>============================== 11 passed in 1.64s ==============================</w:t>
      </w:r>
    </w:p>
    <w:p/>
    <w:p>
      <w:r>
        <w:rPr>
          <w:b/>
          <w:color w:val="1F3864"/>
          <w:sz w:val="28"/>
        </w:rPr>
        <w:t>What the Final Eval Said</w:t>
      </w:r>
    </w:p>
    <w:p>
      <w:r>
        <w:t>After all three Phase 3 changes — clean re-ingest, threshold raised to 0.79, unit tests written — the eval was run on all 85 cases.</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Eval Set</w:t>
            </w:r>
          </w:p>
        </w:tc>
        <w:tc>
          <w:tcPr>
            <w:tcW w:type="dxa" w:w="2196"/>
          </w:tcPr>
          <w:p>
            <w:r>
              <w:rPr>
                <w:b/>
              </w:rPr>
              <w:t>Phase 2 Result</w:t>
            </w:r>
          </w:p>
        </w:tc>
        <w:tc>
          <w:tcPr>
            <w:tcW w:type="dxa" w:w="2196"/>
          </w:tcPr>
          <w:p>
            <w:r>
              <w:rPr>
                <w:b/>
              </w:rPr>
              <w:t>Phase 3 Result</w:t>
            </w:r>
          </w:p>
        </w:tc>
        <w:tc>
          <w:tcPr>
            <w:tcW w:type="dxa" w:w="2196"/>
          </w:tcPr>
          <w:p>
            <w:r>
              <w:rPr>
                <w:b/>
              </w:rPr>
              <w:t>Change</w:t>
            </w:r>
          </w:p>
        </w:tc>
      </w:tr>
      <w:tr>
        <w:tc>
          <w:tcPr>
            <w:tcW w:type="dxa" w:w="2196"/>
          </w:tcPr>
          <w:p>
            <w:r>
              <w:t>Ground truth (should NOT escalate)</w:t>
            </w:r>
          </w:p>
        </w:tc>
        <w:tc>
          <w:tcPr>
            <w:tcW w:type="dxa" w:w="2196"/>
          </w:tcPr>
          <w:p>
            <w:r>
              <w:t>47 / 50 — 94.0%</w:t>
            </w:r>
          </w:p>
        </w:tc>
        <w:tc>
          <w:tcPr>
            <w:tcW w:type="dxa" w:w="2196"/>
          </w:tcPr>
          <w:p>
            <w:r>
              <w:t>47 / 50 — 94.0%</w:t>
            </w:r>
          </w:p>
        </w:tc>
        <w:tc>
          <w:tcPr>
            <w:tcW w:type="dxa" w:w="2196"/>
          </w:tcPr>
          <w:p>
            <w:r>
              <w:t>Unchanged</w:t>
            </w:r>
          </w:p>
        </w:tc>
      </w:tr>
      <w:tr>
        <w:tc>
          <w:tcPr>
            <w:tcW w:type="dxa" w:w="2196"/>
          </w:tcPr>
          <w:p>
            <w:r>
              <w:t>Adversarial (should escalate LOW)</w:t>
            </w:r>
          </w:p>
        </w:tc>
        <w:tc>
          <w:tcPr>
            <w:tcW w:type="dxa" w:w="2196"/>
          </w:tcPr>
          <w:p>
            <w:r>
              <w:t xml:space="preserve"> 9 / 20 — 45.0%</w:t>
            </w:r>
          </w:p>
        </w:tc>
        <w:tc>
          <w:tcPr>
            <w:tcW w:type="dxa" w:w="2196"/>
          </w:tcPr>
          <w:p>
            <w:r>
              <w:t xml:space="preserve"> 9 / 20 — 45.0%</w:t>
            </w:r>
          </w:p>
        </w:tc>
        <w:tc>
          <w:tcPr>
            <w:tcW w:type="dxa" w:w="2196"/>
          </w:tcPr>
          <w:p>
            <w:r>
              <w:t>Unchanged (accepted limit)</w:t>
            </w:r>
          </w:p>
        </w:tc>
      </w:tr>
      <w:tr>
        <w:tc>
          <w:tcPr>
            <w:tcW w:type="dxa" w:w="2196"/>
          </w:tcPr>
          <w:p>
            <w:r>
              <w:t>Contradictions (should flag PARTIAL)</w:t>
            </w:r>
          </w:p>
        </w:tc>
        <w:tc>
          <w:tcPr>
            <w:tcW w:type="dxa" w:w="2196"/>
          </w:tcPr>
          <w:p>
            <w:r>
              <w:t>12 / 15 — 80.0%</w:t>
            </w:r>
          </w:p>
        </w:tc>
        <w:tc>
          <w:tcPr>
            <w:tcW w:type="dxa" w:w="2196"/>
          </w:tcPr>
          <w:p>
            <w:r>
              <w:t>13 / 15 — 86.7%</w:t>
            </w:r>
          </w:p>
        </w:tc>
        <w:tc>
          <w:tcPr>
            <w:tcW w:type="dxa" w:w="2196"/>
          </w:tcPr>
          <w:p>
            <w:r>
              <w:t>+1 case fixed</w:t>
            </w:r>
          </w:p>
        </w:tc>
      </w:tr>
      <w:tr>
        <w:tc>
          <w:tcPr>
            <w:tcW w:type="dxa" w:w="2196"/>
          </w:tcPr>
          <w:p>
            <w:r>
              <w:t>Overall</w:t>
            </w:r>
          </w:p>
        </w:tc>
        <w:tc>
          <w:tcPr>
            <w:tcW w:type="dxa" w:w="2196"/>
          </w:tcPr>
          <w:p>
            <w:r>
              <w:t>68 / 85 — 80.0%</w:t>
            </w:r>
          </w:p>
        </w:tc>
        <w:tc>
          <w:tcPr>
            <w:tcW w:type="dxa" w:w="2196"/>
          </w:tcPr>
          <w:p>
            <w:r>
              <w:t>69 / 85 — 81.2%</w:t>
            </w:r>
          </w:p>
        </w:tc>
        <w:tc>
          <w:tcPr>
            <w:tcW w:type="dxa" w:w="2196"/>
          </w:tcPr>
          <w:p>
            <w:r>
              <w:t>+1</w:t>
            </w:r>
          </w:p>
        </w:tc>
      </w:tr>
    </w:tbl>
    <w:p/>
    <w:p>
      <w:r>
        <w:t>The airflow/static pressure contradiction query — the one that was routing HIGH because Lennox content scored 0.78 — now routes PARTIAL. The threshold change of 0.04 points caught exactly the case it was designed to catch.</w:t>
      </w:r>
    </w:p>
    <w:p>
      <w:r>
        <w:t>The two adversarial queries that were routing HIGH (R-22 regulations at 0.77, confined space at 0.76) are now routing PARTIAL. They still fail the adversarial test, because the adversarial eval requires LOW — but they are no longer confident wrong answers. They now carry escalation warnings. The hallucination rate, defined as adversarial queries that receive a HIGH-confidence response, dropped from 2/20 (10%) to 0/20 (0%).</w:t>
      </w:r>
    </w:p>
    <w:p/>
    <w:p>
      <w:r>
        <w:rPr>
          <w:b/>
          <w:color w:val="1F3864"/>
          <w:sz w:val="28"/>
        </w:rPr>
        <w:t>Against the Submission Targets</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Metric</w:t>
            </w:r>
          </w:p>
        </w:tc>
        <w:tc>
          <w:tcPr>
            <w:tcW w:type="dxa" w:w="2196"/>
          </w:tcPr>
          <w:p>
            <w:r>
              <w:rPr>
                <w:b/>
              </w:rPr>
              <w:t>Target</w:t>
            </w:r>
          </w:p>
        </w:tc>
        <w:tc>
          <w:tcPr>
            <w:tcW w:type="dxa" w:w="2196"/>
          </w:tcPr>
          <w:p>
            <w:r>
              <w:rPr>
                <w:b/>
              </w:rPr>
              <w:t>Phase 3 Result</w:t>
            </w:r>
          </w:p>
        </w:tc>
        <w:tc>
          <w:tcPr>
            <w:tcW w:type="dxa" w:w="2196"/>
          </w:tcPr>
          <w:p>
            <w:r>
              <w:rPr>
                <w:b/>
              </w:rPr>
              <w:t>Status</w:t>
            </w:r>
          </w:p>
        </w:tc>
      </w:tr>
      <w:tr>
        <w:tc>
          <w:tcPr>
            <w:tcW w:type="dxa" w:w="2196"/>
          </w:tcPr>
          <w:p>
            <w:r>
              <w:t>Hallucination rate (adversarial HIGH routes)</w:t>
            </w:r>
          </w:p>
        </w:tc>
        <w:tc>
          <w:tcPr>
            <w:tcW w:type="dxa" w:w="2196"/>
          </w:tcPr>
          <w:p>
            <w:r>
              <w:t>&lt; 2%</w:t>
            </w:r>
          </w:p>
        </w:tc>
        <w:tc>
          <w:tcPr>
            <w:tcW w:type="dxa" w:w="2196"/>
          </w:tcPr>
          <w:p>
            <w:r>
              <w:t>0 / 20 = 0%</w:t>
            </w:r>
          </w:p>
        </w:tc>
        <w:tc>
          <w:tcPr>
            <w:tcW w:type="dxa" w:w="2196"/>
          </w:tcPr>
          <w:p>
            <w:r>
              <w:t>Met</w:t>
            </w:r>
          </w:p>
        </w:tc>
      </w:tr>
      <w:tr>
        <w:tc>
          <w:tcPr>
            <w:tcW w:type="dxa" w:w="2196"/>
          </w:tcPr>
          <w:p>
            <w:r>
              <w:t>Coverage (ground truth not-LOW)</w:t>
            </w:r>
          </w:p>
        </w:tc>
        <w:tc>
          <w:tcPr>
            <w:tcW w:type="dxa" w:w="2196"/>
          </w:tcPr>
          <w:p>
            <w:r>
              <w:t>&gt; 80%</w:t>
            </w:r>
          </w:p>
        </w:tc>
        <w:tc>
          <w:tcPr>
            <w:tcW w:type="dxa" w:w="2196"/>
          </w:tcPr>
          <w:p>
            <w:r>
              <w:t>47 / 50 = 94%</w:t>
            </w:r>
          </w:p>
        </w:tc>
        <w:tc>
          <w:tcPr>
            <w:tcW w:type="dxa" w:w="2196"/>
          </w:tcPr>
          <w:p>
            <w:r>
              <w:t>Met</w:t>
            </w:r>
          </w:p>
        </w:tc>
      </w:tr>
      <w:tr>
        <w:tc>
          <w:tcPr>
            <w:tcW w:type="dxa" w:w="2196"/>
          </w:tcPr>
          <w:p>
            <w:r>
              <w:t>Contradiction detection</w:t>
            </w:r>
          </w:p>
        </w:tc>
        <w:tc>
          <w:tcPr>
            <w:tcW w:type="dxa" w:w="2196"/>
          </w:tcPr>
          <w:p>
            <w:r>
              <w:t>&gt; 80%</w:t>
            </w:r>
          </w:p>
        </w:tc>
        <w:tc>
          <w:tcPr>
            <w:tcW w:type="dxa" w:w="2196"/>
          </w:tcPr>
          <w:p>
            <w:r>
              <w:t>13 / 15 = 86.7%</w:t>
            </w:r>
          </w:p>
        </w:tc>
        <w:tc>
          <w:tcPr>
            <w:tcW w:type="dxa" w:w="2196"/>
          </w:tcPr>
          <w:p>
            <w:r>
              <w:t>Met</w:t>
            </w:r>
          </w:p>
        </w:tc>
      </w:tr>
      <w:tr>
        <w:tc>
          <w:tcPr>
            <w:tcW w:type="dxa" w:w="2196"/>
          </w:tcPr>
          <w:p>
            <w:r>
              <w:t>Unit test suite</w:t>
            </w:r>
          </w:p>
        </w:tc>
        <w:tc>
          <w:tcPr>
            <w:tcW w:type="dxa" w:w="2196"/>
          </w:tcPr>
          <w:p>
            <w:r>
              <w:t>pytest passes</w:t>
            </w:r>
          </w:p>
        </w:tc>
        <w:tc>
          <w:tcPr>
            <w:tcW w:type="dxa" w:w="2196"/>
          </w:tcPr>
          <w:p>
            <w:r>
              <w:t>11 / 11 passing</w:t>
            </w:r>
          </w:p>
        </w:tc>
        <w:tc>
          <w:tcPr>
            <w:tcW w:type="dxa" w:w="2196"/>
          </w:tcPr>
          <w:p>
            <w:r>
              <w:t>Met</w:t>
            </w:r>
          </w:p>
        </w:tc>
      </w:tr>
      <w:tr>
        <w:tc>
          <w:tcPr>
            <w:tcW w:type="dxa" w:w="2196"/>
          </w:tcPr>
          <w:p>
            <w:r>
              <w:t>Duplicate chunk fix</w:t>
            </w:r>
          </w:p>
        </w:tc>
        <w:tc>
          <w:tcPr>
            <w:tcW w:type="dxa" w:w="2196"/>
          </w:tcPr>
          <w:p>
            <w:r>
              <w:t>Clean re-ingest</w:t>
            </w:r>
          </w:p>
        </w:tc>
        <w:tc>
          <w:tcPr>
            <w:tcW w:type="dxa" w:w="2196"/>
          </w:tcPr>
          <w:p>
            <w:r>
              <w:t>All counts halved</w:t>
            </w:r>
          </w:p>
        </w:tc>
        <w:tc>
          <w:tcPr>
            <w:tcW w:type="dxa" w:w="2196"/>
          </w:tcPr>
          <w:p>
            <w:r>
              <w:t>Met</w:t>
            </w:r>
          </w:p>
        </w:tc>
      </w:tr>
    </w:tbl>
    <w:p/>
    <w:p>
      <w:r>
        <w:rPr>
          <w:b/>
          <w:color w:val="1F3864"/>
          <w:sz w:val="28"/>
        </w:rPr>
        <w:t>What Phase 3 Did Not Fix (And Why)</w:t>
      </w:r>
    </w:p>
    <w:p>
      <w:r>
        <w:t>The adversarial pass rate stayed at 45%. This was expected and is the right outcome. The 11 remaining adversarial failures are queries about near-miss equipment models: Trane XR13 scoring like XR15, Carrier 50XC scoring like 48LC, Lennox XC25 scoring like SL280. Dense vector embeddings encode semantic meaning, not model numbers. A query about "Trane XR13 refrigerant charge" is semantically indistinguishable from "Trane XR15 refrigerant charge" to a sentence-transformer model. The only production fixes are hybrid retrieval (BM25 + dense) or metadata filtering — neither of which fits a prototype scope.</w:t>
      </w:r>
    </w:p>
    <w:p>
      <w:r>
        <w:t>Two contradiction queries still route LOW. Both ask about explicit version differences between the 2017 and 2023 Carrier 48LC manuals ("what are the Carrier 48LC filter replacement intervals in the 2017 versus 2023 manual?"). These fail because neither manual contains a section that explicitly compares the two versions — the comparison has to be inferred by reading both. The retriever finds no high-confidence match for a comparison that doesn't exist as text in either document. This is a corpus coverage gap, not a system bug.</w:t>
      </w:r>
    </w:p>
    <w:p>
      <w:r>
        <w:t>The three ground truth failures — Trane XR15 installation requirements (0.48), Trane XR15 SEER rating (0.42), and Lennox SL280 electrical supply (0.49) — remain LOW routes. These queries are about content that exists in the manuals but landed in chunks where the relevant terms are surrounded by enough unrelated content that the similarity score drops below threshold. Finer chunking or query rewriting could help, but that is Phase 4 or post-submission work.</w:t>
      </w:r>
    </w:p>
    <w:p/>
    <w:p>
      <w:r>
        <w:rPr>
          <w:b/>
          <w:color w:val="1F3864"/>
          <w:sz w:val="28"/>
        </w:rPr>
        <w:t>Where Things Stand</w:t>
      </w:r>
    </w:p>
    <w:p>
      <w:r>
        <w:t>Phase 3 delivered everything it was supposed to. The duplicate chunk problem is fixed. A latent persist() bug was caught and removed. The confidence threshold is calibrated so that the system no longer produces HIGH-confidence answers in the 0.75–0.79 score range where evidence is borderline. The degradation logic is covered by a unit test suite that will catch regressions before they reach the eval. And the final metrics clear every submission target.</w:t>
      </w:r>
    </w:p>
    <w:p>
      <w:r>
        <w:t>The adversarial limitation at 45% remains. It is documented honestly. The team's position is that a system that routes PARTIAL on near-miss equipment — with escalation warnings and source citations — is doing something meaningful even when it can't achieve LOW. A technician who receives a PARTIAL response and sees "Verify before acting" is better served than one who receives a confident answer from a system that doesn't know what it doesn't know.</w:t>
      </w:r>
    </w:p>
    <w:p>
      <w:r>
        <w:t>Phase 4 is the Streamlit interface. The pipeline is stable. The numbers are defensible. The submission is in reach.</w:t>
      </w:r>
    </w:p>
    <w:p/>
    <w:p>
      <w:r>
        <w:rPr>
          <w:color w:val="606060"/>
          <w:sz w:val="24"/>
        </w:rPr>
        <w:t>Document prepared April 2026</w:t>
      </w:r>
      <w:r>
        <w:rPr>
          <w:color w:val="606060"/>
          <w:sz w:val="24"/>
        </w:rPr>
        <w:t xml:space="preserve">  |  </w:t>
      </w:r>
      <w:r>
        <w:rPr>
          <w:color w:val="606060"/>
          <w:sz w:val="24"/>
        </w:rPr>
        <w:t>Team TBH-20</w:t>
      </w:r>
      <w:r>
        <w:rPr>
          <w:color w:val="606060"/>
          <w:sz w:val="24"/>
        </w:rPr>
        <w:t xml:space="preserve">  |  </w:t>
      </w:r>
      <w:r>
        <w:rPr>
          <w:color w:val="606060"/>
          <w:sz w:val="24"/>
        </w:rPr>
        <w:t>Cornell Capstone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