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Quoted and unquoted properties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dsconfig create-client-connection-policy \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--policy-name "Restrictive Client Connection Policy" 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"description:Restrictive Client Connection Policy" 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enabled:true --set evaluation-order-index:1000 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"connection-criteria:User.0 Connection Criteria" 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maximum-concurrent-connections:2 \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"maximum-connection-duration:1 s" \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"maximum-idle-connection-duration:1 s" \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maximum-operation-count-per-connection:1000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dsconfig keyword is optional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create-client-connection-policy \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--policy-name "Another Client Connection Policy"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enabled:true --set evaluation-order-index:100 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'connection-criteria:User.1 Connection Criteria' \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Property without value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--reset maximum-concurrent-connections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Unquoted property, quoted property value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dsconfig set-access-control-handler-prop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--add global-aci:'(target="ldap:///cn=config")(targetattr="*")(version 3.0; acl "Allow access to the config tree by cn=admin,c=us"; allow(all) groupdn="ldap:///cn=directory administrators,ou=groups,c=us";)'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--add global-aci:'(target="ldap:///cn=monitor")(targetattr="*")(version 3.0; acl "Allow access to the monitor tree by cn=admin,c=us"; allow(all) groupdn="ldap:///cn=directory administrators,ou=groups,c=us";)' 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--remove global-aci:'(target="ldap:///cn=alerts")(targetattr="*")(version 3.0; acl "Allow access to the alerts tree by cn=admin,c=us"; allow(all) groupdn="ldap:///cn=directory administrators,ou=groups,c=us";)'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continuation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dsconfig delete-log-publisher --publisher-name "File-Based Error Logger"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