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7E" w:rsidRDefault="00946E7E">
      <w:pPr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30"/>
          <w:szCs w:val="30"/>
        </w:rPr>
        <w:t>目的</w:t>
      </w:r>
    </w:p>
    <w:p w:rsidR="00946E7E" w:rsidRDefault="00946E7E">
      <w:pPr>
        <w:ind w:left="592" w:hanging="590"/>
        <w:rPr>
          <w:rFonts w:cs="Times New Roman"/>
          <w:sz w:val="24"/>
          <w:szCs w:val="24"/>
        </w:rPr>
      </w:pPr>
      <w:r>
        <w:rPr>
          <w:rFonts w:cs="Times New Roman"/>
          <w:color w:val="000000"/>
        </w:rPr>
        <w:tab/>
      </w:r>
      <w:r w:rsidR="00692CBA">
        <w:rPr>
          <w:rFonts w:hint="eastAsia"/>
          <w:color w:val="000000"/>
          <w:sz w:val="24"/>
          <w:szCs w:val="24"/>
        </w:rPr>
        <w:t>電気計測において不可欠である、オ</w:t>
      </w:r>
      <w:r>
        <w:rPr>
          <w:rFonts w:hint="eastAsia"/>
          <w:color w:val="000000"/>
          <w:sz w:val="24"/>
          <w:szCs w:val="24"/>
        </w:rPr>
        <w:t>シロスコープの基本的使用法を学び、今後一人で簡単な実験に応用できるようになること。</w:t>
      </w:r>
    </w:p>
    <w:p w:rsidR="00946E7E" w:rsidRDefault="00946E7E">
      <w:pPr>
        <w:ind w:left="592" w:hanging="590"/>
        <w:rPr>
          <w:rFonts w:cs="Times New Roman"/>
          <w:sz w:val="24"/>
          <w:szCs w:val="24"/>
        </w:rPr>
      </w:pPr>
    </w:p>
    <w:p w:rsidR="00946E7E" w:rsidRDefault="00946E7E">
      <w:pPr>
        <w:ind w:left="592" w:hanging="590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30"/>
          <w:szCs w:val="30"/>
        </w:rPr>
        <w:t>原理</w:t>
      </w:r>
    </w:p>
    <w:p w:rsidR="00946E7E" w:rsidRDefault="00946E7E">
      <w:pPr>
        <w:ind w:left="592" w:hanging="590"/>
        <w:rPr>
          <w:rFonts w:cs="Times New Roman"/>
          <w:sz w:val="24"/>
          <w:szCs w:val="24"/>
        </w:rPr>
      </w:pPr>
      <w:r>
        <w:rPr>
          <w:rFonts w:cs="Times New Roman"/>
          <w:color w:val="000000"/>
        </w:rPr>
        <w:tab/>
      </w:r>
      <w:r w:rsidR="00692CBA">
        <w:rPr>
          <w:rFonts w:hint="eastAsia"/>
          <w:color w:val="000000"/>
          <w:sz w:val="24"/>
          <w:szCs w:val="24"/>
        </w:rPr>
        <w:t>オ</w:t>
      </w:r>
      <w:r>
        <w:rPr>
          <w:rFonts w:hint="eastAsia"/>
          <w:color w:val="000000"/>
          <w:sz w:val="24"/>
          <w:szCs w:val="24"/>
        </w:rPr>
        <w:t>シロスコープとは時間的に変化する</w:t>
      </w:r>
      <w:r w:rsidR="00692CBA">
        <w:rPr>
          <w:rFonts w:hint="eastAsia"/>
          <w:color w:val="000000"/>
          <w:sz w:val="24"/>
          <w:szCs w:val="24"/>
        </w:rPr>
        <w:t>電気信号をブラウン管上に図形として表し、観測する装置である。オ</w:t>
      </w:r>
      <w:bookmarkStart w:id="0" w:name="_GoBack"/>
      <w:bookmarkEnd w:id="0"/>
      <w:r>
        <w:rPr>
          <w:rFonts w:hint="eastAsia"/>
          <w:color w:val="000000"/>
          <w:sz w:val="24"/>
          <w:szCs w:val="24"/>
        </w:rPr>
        <w:t>シロスコープは水平（Ｘ軸）入力と垂直（Ｙ軸）入力との入力端子をもち、ブラウン管上の輝点は水平、垂直方向にそれぞれの入力電圧に比例した変位を示す。この性質を利用して、以下の実験にとりくむ。</w:t>
      </w: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30"/>
          <w:szCs w:val="30"/>
        </w:rPr>
        <w:t>実験方法</w:t>
      </w:r>
    </w:p>
    <w:p w:rsidR="00946E7E" w:rsidRDefault="00946E7E">
      <w:pPr>
        <w:ind w:left="592" w:hanging="354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１）まず、最初にオッシロスコープに慣れるため、時間掃引とＸ－Ｙ動作を行った。</w:t>
      </w:r>
    </w:p>
    <w:p w:rsidR="00946E7E" w:rsidRDefault="00946E7E">
      <w:pPr>
        <w:ind w:left="592" w:hanging="354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　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hint="eastAsia"/>
          <w:color w:val="000000"/>
          <w:sz w:val="24"/>
          <w:szCs w:val="24"/>
        </w:rPr>
        <w:t>．時間掃引</w:t>
      </w:r>
    </w:p>
    <w:p w:rsidR="00946E7E" w:rsidRDefault="00946E7E">
      <w:pPr>
        <w:ind w:left="592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時間掃引では、一つの発振器から、信号をオッシロスコープに入力し、波形を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Time/Div </w:t>
      </w:r>
      <w:r>
        <w:rPr>
          <w:rFonts w:hint="eastAsia"/>
          <w:color w:val="000000"/>
          <w:sz w:val="24"/>
          <w:szCs w:val="24"/>
        </w:rPr>
        <w:t>ダイアルによって静止させ、トリガ調整をした。切り替えスイッチを「</w:t>
      </w:r>
      <w:r>
        <w:rPr>
          <w:rFonts w:ascii="Times New Roman" w:hAnsi="Times New Roman" w:cs="Times New Roman"/>
          <w:color w:val="000000"/>
          <w:sz w:val="24"/>
          <w:szCs w:val="24"/>
        </w:rPr>
        <w:t>Line</w:t>
      </w:r>
      <w:r>
        <w:rPr>
          <w:rFonts w:hint="eastAsia"/>
          <w:color w:val="000000"/>
          <w:sz w:val="24"/>
          <w:szCs w:val="24"/>
        </w:rPr>
        <w:t>」にしたとき波形がほぼ静止して見える周波数はおよそ１</w:t>
      </w:r>
      <w:r>
        <w:rPr>
          <w:rFonts w:ascii="Times New Roman" w:hAnsi="Times New Roman" w:cs="Times New Roman"/>
          <w:color w:val="000000"/>
          <w:sz w:val="24"/>
          <w:szCs w:val="24"/>
        </w:rPr>
        <w:t>khz</w:t>
      </w:r>
      <w:r>
        <w:rPr>
          <w:rFonts w:hint="eastAsia"/>
          <w:color w:val="000000"/>
          <w:sz w:val="24"/>
          <w:szCs w:val="24"/>
        </w:rPr>
        <w:t>であった。</w:t>
      </w: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B.</w:t>
      </w:r>
      <w:r>
        <w:rPr>
          <w:rFonts w:hint="eastAsia"/>
          <w:color w:val="000000"/>
          <w:sz w:val="24"/>
          <w:szCs w:val="24"/>
        </w:rPr>
        <w:t xml:space="preserve">　Ｘ－Ｙ動作</w:t>
      </w:r>
    </w:p>
    <w:p w:rsidR="00946E7E" w:rsidRDefault="00946E7E">
      <w:pPr>
        <w:ind w:left="592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Ｘ－Ｙ動作では、二つの発振器から、信号をオッシロスコープに入力し、リサージュ曲線が描かれるように、周波数、位相差を調整する。</w:t>
      </w:r>
    </w:p>
    <w:p w:rsidR="00946E7E" w:rsidRDefault="00946E7E">
      <w:pPr>
        <w:ind w:firstLine="236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２）ＲＣ回路の周波数特性の測定</w:t>
      </w:r>
    </w:p>
    <w:p w:rsidR="00946E7E" w:rsidRDefault="00946E7E">
      <w:pPr>
        <w:ind w:left="592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この実験では、図１のようなＲＣ回路の特性を調べた。まず、入力信号をオッシ</w:t>
      </w:r>
      <w:r>
        <w:rPr>
          <w:rFonts w:hint="eastAsia"/>
          <w:color w:val="000000"/>
          <w:sz w:val="24"/>
          <w:szCs w:val="24"/>
        </w:rPr>
        <w:lastRenderedPageBreak/>
        <w:t>ロスコープの</w:t>
      </w:r>
      <w:r>
        <w:rPr>
          <w:rFonts w:ascii="Times New Roman" w:hAnsi="Times New Roman" w:cs="Times New Roman"/>
          <w:color w:val="000000"/>
          <w:sz w:val="24"/>
          <w:szCs w:val="24"/>
        </w:rPr>
        <w:t>CH.1</w:t>
      </w:r>
      <w:r>
        <w:rPr>
          <w:rFonts w:hint="eastAsia"/>
          <w:color w:val="000000"/>
          <w:sz w:val="24"/>
          <w:szCs w:val="24"/>
        </w:rPr>
        <w:t>へ、回路からの出力信号を</w:t>
      </w:r>
      <w:r>
        <w:rPr>
          <w:rFonts w:ascii="Times New Roman" w:hAnsi="Times New Roman" w:cs="Times New Roman"/>
          <w:color w:val="000000"/>
          <w:sz w:val="24"/>
          <w:szCs w:val="24"/>
        </w:rPr>
        <w:t>CH.2</w:t>
      </w:r>
      <w:r>
        <w:rPr>
          <w:rFonts w:hint="eastAsia"/>
          <w:color w:val="000000"/>
          <w:sz w:val="24"/>
          <w:szCs w:val="24"/>
        </w:rPr>
        <w:t>に接続した。それから、様々な周波数時における、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 </w:t>
      </w:r>
      <w:r>
        <w:rPr>
          <w:rFonts w:hint="eastAsia"/>
          <w:color w:val="000000"/>
          <w:sz w:val="24"/>
          <w:szCs w:val="24"/>
        </w:rPr>
        <w:t>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VO </w:t>
      </w:r>
      <w:r>
        <w:rPr>
          <w:rFonts w:hint="eastAsia"/>
          <w:color w:val="000000"/>
          <w:sz w:val="24"/>
          <w:szCs w:val="24"/>
        </w:rPr>
        <w:t>や、リサージュ曲線（図２）の測定を行った。</w:t>
      </w:r>
    </w:p>
    <w:p w:rsidR="00946E7E" w:rsidRDefault="00946E7E">
      <w:pPr>
        <w:ind w:left="236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３）音速の測定</w:t>
      </w:r>
    </w:p>
    <w:p w:rsidR="00946E7E" w:rsidRDefault="00946E7E">
      <w:pPr>
        <w:ind w:left="592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図３のように、超音波送受信器と発振器、オッシロスコープをつなげた。発振器の周波数設定を４０</w:t>
      </w:r>
      <w:r>
        <w:rPr>
          <w:rFonts w:ascii="Times New Roman" w:hAnsi="Times New Roman" w:cs="Times New Roman"/>
          <w:color w:val="000000"/>
          <w:sz w:val="24"/>
          <w:szCs w:val="24"/>
        </w:rPr>
        <w:t>khz</w:t>
      </w:r>
      <w:r>
        <w:rPr>
          <w:rFonts w:hint="eastAsia"/>
          <w:color w:val="000000"/>
          <w:sz w:val="24"/>
          <w:szCs w:val="24"/>
        </w:rPr>
        <w:t>に合わし、リサージュ曲線が直線になる周期を距離で測った。そして、ｖ＝ｆλにより、音速を測定した。</w:t>
      </w: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                 </w:t>
      </w: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hint="eastAsia"/>
          <w:color w:val="000000"/>
        </w:rPr>
        <w:t>図１</w:t>
      </w: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                </w:t>
      </w:r>
    </w:p>
    <w:p w:rsidR="00946E7E" w:rsidRDefault="00946E7E">
      <w:pPr>
        <w:rPr>
          <w:rFonts w:cs="Times New Roman"/>
          <w:sz w:val="24"/>
          <w:szCs w:val="24"/>
        </w:rPr>
      </w:pP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hint="eastAsia"/>
          <w:color w:val="000000"/>
        </w:rPr>
        <w:t>図２</w:t>
      </w:r>
      <w:r>
        <w:rPr>
          <w:rFonts w:ascii="Times New Roman" w:hAnsi="Times New Roman" w:cs="Times New Roman"/>
          <w:color w:val="000000"/>
        </w:rPr>
        <w:t xml:space="preserve">                                          </w:t>
      </w:r>
      <w:r>
        <w:rPr>
          <w:rFonts w:hint="eastAsia"/>
          <w:color w:val="000000"/>
        </w:rPr>
        <w:t>図３</w:t>
      </w: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30"/>
          <w:szCs w:val="30"/>
        </w:rPr>
        <w:t>結果</w:t>
      </w:r>
    </w:p>
    <w:p w:rsidR="00946E7E" w:rsidRDefault="00946E7E">
      <w:pPr>
        <w:ind w:firstLine="474"/>
        <w:rPr>
          <w:rFonts w:cs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１）　ＲＣ回路の周波数特性測定結果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hint="eastAsia"/>
          <w:color w:val="000000"/>
          <w:sz w:val="24"/>
          <w:szCs w:val="24"/>
        </w:rPr>
        <w:t xml:space="preserve">　　　　　　</w:t>
      </w:r>
    </w:p>
    <w:p w:rsidR="00946E7E" w:rsidRDefault="00946E7E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>
        <w:rPr>
          <w:rFonts w:hint="eastAsia"/>
          <w:color w:val="000000"/>
          <w:sz w:val="24"/>
          <w:szCs w:val="24"/>
        </w:rPr>
        <w:t>表１．出力電圧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>位相差と周波数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897"/>
        <w:gridCol w:w="1778"/>
        <w:gridCol w:w="2134"/>
        <w:gridCol w:w="2015"/>
        <w:gridCol w:w="2489"/>
      </w:tblGrid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 xml:space="preserve">ｆ　</w:t>
            </w:r>
            <w:r>
              <w:rPr>
                <w:color w:val="000000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1/s</w:t>
            </w:r>
            <w:r>
              <w:rPr>
                <w:color w:val="000000"/>
              </w:rPr>
              <w:t>]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V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color w:val="000000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color w:val="000000"/>
              </w:rPr>
              <w:t>]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V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/ V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I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</w:rPr>
              <w:t>c / b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　　位相差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［°］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500</w:t>
            </w:r>
          </w:p>
        </w:tc>
        <w:tc>
          <w:tcPr>
            <w:tcW w:w="177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1.860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0.930</w:t>
            </w:r>
          </w:p>
        </w:tc>
        <w:tc>
          <w:tcPr>
            <w:tcW w:w="20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0.28</w:t>
            </w:r>
          </w:p>
        </w:tc>
        <w:tc>
          <w:tcPr>
            <w:tcW w:w="248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- 16.08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800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1.753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0.877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0.46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- 27.28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1100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1.604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0.802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0.55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- 33.06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1500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1.406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0.703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0.67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- 41.81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1800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1.280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0.640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0.79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- 51.99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2100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1.162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0.581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0.80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- 53.13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2500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1.027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0.514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0.91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- 65.19</w:t>
            </w:r>
          </w:p>
        </w:tc>
      </w:tr>
    </w:tbl>
    <w:p w:rsidR="00946E7E" w:rsidRDefault="00946E7E">
      <w:pPr>
        <w:ind w:left="474" w:firstLine="710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なお、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 </w:t>
      </w:r>
      <w:r>
        <w:rPr>
          <w:rFonts w:hint="eastAsia"/>
          <w:color w:val="000000"/>
          <w:sz w:val="24"/>
          <w:szCs w:val="24"/>
        </w:rPr>
        <w:t>は常に２．００［Ｖ］であった。</w:t>
      </w:r>
    </w:p>
    <w:p w:rsidR="00946E7E" w:rsidRDefault="00946E7E">
      <w:pPr>
        <w:ind w:left="474"/>
        <w:rPr>
          <w:rFonts w:ascii="Times New Roman" w:hAnsi="Times New Roman" w:cs="Times New Roman"/>
          <w:color w:val="000000"/>
        </w:rPr>
      </w:pPr>
    </w:p>
    <w:p w:rsidR="00946E7E" w:rsidRDefault="00946E7E">
      <w:pPr>
        <w:ind w:left="1184" w:hanging="708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２）　音速の測定結果</w:t>
      </w:r>
    </w:p>
    <w:p w:rsidR="00946E7E" w:rsidRDefault="00946E7E">
      <w:pPr>
        <w:ind w:left="118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送信機のはじめの位置を０とする。受信機と送信機の信号波がつくるリサージュ曲線が直線を描くときに、位相差が０であると考えてよい。λの平均値は測定結果により、</w:t>
      </w:r>
      <w:r>
        <w:rPr>
          <w:rFonts w:ascii="Times New Roman" w:hAnsi="Times New Roman" w:cs="Times New Roman"/>
          <w:color w:val="000000"/>
          <w:sz w:val="24"/>
          <w:szCs w:val="24"/>
        </w:rPr>
        <w:t>85mm</w:t>
      </w:r>
      <w:r>
        <w:rPr>
          <w:rFonts w:hint="eastAsia"/>
          <w:color w:val="000000"/>
          <w:sz w:val="24"/>
          <w:szCs w:val="24"/>
        </w:rPr>
        <w:t>であった。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>
        <w:rPr>
          <w:rFonts w:hint="eastAsia"/>
          <w:color w:val="000000"/>
          <w:sz w:val="24"/>
          <w:szCs w:val="24"/>
        </w:rPr>
        <w:t>表２　音速の波長</w:t>
      </w: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134"/>
        <w:gridCol w:w="2134"/>
      </w:tblGrid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ｎ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　　λ</w:t>
            </w:r>
            <w:r>
              <w:rPr>
                <w:rFonts w:hint="eastAsia"/>
                <w:color w:val="000000"/>
                <w:sz w:val="13"/>
                <w:szCs w:val="13"/>
              </w:rPr>
              <w:t>ｎ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［</w:t>
            </w:r>
            <w:r>
              <w:rPr>
                <w:rFonts w:ascii="Times New Roman" w:hAnsi="Times New Roman" w:cs="Times New Roman"/>
                <w:color w:val="000000"/>
              </w:rPr>
              <w:t>mm</w:t>
            </w:r>
            <w:r>
              <w:rPr>
                <w:rFonts w:hint="eastAsia"/>
                <w:color w:val="000000"/>
              </w:rPr>
              <w:t>］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１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８６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２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８２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３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８８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４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８６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５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８５</w:t>
            </w:r>
          </w:p>
        </w:tc>
      </w:tr>
    </w:tbl>
    <w:p w:rsidR="00946E7E" w:rsidRDefault="00946E7E">
      <w:pPr>
        <w:rPr>
          <w:rFonts w:cs="Times New Roman"/>
          <w:color w:val="000000"/>
        </w:rPr>
      </w:pPr>
    </w:p>
    <w:p w:rsidR="00946E7E" w:rsidRDefault="00946E7E">
      <w:pPr>
        <w:rPr>
          <w:rFonts w:cs="Times New Roman"/>
          <w:color w:val="000000"/>
        </w:rPr>
      </w:pPr>
      <w:r>
        <w:rPr>
          <w:rFonts w:hint="eastAsia"/>
          <w:color w:val="000000"/>
          <w:sz w:val="30"/>
          <w:szCs w:val="30"/>
        </w:rPr>
        <w:t>考察</w:t>
      </w:r>
    </w:p>
    <w:p w:rsidR="00946E7E" w:rsidRDefault="00946E7E">
      <w:pPr>
        <w:ind w:left="1184" w:hanging="708"/>
        <w:rPr>
          <w:rFonts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ＲＣ回路について</w:t>
      </w:r>
    </w:p>
    <w:p w:rsidR="00946E7E" w:rsidRDefault="00946E7E">
      <w:pPr>
        <w:ind w:left="1184" w:hanging="234"/>
        <w:rPr>
          <w:rFonts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今回の実験では、交流回路を用いたので</w:t>
      </w:r>
      <w:r>
        <w:rPr>
          <w:rFonts w:hint="eastAsia"/>
          <w:color w:val="000000"/>
        </w:rPr>
        <w:t>、</w:t>
      </w:r>
    </w:p>
    <w:p w:rsidR="00946E7E" w:rsidRDefault="00946E7E">
      <w:pPr>
        <w:ind w:left="1184" w:hanging="234"/>
        <w:rPr>
          <w:rFonts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hint="eastAsia"/>
          <w:color w:val="000000"/>
        </w:rPr>
        <w:t xml:space="preserve">、　</w:t>
      </w:r>
    </w:p>
    <w:p w:rsidR="00946E7E" w:rsidRDefault="00946E7E">
      <w:pPr>
        <w:ind w:left="1184" w:hanging="946"/>
        <w:rPr>
          <w:rFonts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ということが言える。この２式を使って、位相差と</w:t>
      </w:r>
      <w:r>
        <w:rPr>
          <w:rFonts w:ascii="Times New Roman" w:hAnsi="Times New Roman" w:cs="Times New Roman"/>
          <w:color w:val="000000"/>
          <w:sz w:val="24"/>
          <w:szCs w:val="24"/>
        </w:rPr>
        <w:t>Vo</w:t>
      </w:r>
      <w:r>
        <w:rPr>
          <w:rFonts w:hint="eastAsia"/>
          <w:color w:val="000000"/>
          <w:sz w:val="24"/>
          <w:szCs w:val="24"/>
        </w:rPr>
        <w:t>の理論値を求めることができる。</w:t>
      </w:r>
    </w:p>
    <w:p w:rsidR="00946E7E" w:rsidRDefault="00946E7E">
      <w:pPr>
        <w:rPr>
          <w:rFonts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 xml:space="preserve">表３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位相差と</w:t>
      </w:r>
      <w:r>
        <w:rPr>
          <w:rFonts w:ascii="Times New Roman" w:hAnsi="Times New Roman" w:cs="Times New Roman"/>
          <w:color w:val="000000"/>
          <w:sz w:val="24"/>
          <w:szCs w:val="24"/>
        </w:rPr>
        <w:t>Vo</w:t>
      </w:r>
      <w:r>
        <w:rPr>
          <w:rFonts w:hint="eastAsia"/>
          <w:color w:val="000000"/>
          <w:sz w:val="24"/>
          <w:szCs w:val="24"/>
        </w:rPr>
        <w:t>の理論値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659"/>
        <w:gridCol w:w="1779"/>
        <w:gridCol w:w="2133"/>
        <w:gridCol w:w="2371"/>
        <w:gridCol w:w="2253"/>
        <w:gridCol w:w="178"/>
      </w:tblGrid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ｆ［１／ｓ］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V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/ V</w:t>
            </w: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I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精度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［％］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位相差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［°］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精度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［％］</w:t>
            </w:r>
          </w:p>
        </w:tc>
        <w:tc>
          <w:tcPr>
            <w:tcW w:w="17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</w:p>
          <w:p w:rsidR="00946E7E" w:rsidRDefault="00946E7E">
            <w:pPr>
              <w:spacing w:line="358" w:lineRule="atLeast"/>
              <w:rPr>
                <w:rFonts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　　　　　　</w:t>
            </w: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500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0.95</w:t>
            </w:r>
          </w:p>
        </w:tc>
        <w:tc>
          <w:tcPr>
            <w:tcW w:w="21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2.51</w:t>
            </w:r>
          </w:p>
        </w:tc>
        <w:tc>
          <w:tcPr>
            <w:tcW w:w="2371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- 17.44</w:t>
            </w:r>
          </w:p>
        </w:tc>
        <w:tc>
          <w:tcPr>
            <w:tcW w:w="2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7.80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800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0.89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1.84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- 26.69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2.22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1100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0.82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2.51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- 34.65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4.59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1500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0.73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3.40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- 43.30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3.45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1800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0.66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3.38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- 48.52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7.16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     2100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0.60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3.81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- 52.84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0.54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6E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2500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0.54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4.29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- 57.52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7E" w:rsidRDefault="00946E7E">
            <w:pPr>
              <w:spacing w:line="35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13.34</w:t>
            </w:r>
          </w:p>
        </w:tc>
        <w:tc>
          <w:tcPr>
            <w:tcW w:w="1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46E7E" w:rsidRDefault="00946E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精度は、（実験値ー理論値）÷（理論値）×１００　で求めた。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Vo / VI </w:t>
      </w:r>
      <w:r>
        <w:rPr>
          <w:rFonts w:hint="eastAsia"/>
          <w:color w:val="000000"/>
          <w:sz w:val="24"/>
          <w:szCs w:val="24"/>
        </w:rPr>
        <w:t>と位相差の測定値と理論値をグラフにしたものがグラフ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１とグラフ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２である。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誤差について論ずる。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ー接触の悪さ。モニタに映し出される線がいくら</w:t>
      </w:r>
      <w:r>
        <w:rPr>
          <w:rFonts w:ascii="Times New Roman" w:hAnsi="Times New Roman" w:cs="Times New Roman"/>
          <w:color w:val="000000"/>
          <w:sz w:val="24"/>
          <w:szCs w:val="24"/>
        </w:rPr>
        <w:t>Focus</w:t>
      </w:r>
      <w:r>
        <w:rPr>
          <w:rFonts w:hint="eastAsia"/>
          <w:color w:val="000000"/>
          <w:sz w:val="24"/>
          <w:szCs w:val="24"/>
        </w:rPr>
        <w:t>を調節しても太くなっていて、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 xml:space="preserve">　　リサージュ曲線から、位相差を求めるのに必要な値が正確に読みとれなかった。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ー発振器の目盛りの不正確性。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ーデータの少なさ。大きい値のデータもあれば、誤差の検討ももっとできたと思う。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音速の測定について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先に述べた音速の波の波長平均をｖ＝ｆλに代入すると、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>40,000</w:t>
      </w:r>
      <w:r>
        <w:rPr>
          <w:rFonts w:hint="eastAsia"/>
          <w:color w:val="000000"/>
          <w:sz w:val="24"/>
          <w:szCs w:val="24"/>
        </w:rPr>
        <w:t xml:space="preserve">　</w:t>
      </w:r>
      <w:r>
        <w:rPr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1/s</w:t>
      </w:r>
      <w:r>
        <w:rPr>
          <w:color w:val="000000"/>
          <w:sz w:val="24"/>
          <w:szCs w:val="24"/>
        </w:rPr>
        <w:t>]</w:t>
      </w:r>
      <w:r>
        <w:rPr>
          <w:rFonts w:hint="eastAsia"/>
          <w:color w:val="000000"/>
          <w:sz w:val="24"/>
          <w:szCs w:val="24"/>
        </w:rPr>
        <w:t>）（</w:t>
      </w:r>
      <w:r>
        <w:rPr>
          <w:rFonts w:ascii="Times New Roman" w:hAnsi="Times New Roman" w:cs="Times New Roman"/>
          <w:color w:val="000000"/>
          <w:sz w:val="24"/>
          <w:szCs w:val="24"/>
        </w:rPr>
        <w:t>8.5</w:t>
      </w:r>
      <w:r>
        <w:rPr>
          <w:rFonts w:hint="eastAsia"/>
          <w:color w:val="000000"/>
          <w:sz w:val="24"/>
          <w:szCs w:val="24"/>
        </w:rPr>
        <w:t>×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-3</w:t>
      </w:r>
      <w:r>
        <w:rPr>
          <w:rFonts w:hint="eastAsia"/>
          <w:color w:val="000000"/>
          <w:sz w:val="24"/>
          <w:szCs w:val="24"/>
          <w:vertAlign w:val="superscript"/>
        </w:rPr>
        <w:t xml:space="preserve">　</w:t>
      </w:r>
      <w:r>
        <w:rPr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]</w:t>
      </w:r>
      <w:r>
        <w:rPr>
          <w:rFonts w:hint="eastAsia"/>
          <w:color w:val="000000"/>
          <w:sz w:val="24"/>
          <w:szCs w:val="24"/>
        </w:rPr>
        <w:t xml:space="preserve">）＝　</w:t>
      </w:r>
      <w:r>
        <w:rPr>
          <w:rFonts w:ascii="Times New Roman" w:hAnsi="Times New Roman" w:cs="Times New Roman"/>
          <w:color w:val="000000"/>
          <w:sz w:val="24"/>
          <w:szCs w:val="24"/>
        </w:rPr>
        <w:t>340</w:t>
      </w:r>
      <w:r>
        <w:rPr>
          <w:rFonts w:hint="eastAsia"/>
          <w:color w:val="000000"/>
          <w:sz w:val="24"/>
          <w:szCs w:val="24"/>
        </w:rPr>
        <w:t xml:space="preserve">　</w:t>
      </w:r>
      <w:r>
        <w:rPr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m/s</w:t>
      </w:r>
      <w:r>
        <w:rPr>
          <w:color w:val="000000"/>
          <w:sz w:val="24"/>
          <w:szCs w:val="24"/>
        </w:rPr>
        <w:t>]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となる。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音速の理論値は、気温２６℃であったことも考慮して、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Ｖ</w:t>
      </w:r>
      <w:r>
        <w:rPr>
          <w:rFonts w:hint="eastAsia"/>
          <w:color w:val="000000"/>
          <w:sz w:val="12"/>
          <w:szCs w:val="12"/>
        </w:rPr>
        <w:t>理</w:t>
      </w:r>
      <w:r>
        <w:rPr>
          <w:rFonts w:hint="eastAsia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color w:val="000000"/>
          <w:sz w:val="24"/>
          <w:szCs w:val="24"/>
        </w:rPr>
        <w:t>331.5</w:t>
      </w:r>
      <w:r>
        <w:rPr>
          <w:rFonts w:hint="eastAsia"/>
          <w:color w:val="000000"/>
          <w:sz w:val="24"/>
          <w:szCs w:val="24"/>
        </w:rPr>
        <w:t>＋</w:t>
      </w:r>
      <w:r>
        <w:rPr>
          <w:rFonts w:ascii="Times New Roman" w:hAnsi="Times New Roman" w:cs="Times New Roman"/>
          <w:color w:val="000000"/>
          <w:sz w:val="24"/>
          <w:szCs w:val="24"/>
        </w:rPr>
        <w:t>0.6</w:t>
      </w:r>
      <w:r>
        <w:rPr>
          <w:rFonts w:hint="eastAsia"/>
          <w:color w:val="000000"/>
          <w:sz w:val="24"/>
          <w:szCs w:val="24"/>
        </w:rPr>
        <w:t>×</w:t>
      </w:r>
      <w:r>
        <w:rPr>
          <w:rFonts w:ascii="Times New Roman" w:hAnsi="Times New Roman" w:cs="Times New Roman"/>
          <w:color w:val="000000"/>
          <w:sz w:val="24"/>
          <w:szCs w:val="24"/>
        </w:rPr>
        <w:t>26</w:t>
      </w:r>
      <w:r>
        <w:rPr>
          <w:rFonts w:hint="eastAsia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color w:val="000000"/>
          <w:sz w:val="24"/>
          <w:szCs w:val="24"/>
        </w:rPr>
        <w:t>347.1</w:t>
      </w:r>
      <w:r>
        <w:rPr>
          <w:rFonts w:hint="eastAsia"/>
          <w:color w:val="000000"/>
          <w:sz w:val="24"/>
          <w:szCs w:val="24"/>
        </w:rPr>
        <w:t xml:space="preserve">　</w:t>
      </w:r>
      <w:r>
        <w:rPr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m/s</w:t>
      </w:r>
      <w:r>
        <w:rPr>
          <w:color w:val="000000"/>
          <w:sz w:val="24"/>
          <w:szCs w:val="24"/>
        </w:rPr>
        <w:t>]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となる。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精度は、（</w:t>
      </w:r>
      <w:r>
        <w:rPr>
          <w:rFonts w:ascii="Times New Roman" w:hAnsi="Times New Roman" w:cs="Times New Roman"/>
          <w:color w:val="000000"/>
          <w:sz w:val="24"/>
          <w:szCs w:val="24"/>
        </w:rPr>
        <w:t>347.1</w:t>
      </w:r>
      <w:r>
        <w:rPr>
          <w:rFonts w:hint="eastAsia"/>
          <w:color w:val="000000"/>
          <w:sz w:val="24"/>
          <w:szCs w:val="24"/>
        </w:rPr>
        <w:t>ー</w:t>
      </w:r>
      <w:r>
        <w:rPr>
          <w:rFonts w:ascii="Times New Roman" w:hAnsi="Times New Roman" w:cs="Times New Roman"/>
          <w:color w:val="000000"/>
          <w:sz w:val="24"/>
          <w:szCs w:val="24"/>
        </w:rPr>
        <w:t>340</w:t>
      </w:r>
      <w:r>
        <w:rPr>
          <w:rFonts w:hint="eastAsia"/>
          <w:color w:val="000000"/>
          <w:sz w:val="24"/>
          <w:szCs w:val="24"/>
        </w:rPr>
        <w:t>）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>347.1</w:t>
      </w:r>
      <w:r>
        <w:rPr>
          <w:rFonts w:hint="eastAsia"/>
          <w:color w:val="000000"/>
          <w:sz w:val="24"/>
          <w:szCs w:val="24"/>
        </w:rPr>
        <w:t>）×</w:t>
      </w:r>
      <w:r>
        <w:rPr>
          <w:rFonts w:ascii="Times New Roman" w:hAnsi="Times New Roman" w:cs="Times New Roman"/>
          <w:color w:val="000000"/>
          <w:sz w:val="24"/>
          <w:szCs w:val="24"/>
        </w:rPr>
        <w:t>100</w:t>
      </w:r>
      <w:r>
        <w:rPr>
          <w:rFonts w:hint="eastAsia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color w:val="000000"/>
          <w:sz w:val="24"/>
          <w:szCs w:val="24"/>
        </w:rPr>
        <w:t>2.04</w:t>
      </w:r>
      <w:r>
        <w:rPr>
          <w:rFonts w:hint="eastAsia"/>
          <w:color w:val="000000"/>
          <w:sz w:val="24"/>
          <w:szCs w:val="24"/>
        </w:rPr>
        <w:t>％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誤差の原因としては、</w:t>
      </w:r>
    </w:p>
    <w:p w:rsidR="00946E7E" w:rsidRDefault="00946E7E">
      <w:pPr>
        <w:ind w:left="1658" w:hanging="1182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　　ー発振器の目盛り。４０ｋｈｚという大きな周波にもなれば、少しのずれも大きく響く。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ー金尺の目盛り。</w:t>
      </w:r>
      <w:r>
        <w:rPr>
          <w:rFonts w:ascii="Times New Roman" w:hAnsi="Times New Roman" w:cs="Times New Roman"/>
          <w:color w:val="000000"/>
          <w:sz w:val="24"/>
          <w:szCs w:val="24"/>
        </w:rPr>
        <w:t>0.5mm</w:t>
      </w:r>
      <w:r>
        <w:rPr>
          <w:rFonts w:hint="eastAsia"/>
          <w:color w:val="000000"/>
          <w:sz w:val="24"/>
          <w:szCs w:val="24"/>
        </w:rPr>
        <w:t>読み間違えると、波の速度は</w:t>
      </w:r>
      <w:r>
        <w:rPr>
          <w:rFonts w:ascii="Times New Roman" w:hAnsi="Times New Roman" w:cs="Times New Roman"/>
          <w:color w:val="000000"/>
          <w:sz w:val="24"/>
          <w:szCs w:val="24"/>
        </w:rPr>
        <w:t>20cm/s</w:t>
      </w:r>
      <w:r>
        <w:rPr>
          <w:rFonts w:hint="eastAsia"/>
          <w:color w:val="000000"/>
          <w:sz w:val="24"/>
          <w:szCs w:val="24"/>
        </w:rPr>
        <w:t>変わる。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ー理論値の正確性。気温は数時間でも変わる。授業の始めにはかった気温が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　　音速の実験を行ったときも、同じであったか。</w:t>
      </w:r>
    </w:p>
    <w:p w:rsidR="00946E7E" w:rsidRDefault="00946E7E">
      <w:pPr>
        <w:ind w:left="830" w:hanging="35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 xml:space="preserve">　　ー接触。送信機と</w:t>
      </w:r>
      <w:r>
        <w:rPr>
          <w:rFonts w:ascii="Times New Roman" w:hAnsi="Times New Roman" w:cs="Times New Roman"/>
          <w:color w:val="000000"/>
          <w:sz w:val="24"/>
          <w:szCs w:val="24"/>
        </w:rPr>
        <w:t>ch.1</w:t>
      </w:r>
      <w:r>
        <w:rPr>
          <w:rFonts w:hint="eastAsia"/>
          <w:color w:val="000000"/>
          <w:sz w:val="24"/>
          <w:szCs w:val="24"/>
        </w:rPr>
        <w:t>との接触が少し悪かった。</w:t>
      </w:r>
    </w:p>
    <w:p w:rsidR="00946E7E" w:rsidRDefault="00946E7E">
      <w:pPr>
        <w:ind w:left="474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などが、挙げられる。特に、一つ目の原因の影響が大きいと思われる。発振器の目盛りはかなり大まかだった。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30"/>
          <w:szCs w:val="30"/>
        </w:rPr>
        <w:t>感想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24"/>
          <w:szCs w:val="24"/>
        </w:rPr>
        <w:t>今回の実験では、オッシロスコープの基本的操作を覚えられてよかった。授業が始まる前の説明では全くわかっておらず、戸惑っていたが他の人に聞いたりして、徐々に学習することができた。直接、理工学の原理を実験を通して学習したわけではないが、必要な技術を一つ身につけることができたと思う。</w:t>
      </w:r>
    </w:p>
    <w:p w:rsidR="00946E7E" w:rsidRDefault="00946E7E">
      <w:pPr>
        <w:rPr>
          <w:rFonts w:ascii="Times New Roman" w:hAnsi="Times New Roman" w:cs="Times New Roman"/>
          <w:color w:val="000000"/>
        </w:rPr>
      </w:pPr>
    </w:p>
    <w:p w:rsidR="00946E7E" w:rsidRDefault="00946E7E">
      <w:pPr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  <w:sz w:val="30"/>
          <w:szCs w:val="30"/>
        </w:rPr>
        <w:t>参考文献</w:t>
      </w:r>
    </w:p>
    <w:p w:rsidR="00946E7E" w:rsidRDefault="00946E7E">
      <w:pPr>
        <w:rPr>
          <w:rFonts w:cs="Times New Roman"/>
        </w:rPr>
      </w:pPr>
      <w:r>
        <w:rPr>
          <w:rFonts w:hint="eastAsia"/>
          <w:color w:val="000000"/>
          <w:sz w:val="24"/>
          <w:szCs w:val="24"/>
        </w:rPr>
        <w:t>回路基礎論　電気通信学会編、コロナ社</w:t>
      </w:r>
    </w:p>
    <w:sectPr w:rsidR="00946E7E">
      <w:pgSz w:w="11906" w:h="16838"/>
      <w:pgMar w:top="850" w:right="738" w:bottom="850" w:left="738" w:header="720" w:footer="720" w:gutter="0"/>
      <w:cols w:space="720"/>
      <w:noEndnote/>
      <w:docGrid w:type="linesAndChars" w:linePitch="360" w:charSpace="55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ＤＨＰ平成ゴシックW5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237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7E"/>
    <w:rsid w:val="00692CBA"/>
    <w:rsid w:val="00946E7E"/>
    <w:rsid w:val="00F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4985CD70-AAC9-4F29-9162-A8FBB3EC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ＤＨＰ平成ゴシックW5" w:eastAsia="ＤＨＰ平成ゴシックW5" w:cs="ＤＨＰ平成ゴシックW5"/>
      <w:kern w:val="0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目的</vt:lpstr>
    </vt:vector>
  </TitlesOfParts>
  <Company>Keio University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目的</dc:title>
  <dc:subject/>
  <dc:creator>Default User</dc:creator>
  <cp:keywords/>
  <dc:description/>
  <cp:lastModifiedBy>桜庭玉藻</cp:lastModifiedBy>
  <cp:revision>3</cp:revision>
  <dcterms:created xsi:type="dcterms:W3CDTF">2014-08-08T04:53:00Z</dcterms:created>
  <dcterms:modified xsi:type="dcterms:W3CDTF">2014-08-08T04:54:00Z</dcterms:modified>
</cp:coreProperties>
</file>