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drawing>
          <wp:inline distT="0" distB="0" distL="0" distR="0">
            <wp:extent cx="1428750" cy="581025"/>
            <wp:effectExtent t="0" r="0" b="0" l="0"/>
            <wp:docPr id="1" name="logo" descr="Logo sip lab" title="Logo sip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581025"/>
                    </a:xfrm>
                    <a:prstGeom prst="rect">
                      <a:avLst/>
                    </a:prstGeom>
                  </pic:spPr>
                </pic:pic>
              </a:graphicData>
            </a:graphic>
          </wp:inline>
        </w:drawing>
      </w:r>
    </w:p>
    <w:p>
      <w:pPr>
        <w:spacing w:after="60"/>
      </w:pPr>
      <w:r>
        <w:rPr>
          <w:rFonts w:ascii="Calibri" w:cs="Calibri" w:eastAsia="Calibri" w:hAnsi="Calibri"/>
          <w:b/>
          <w:bCs/>
          <w:color w:val="C8475A"/>
          <w:spacing w:val="40"/>
          <w:sz w:val="18"/>
          <w:szCs w:val="18"/>
        </w:rPr>
        <w:t xml:space="preserve">BUSINESS MODEL</w:t>
      </w:r>
    </w:p>
    <w:p>
      <w:pPr>
        <w:pStyle w:val="Heading1"/>
        <w:spacing w:after="160"/>
      </w:pPr>
      <w:r>
        <w:rPr>
          <w:rFonts w:ascii="Cambria" w:cs="Cambria" w:eastAsia="Cambria" w:hAnsi="Cambria"/>
          <w:color w:val="2A1A20"/>
          <w:sz w:val="34"/>
          <w:szCs w:val="34"/>
        </w:rPr>
        <w:t xml:space="preserve">Questions et challenges pour le business model de sip lab</w:t>
      </w:r>
    </w:p>
    <w:p>
      <w:pPr>
        <w:spacing w:after="120" w:line="288"/>
        <w:jc w:val="both"/>
      </w:pPr>
      <w:r>
        <w:rPr>
          <w:rFonts w:ascii="Calibri" w:cs="Calibri" w:eastAsia="Calibri" w:hAnsi="Calibri"/>
          <w:color w:val="2A1A20"/>
          <w:sz w:val="21"/>
          <w:szCs w:val="21"/>
        </w:rPr>
        <w:t xml:space="preserve">Chacune des questions a été évaluée selon son importance pour le projet sip lab : une marque de pailles actives (compléments alimentaires à boire) pensée pour toute la famille, en </w:t>
      </w:r>
      <w:r>
        <w:rPr>
          <w:rFonts w:ascii="Calibri" w:cs="Calibri" w:eastAsia="Calibri" w:hAnsi="Calibri"/>
          <w:b/>
          <w:bCs/>
          <w:color w:val="2A1A20"/>
          <w:sz w:val="21"/>
          <w:szCs w:val="21"/>
        </w:rPr>
        <w:t xml:space="preserve">4 gammes</w:t>
      </w:r>
      <w:r>
        <w:rPr>
          <w:rFonts w:ascii="Calibri" w:cs="Calibri" w:eastAsia="Calibri" w:hAnsi="Calibri"/>
          <w:color w:val="2A1A20"/>
          <w:sz w:val="21"/>
          <w:szCs w:val="21"/>
        </w:rPr>
        <w:t xml:space="preserve"> : </w:t>
      </w:r>
      <w:r>
        <w:rPr>
          <w:rFonts w:ascii="Calibri" w:cs="Calibri" w:eastAsia="Calibri" w:hAnsi="Calibri"/>
          <w:b/>
          <w:bCs/>
          <w:color w:val="2A1A20"/>
          <w:sz w:val="21"/>
          <w:szCs w:val="21"/>
        </w:rPr>
        <w:t xml:space="preserve">mini</w:t>
      </w:r>
      <w:r>
        <w:rPr>
          <w:rFonts w:ascii="Calibri" w:cs="Calibri" w:eastAsia="Calibri" w:hAnsi="Calibri"/>
          <w:color w:val="2A1A20"/>
          <w:sz w:val="21"/>
          <w:szCs w:val="21"/>
        </w:rPr>
        <w:t xml:space="preserve"> (enfants de 4 à 11 ans), </w:t>
      </w:r>
      <w:r>
        <w:rPr>
          <w:rFonts w:ascii="Calibri" w:cs="Calibri" w:eastAsia="Calibri" w:hAnsi="Calibri"/>
          <w:b/>
          <w:bCs/>
          <w:color w:val="2A1A20"/>
          <w:sz w:val="21"/>
          <w:szCs w:val="21"/>
        </w:rPr>
        <w:t xml:space="preserve">active</w:t>
      </w:r>
      <w:r>
        <w:rPr>
          <w:rFonts w:ascii="Calibri" w:cs="Calibri" w:eastAsia="Calibri" w:hAnsi="Calibri"/>
          <w:color w:val="2A1A20"/>
          <w:sz w:val="21"/>
          <w:szCs w:val="21"/>
        </w:rPr>
        <w:t xml:space="preserve"> (femmes actives), </w:t>
      </w:r>
      <w:r>
        <w:rPr>
          <w:rFonts w:ascii="Calibri" w:cs="Calibri" w:eastAsia="Calibri" w:hAnsi="Calibri"/>
          <w:b/>
          <w:bCs/>
          <w:color w:val="2A1A20"/>
          <w:sz w:val="21"/>
          <w:szCs w:val="21"/>
        </w:rPr>
        <w:t xml:space="preserve">luna</w:t>
      </w:r>
      <w:r>
        <w:rPr>
          <w:rFonts w:ascii="Calibri" w:cs="Calibri" w:eastAsia="Calibri" w:hAnsi="Calibri"/>
          <w:color w:val="2A1A20"/>
          <w:sz w:val="21"/>
          <w:szCs w:val="21"/>
        </w:rPr>
        <w:t xml:space="preserve"> (santé féminine) et </w:t>
      </w:r>
      <w:r>
        <w:rPr>
          <w:rFonts w:ascii="Calibri" w:cs="Calibri" w:eastAsia="Calibri" w:hAnsi="Calibri"/>
          <w:b/>
          <w:bCs/>
          <w:color w:val="2A1A20"/>
          <w:sz w:val="21"/>
          <w:szCs w:val="21"/>
        </w:rPr>
        <w:t xml:space="preserve">silver</w:t>
      </w:r>
      <w:r>
        <w:rPr>
          <w:rFonts w:ascii="Calibri" w:cs="Calibri" w:eastAsia="Calibri" w:hAnsi="Calibri"/>
          <w:color w:val="2A1A20"/>
          <w:sz w:val="21"/>
          <w:szCs w:val="21"/>
        </w:rPr>
        <w:t xml:space="preserve"> (seniors). Le modèle repose sur la vente en ligne par abonnement et sur une fabrication sous-traitée à un partenaire technologique (Unistraw ou un autre fournisseur). Le lancement commencera par une gamme, luna, puis s'étendra aux trois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c>
          <w:tcPr>
            <w:tcW w:type="dxa" w:w="1542"/>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1E7A45"/>
                <w:sz w:val="18"/>
                <w:szCs w:val="18"/>
              </w:rPr>
              <w:t xml:space="preserve">Vert</w:t>
            </w:r>
          </w:p>
        </w:tc>
        <w:tc>
          <w:tcPr>
            <w:tcW w:type="dxa" w:w="809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color w:val="2A1A20"/>
                <w:sz w:val="18"/>
                <w:szCs w:val="18"/>
              </w:rPr>
              <w:t xml:space="preserve">Question essentielle à se poser pour le projet.</w:t>
            </w:r>
          </w:p>
        </w:tc>
      </w:tr>
      <w:tr>
        <w:tc>
          <w:tcPr>
            <w:tcW w:type="dxa" w:w="1542"/>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A85A0C"/>
                <w:sz w:val="18"/>
                <w:szCs w:val="18"/>
              </w:rPr>
              <w:t xml:space="preserve">Orange</w:t>
            </w:r>
          </w:p>
        </w:tc>
        <w:tc>
          <w:tcPr>
            <w:tcW w:type="dxa" w:w="809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color w:val="2A1A20"/>
                <w:sz w:val="18"/>
                <w:szCs w:val="18"/>
              </w:rPr>
              <w:t xml:space="preserve">Question intéressante, mais secondaire ou à traiter plus tard.</w:t>
            </w:r>
          </w:p>
        </w:tc>
      </w:tr>
      <w:tr>
        <w:tc>
          <w:tcPr>
            <w:tcW w:type="dxa" w:w="1542"/>
            <w:tcBorders>
              <w:top w:val="single" w:color="E3D6DA" w:sz="4"/>
              <w:left w:val="single" w:color="E3D6DA" w:sz="4"/>
              <w:bottom w:val="single" w:color="E3D6DA" w:sz="4"/>
              <w:right w:val="single" w:color="E3D6DA" w:sz="4"/>
            </w:tcBorders>
            <w:shd w:fill="F8DADA"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B3261E"/>
                <w:sz w:val="18"/>
                <w:szCs w:val="18"/>
              </w:rPr>
              <w:t xml:space="preserve">Rouge</w:t>
            </w:r>
          </w:p>
        </w:tc>
        <w:tc>
          <w:tcPr>
            <w:tcW w:type="dxa" w:w="809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color w:val="2A1A20"/>
                <w:sz w:val="18"/>
                <w:szCs w:val="18"/>
              </w:rPr>
              <w:t xml:space="preserve">Question peu pertinente pour le projet.</w:t>
            </w:r>
          </w:p>
        </w:tc>
      </w:tr>
    </w:tbl>
    <w:p>
      <w:pPr>
        <w:spacing w:after="80"/>
      </w:pPr>
    </w:p>
    <w:p>
      <w:pPr>
        <w:pStyle w:val="Heading2"/>
        <w:spacing w:after="100" w:before="240"/>
      </w:pPr>
      <w:r>
        <w:rPr>
          <w:rFonts w:ascii="Cambria" w:cs="Cambria" w:eastAsia="Cambria" w:hAnsi="Cambria"/>
          <w:color w:val="C8475A"/>
          <w:sz w:val="25"/>
          <w:szCs w:val="25"/>
        </w:rPr>
        <w:t xml:space="preserve">Évaluation des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1157"/>
        <w:gridCol w:w="4048"/>
      </w:tblGrid>
      <w:tr>
        <w:trPr>
          <w:tblHeader/>
        </w:trPr>
        <w:tc>
          <w:tcPr>
            <w:tcW w:type="dxa" w:w="57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FFFFFF"/>
                <w:sz w:val="17"/>
                <w:szCs w:val="17"/>
              </w:rPr>
              <w:t xml:space="preserve">N°</w:t>
            </w:r>
          </w:p>
        </w:tc>
        <w:tc>
          <w:tcPr>
            <w:tcW w:type="dxa" w:w="385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Question</w:t>
            </w:r>
          </w:p>
        </w:tc>
        <w:tc>
          <w:tcPr>
            <w:tcW w:type="dxa" w:w="1157"/>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FFFFFF"/>
                <w:sz w:val="17"/>
                <w:szCs w:val="17"/>
              </w:rPr>
              <w:t xml:space="preserve">Importance</w:t>
            </w:r>
          </w:p>
        </w:tc>
        <w:tc>
          <w:tcPr>
            <w:tcW w:type="dxa" w:w="404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Justification pour sip lab</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Comment un partenaire clé peut compléter votre offre ?</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Le fabricant apporte la technologie ; un comité santé (pédiatre, sage-femme, gériatre) la crédibilité sur chaque gamme ; créatrices et pharmacies la visibilité.</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Comment pouvez-vous rendre gratuit le service pour les clients ?</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Le produit reste payant ; le contenu autour peut être gratuit : tableau de stickers mini, carte du cycle luna, conseils pour chaque âge.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3</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Comment utiliser les réseaux sociaux pour que vos clients parlent de votre offre ?</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Canal clé pour les parents, les femmes actives et les femmes de 20 à 35 ans, qui achètent aussi pour leurs parents âgés. #mysiplabroutine.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4</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Comment pouvez-vous alléger vos frais de structure ?</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Déjà prévu : fabrication sous-traitée, vente en ligne, un même format de paille et d'étui pour les 4 gammes.</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5</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Comment facilitez-vous la vie de vos clients ?</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C'est la promesse : rien à avaler, de 4 à 104 ans, une paille par jour dans la boisson habituelle.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6</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Comment le mobile peut vous aider à proposer un nouveau service ?</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Une application de rappels et de suivi pour toute la famille (enfants, cycle, parents âgés) : après le lancement.</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7</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Quelle partie de votre business model pouvez-vous faire faire par les autres ?</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Cœur du modèle : 16 formules fabriquées par un partenaire (CDMO), logistique, communication par les créatrices, pharmacies pour silver.</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8</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Quels gains créez-vous pour ceux qui font le travail à votre place ?</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Pour le fabricant, une marque en 4 gammes et un accès au marché français ; pour les créatrices et pharmacies, une commission ou une marge.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9</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Quels gains créez-vous pour vos clients ?</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Pour chaque âge : un geste ludique (mini), une routine simple (active), un suivi du cycle (luna), une prise facilitée et une meilleure hydratation (silver).</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10</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Quel produit de votre entreprise pouvez-vous transformer en service ?</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L'abonnement par gamme, ou une box famille qui regroupe plusieurs gammes, livrée chaque mois.</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11</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Quels problèmes du client soulagez-vous avec ce produit ou service ?</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Les enfants refusent sirops et gélules, les seniors avalent difficilement, les femmes oublient leurs compléments.</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12</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Quelle expérience client mémorable pouvez-vous faire vivre aux utilisateurs ?</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Un rituel adapté à chaque âge : stickers pour les enfants, journée en 4 moments, roue du cycle, compteur d'eau pour les seniors.</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13</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Pouvez-vous proposer une offre low-cost (au moins 50 % moins chère que la concurrence) ?</w:t>
            </w:r>
          </w:p>
        </w:tc>
        <w:tc>
          <w:tcPr>
            <w:tcW w:type="dxa" w:w="1157"/>
            <w:tcBorders>
              <w:top w:val="single" w:color="E3D6DA" w:sz="4"/>
              <w:left w:val="single" w:color="E3D6DA" w:sz="4"/>
              <w:bottom w:val="single" w:color="E3D6DA" w:sz="4"/>
              <w:right w:val="single" w:color="E3D6DA" w:sz="4"/>
            </w:tcBorders>
            <w:shd w:fill="F8DADA"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B3261E"/>
                <w:sz w:val="17"/>
                <w:szCs w:val="17"/>
              </w:rPr>
              <w:t xml:space="preserve">Rouge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Positionnement premium et innovant ; le coût par paille sera élevé.</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14</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Votre marge est-elle suffisante pour baisser le prix et créer un avantage compétitif ?</w:t>
            </w:r>
          </w:p>
        </w:tc>
        <w:tc>
          <w:tcPr>
            <w:tcW w:type="dxa" w:w="1157"/>
            <w:tcBorders>
              <w:top w:val="single" w:color="E3D6DA" w:sz="4"/>
              <w:left w:val="single" w:color="E3D6DA" w:sz="4"/>
              <w:bottom w:val="single" w:color="E3D6DA" w:sz="4"/>
              <w:right w:val="single" w:color="E3D6DA" w:sz="4"/>
            </w:tcBorders>
            <w:shd w:fill="F8DADA"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B3261E"/>
                <w:sz w:val="17"/>
                <w:szCs w:val="17"/>
              </w:rPr>
              <w:t xml:space="preserve">Rouge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La marge est critique, mais pas pour mener une guerre des prix.</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16</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Options supplémentaires facturées</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Box famille, coffret découverte des 4 gammes, coffret cadeau : revenus complémentaires.</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17</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Affiliation</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Codes des créatrices pour chaque univers (parentalité, sport, santé féminine) : le levier d'acquisition.</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18</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Aïkido : transformer les forces de vos adversaires en faiblesses</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Déjà dans le positionnement : les gélules sont partout, mais on les oublie et elles s'avalent mal, surtout chez les enfants et les seniors.</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19</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Enchères pour augmenter vos prix</w:t>
            </w:r>
          </w:p>
        </w:tc>
        <w:tc>
          <w:tcPr>
            <w:tcW w:type="dxa" w:w="1157"/>
            <w:tcBorders>
              <w:top w:val="single" w:color="E3D6DA" w:sz="4"/>
              <w:left w:val="single" w:color="E3D6DA" w:sz="4"/>
              <w:bottom w:val="single" w:color="E3D6DA" w:sz="4"/>
              <w:right w:val="single" w:color="E3D6DA" w:sz="4"/>
            </w:tcBorders>
            <w:shd w:fill="F8DADA"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B3261E"/>
                <w:sz w:val="17"/>
                <w:szCs w:val="17"/>
              </w:rPr>
              <w:t xml:space="preserve">Rouge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Ne s'applique pas à un complément alimentaire.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20</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BFR négatif : encaisser avant de payer</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Modèle mixte : produire après encaissement pour les précommandes et les cures en abonnement, et garder un stock pour les pharmacies et les ventes classiques sur le site.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21</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Ventes croisées</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Tout l'intérêt des 4 gammes : une cliente luna achète mini pour ses enfants, silver pour ses parents, active pour elle.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22</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Crowdfunding</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Une campagne présentant les 4 gammes sert de test (quelle gamme attire le plus ?), de financement et de précommandes.</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23</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Crowdsourcing : déporter le travail aux clients</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Faire voter la communauté sur les saveurs ou la prochaine gamme à lancer : bon pour l'engagement.</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24</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Fidélisation</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La rentabilité repose sur le réachat chaque mois, dans chaque gamme, et sur le passage d'une gamme à l'autre.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25</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Digitalisation de votre offre</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L'offre est déjà en ligne ; contenus et application à développer ensuite.</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26</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Vente directe : court-circuiter les intermédiaires</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Vente en ligne directe pour toutes les gammes au lancement ; la pharmacie viendra ensuite, surtout pour silver et mini.</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27</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E-commerce et marketplaces</w:t>
            </w:r>
          </w:p>
        </w:tc>
        <w:tc>
          <w:tcPr>
            <w:tcW w:type="dxa" w:w="1157"/>
            <w:tcBorders>
              <w:top w:val="single" w:color="E3D6DA" w:sz="4"/>
              <w:left w:val="single" w:color="E3D6DA" w:sz="4"/>
              <w:bottom w:val="single" w:color="E3D6DA" w:sz="4"/>
              <w:right w:val="single" w:color="E3D6DA" w:sz="4"/>
            </w:tcBorders>
            <w:shd w:fill="FCE8D2"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A85A0C"/>
                <w:sz w:val="17"/>
                <w:szCs w:val="17"/>
              </w:rPr>
              <w:t xml:space="preserve">Orange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Le site d'abord ; marketplaces de parapharmacie plus tard.</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28</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Expérience clients</w:t>
            </w:r>
          </w:p>
        </w:tc>
        <w:tc>
          <w:tcPr>
            <w:tcW w:type="dxa" w:w="1157"/>
            <w:tcBorders>
              <w:top w:val="single" w:color="E3D6DA" w:sz="4"/>
              <w:left w:val="single" w:color="E3D6DA" w:sz="4"/>
              <w:bottom w:val="single" w:color="E3D6DA" w:sz="4"/>
              <w:right w:val="single" w:color="E3D6DA" w:sz="4"/>
            </w:tcBorders>
            <w:shd w:fill="DDF0E4"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1E7A45"/>
                <w:sz w:val="17"/>
                <w:szCs w:val="17"/>
              </w:rPr>
              <w:t xml:space="preserve">Vert</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Une même marque, mais un univers par âge : packaging, conseils et suivi comptent autant que le produit.</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29</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Prix fixe, consommation illimitée</w:t>
            </w:r>
          </w:p>
        </w:tc>
        <w:tc>
          <w:tcPr>
            <w:tcW w:type="dxa" w:w="1157"/>
            <w:tcBorders>
              <w:top w:val="single" w:color="E3D6DA" w:sz="4"/>
              <w:left w:val="single" w:color="E3D6DA" w:sz="4"/>
              <w:bottom w:val="single" w:color="E3D6DA" w:sz="4"/>
              <w:right w:val="single" w:color="E3D6DA" w:sz="4"/>
            </w:tcBorders>
            <w:shd w:fill="F8DADA"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B3261E"/>
                <w:sz w:val="17"/>
                <w:szCs w:val="17"/>
              </w:rPr>
              <w:t xml:space="preserve">Rouge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Impossible avec un complément : la dose est limitée, c'est une question de sécurité.</w:t>
            </w:r>
          </w:p>
        </w:tc>
      </w:tr>
      <w:tr>
        <w:trPr>
          <w:cantSplit/>
        </w:trPr>
        <w:tc>
          <w:tcPr>
            <w:tcW w:type="dxa" w:w="57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center"/>
            </w:pPr>
            <w:r>
              <w:rPr>
                <w:rFonts w:ascii="Calibri" w:cs="Calibri" w:eastAsia="Calibri" w:hAnsi="Calibri"/>
                <w:color w:val="6E5F65"/>
                <w:sz w:val="17"/>
                <w:szCs w:val="17"/>
              </w:rPr>
              <w:t xml:space="preserve">30</w:t>
            </w:r>
          </w:p>
        </w:tc>
        <w:tc>
          <w:tcPr>
            <w:tcW w:type="dxa" w:w="3855"/>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2A1A20"/>
                <w:sz w:val="17"/>
                <w:szCs w:val="17"/>
              </w:rPr>
              <w:t xml:space="preserve">Propriété à temps partagé</w:t>
            </w:r>
          </w:p>
        </w:tc>
        <w:tc>
          <w:tcPr>
            <w:tcW w:type="dxa" w:w="1157"/>
            <w:tcBorders>
              <w:top w:val="single" w:color="E3D6DA" w:sz="4"/>
              <w:left w:val="single" w:color="E3D6DA" w:sz="4"/>
              <w:bottom w:val="single" w:color="E3D6DA" w:sz="4"/>
              <w:right w:val="single" w:color="E3D6DA" w:sz="4"/>
            </w:tcBorders>
            <w:shd w:fill="F8DADA" w:color="auto" w:val="clear"/>
            <w:tcMar>
              <w:top w:type="dxa" w:w="70"/>
              <w:left w:type="dxa" w:w="100"/>
              <w:bottom w:type="dxa" w:w="70"/>
              <w:right w:type="dxa" w:w="100"/>
            </w:tcMar>
            <w:vAlign w:val="center"/>
          </w:tcPr>
          <w:p>
            <w:pPr>
              <w:spacing w:after="40" w:line="252"/>
              <w:jc w:val="center"/>
            </w:pPr>
            <w:r>
              <w:rPr>
                <w:rFonts w:ascii="Calibri" w:cs="Calibri" w:eastAsia="Calibri" w:hAnsi="Calibri"/>
                <w:b/>
                <w:bCs/>
                <w:color w:val="B3261E"/>
                <w:sz w:val="17"/>
                <w:szCs w:val="17"/>
              </w:rPr>
              <w:t xml:space="preserve">Rouge</w:t>
            </w:r>
          </w:p>
        </w:tc>
        <w:tc>
          <w:tcPr>
            <w:tcW w:type="dxa" w:w="4048"/>
            <w:tcBorders>
              <w:top w:val="single" w:color="E3D6DA" w:sz="4"/>
              <w:left w:val="single" w:color="E3D6DA" w:sz="4"/>
              <w:bottom w:val="single" w:color="E3D6DA" w:sz="4"/>
              <w:right w:val="single" w:color="E3D6DA" w:sz="4"/>
            </w:tcBorders>
            <w:tcMar>
              <w:top w:type="dxa" w:w="70"/>
              <w:left w:type="dxa" w:w="100"/>
              <w:bottom w:type="dxa" w:w="70"/>
              <w:right w:type="dxa" w:w="100"/>
            </w:tcMar>
            <w:vAlign w:val="center"/>
          </w:tcPr>
          <w:p>
            <w:pPr>
              <w:spacing w:after="40" w:line="252"/>
              <w:jc w:val="left"/>
            </w:pPr>
            <w:r>
              <w:rPr>
                <w:rFonts w:ascii="Calibri" w:cs="Calibri" w:eastAsia="Calibri" w:hAnsi="Calibri"/>
                <w:color w:val="6E5F65"/>
                <w:sz w:val="16"/>
                <w:szCs w:val="16"/>
              </w:rPr>
              <w:t xml:space="preserve">Ne s'applique pas à un produit consommable.</w:t>
            </w:r>
          </w:p>
        </w:tc>
      </w:tr>
    </w:tbl>
    <w:p>
      <w:pPr>
        <w:spacing w:after="160" w:before="60"/>
      </w:pPr>
      <w:r>
        <w:rPr>
          <w:rFonts w:ascii="Calibri" w:cs="Calibri" w:eastAsia="Calibri" w:hAnsi="Calibri"/>
          <w:i/>
          <w:iCs/>
          <w:color w:val="6E5F65"/>
          <w:sz w:val="16"/>
          <w:szCs w:val="16"/>
        </w:rPr>
        <w:t xml:space="preserve">La question 15 ne figure pas dans la grille fournie.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Bilan</w:t>
            </w:r>
          </w:p>
          <w:p>
            <w:pPr>
              <w:spacing w:after="70" w:line="280"/>
            </w:pPr>
            <w:r>
              <w:rPr>
                <w:rFonts w:ascii="Calibri" w:cs="Calibri" w:eastAsia="Calibri" w:hAnsi="Calibri"/>
                <w:b/>
                <w:bCs/>
                <w:color w:val="2A1A20"/>
                <w:sz w:val="20"/>
                <w:szCs w:val="20"/>
              </w:rPr>
              <w:t xml:space="preserve">15 questions vertes</w:t>
            </w:r>
            <w:r>
              <w:rPr>
                <w:rFonts w:ascii="Calibri" w:cs="Calibri" w:eastAsia="Calibri" w:hAnsi="Calibri"/>
                <w:color w:val="2A1A20"/>
                <w:sz w:val="20"/>
                <w:szCs w:val="20"/>
              </w:rPr>
              <w:t xml:space="preserve">, 9 orange et 5 rouges. Les questions essentielles portent sur trois sujets : les partenaires (fabricant, comité santé, créatrices), le financement du stock et du lancement (précommandes, abonnements, crowdfunding) et la relation avec toute la famille (rituel, abonnement, ventes croisées entre les gammes).</w:t>
            </w:r>
          </w:p>
        </w:tc>
      </w:tr>
    </w:tbl>
    <w:p>
      <w:pPr>
        <w:spacing w:after="120"/>
      </w:pPr>
    </w:p>
    <w:p>
      <w:pPr>
        <w:keepNext/>
        <w:spacing w:after="60"/>
      </w:pPr>
      <w:r>
        <w:rPr>
          <w:rFonts w:ascii="Calibri" w:cs="Calibri" w:eastAsia="Calibri" w:hAnsi="Calibri"/>
          <w:b/>
          <w:bCs/>
          <w:color w:val="C8475A"/>
          <w:spacing w:val="40"/>
          <w:sz w:val="18"/>
          <w:szCs w:val="18"/>
        </w:rPr>
        <w:t xml:space="preserve">À APPROFONDIR</w:t>
      </w:r>
    </w:p>
    <w:p>
      <w:pPr>
        <w:pStyle w:val="Heading1"/>
        <w:spacing w:after="160"/>
      </w:pPr>
      <w:r>
        <w:rPr>
          <w:rFonts w:ascii="Cambria" w:cs="Cambria" w:eastAsia="Cambria" w:hAnsi="Cambria"/>
          <w:color w:val="2A1A20"/>
          <w:sz w:val="34"/>
          <w:szCs w:val="34"/>
        </w:rPr>
        <w:t xml:space="preserve">Les trois questions essentielles</w:t>
      </w:r>
    </w:p>
    <w:p>
      <w:pPr>
        <w:spacing w:after="120" w:line="288"/>
        <w:jc w:val="both"/>
      </w:pPr>
      <w:r>
        <w:rPr>
          <w:rFonts w:ascii="Calibri" w:cs="Calibri" w:eastAsia="Calibri" w:hAnsi="Calibri"/>
          <w:color w:val="2A1A20"/>
          <w:sz w:val="21"/>
          <w:szCs w:val="21"/>
        </w:rPr>
        <w:t xml:space="preserve">Parmi les questions vertes, trois sont particulièrement structurantes pour une marque en 4 gammes : elles répondent à la manière de </w:t>
      </w:r>
      <w:r>
        <w:rPr>
          <w:rFonts w:ascii="Calibri" w:cs="Calibri" w:eastAsia="Calibri" w:hAnsi="Calibri"/>
          <w:b/>
          <w:bCs/>
          <w:color w:val="2A1A20"/>
          <w:sz w:val="21"/>
          <w:szCs w:val="21"/>
        </w:rPr>
        <w:t xml:space="preserve">produire</w:t>
      </w:r>
      <w:r>
        <w:rPr>
          <w:rFonts w:ascii="Calibri" w:cs="Calibri" w:eastAsia="Calibri" w:hAnsi="Calibri"/>
          <w:color w:val="2A1A20"/>
          <w:sz w:val="21"/>
          <w:szCs w:val="21"/>
        </w:rPr>
        <w:t xml:space="preserve">, de </w:t>
      </w:r>
      <w:r>
        <w:rPr>
          <w:rFonts w:ascii="Calibri" w:cs="Calibri" w:eastAsia="Calibri" w:hAnsi="Calibri"/>
          <w:b/>
          <w:bCs/>
          <w:color w:val="2A1A20"/>
          <w:sz w:val="21"/>
          <w:szCs w:val="21"/>
        </w:rPr>
        <w:t xml:space="preserve">financer le stock et le lancement</w:t>
      </w:r>
      <w:r>
        <w:rPr>
          <w:rFonts w:ascii="Calibri" w:cs="Calibri" w:eastAsia="Calibri" w:hAnsi="Calibri"/>
          <w:color w:val="2A1A20"/>
          <w:sz w:val="21"/>
          <w:szCs w:val="21"/>
        </w:rPr>
        <w:t xml:space="preserve"> et de </w:t>
      </w:r>
      <w:r>
        <w:rPr>
          <w:rFonts w:ascii="Calibri" w:cs="Calibri" w:eastAsia="Calibri" w:hAnsi="Calibri"/>
          <w:b/>
          <w:bCs/>
          <w:color w:val="2A1A20"/>
          <w:sz w:val="21"/>
          <w:szCs w:val="21"/>
        </w:rPr>
        <w:t xml:space="preserve">faire grandir la marque</w:t>
      </w:r>
      <w:r>
        <w:rPr>
          <w:rFonts w:ascii="Calibri" w:cs="Calibri" w:eastAsia="Calibri" w:hAnsi="Calibri"/>
          <w:color w:val="2A1A20"/>
          <w:sz w:val="21"/>
          <w:szCs w:val="21"/>
        </w:rPr>
        <w:t xml:space="preserve"> avec toute la famille.</w:t>
      </w:r>
    </w:p>
    <w:p>
      <w:pPr>
        <w:keepNext/>
        <w:spacing w:after="40" w:before="200"/>
      </w:pPr>
      <w:r>
        <w:rPr>
          <w:rFonts w:ascii="Calibri" w:cs="Calibri" w:eastAsia="Calibri" w:hAnsi="Calibri"/>
          <w:b/>
          <w:bCs/>
          <w:color w:val="C8475A"/>
          <w:spacing w:val="20"/>
          <w:sz w:val="18"/>
          <w:szCs w:val="18"/>
        </w:rPr>
        <w:t xml:space="preserve">1. Question 7</w:t>
      </w:r>
    </w:p>
    <w:p>
      <w:pPr>
        <w:keepNext/>
        <w:spacing w:after="100"/>
      </w:pPr>
      <w:r>
        <w:rPr>
          <w:rFonts w:ascii="Cambria" w:cs="Cambria" w:eastAsia="Cambria" w:hAnsi="Cambria"/>
          <w:color w:val="2A1A20"/>
          <w:sz w:val="26"/>
          <w:szCs w:val="26"/>
        </w:rPr>
        <w:t xml:space="preserve">Quelle partie de votre business model pouvez-vous faire faire par les autres ?</w:t>
      </w:r>
    </w:p>
    <w:p>
      <w:pPr>
        <w:keepNext/>
        <w:spacing w:after="100" w:line="288"/>
        <w:jc w:val="both"/>
      </w:pPr>
      <w:r>
        <w:rPr>
          <w:rFonts w:ascii="Calibri" w:cs="Calibri" w:eastAsia="Calibri" w:hAnsi="Calibri"/>
          <w:b/>
          <w:bCs/>
          <w:color w:val="2A1A20"/>
          <w:sz w:val="21"/>
          <w:szCs w:val="21"/>
        </w:rPr>
        <w:t xml:space="preserve">Pourquoi c'est essentiel.</w:t>
      </w:r>
      <w:r>
        <w:rPr>
          <w:rFonts w:ascii="Calibri" w:cs="Calibri" w:eastAsia="Calibri" w:hAnsi="Calibri"/>
          <w:color w:val="2A1A20"/>
          <w:sz w:val="21"/>
          <w:szCs w:val="21"/>
        </w:rPr>
        <w:t xml:space="preserve"> C'est la question la plus structurante : sip lab ne fabrique pas elle-même. Les 4 gammes et leurs 16 formules dépendent d'un partenaire technologique (Unistraw ou un autre fournisseur), qui détient les brevets et le savoir-faire industriel.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Pistes à approfondir</w:t>
            </w:r>
          </w:p>
          <w:p>
            <w:pPr>
              <w:spacing w:after="70" w:line="280"/>
            </w:pPr>
            <w:r>
              <w:rPr>
                <w:rFonts w:ascii="Calibri" w:cs="Calibri" w:eastAsia="Calibri" w:hAnsi="Calibri"/>
                <w:color w:val="2A1A20"/>
                <w:sz w:val="20"/>
                <w:szCs w:val="20"/>
              </w:rPr>
              <w:t xml:space="preserve">•  Répartir les rôles avec le fabricant : pré-formulation, stabilité, production, packaging, pour chaque gamme.</w:t>
            </w:r>
          </w:p>
          <w:p>
            <w:pPr>
              <w:spacing w:after="70" w:line="280"/>
            </w:pPr>
            <w:r>
              <w:rPr>
                <w:rFonts w:ascii="Calibri" w:cs="Calibri" w:eastAsia="Calibri" w:hAnsi="Calibri"/>
                <w:color w:val="2A1A20"/>
                <w:sz w:val="20"/>
                <w:szCs w:val="20"/>
              </w:rPr>
              <w:t xml:space="preserve">•  Mutualiser : un même format de paille et d'étui pour les 4 gammes, seules les formules changent.</w:t>
            </w:r>
          </w:p>
          <w:p>
            <w:pPr>
              <w:spacing w:after="70" w:line="280"/>
            </w:pPr>
            <w:r>
              <w:rPr>
                <w:rFonts w:ascii="Calibri" w:cs="Calibri" w:eastAsia="Calibri" w:hAnsi="Calibri"/>
                <w:color w:val="2A1A20"/>
                <w:sz w:val="20"/>
                <w:szCs w:val="20"/>
              </w:rPr>
              <w:t xml:space="preserve">•  Mesurer la dépendance : exclusivité possible sur la France, solution de repli (autres fournisseurs, piste au Brésil).</w:t>
            </w:r>
          </w:p>
          <w:p>
            <w:pPr>
              <w:spacing w:after="70" w:line="280"/>
            </w:pPr>
            <w:r>
              <w:rPr>
                <w:rFonts w:ascii="Calibri" w:cs="Calibri" w:eastAsia="Calibri" w:hAnsi="Calibri"/>
                <w:color w:val="2A1A20"/>
                <w:sz w:val="20"/>
                <w:szCs w:val="20"/>
              </w:rPr>
              <w:t xml:space="preserve">•  Déléguer le reste : logistique, communication via les créatrices, distribution en pharmacie pour silver.</w:t>
            </w:r>
          </w:p>
        </w:tc>
      </w:tr>
    </w:tbl>
    <w:p>
      <w:pPr>
        <w:spacing w:after="120"/>
      </w:pPr>
    </w:p>
    <w:p>
      <w:pPr>
        <w:keepNext/>
        <w:spacing w:after="40" w:before="200"/>
      </w:pPr>
      <w:r>
        <w:rPr>
          <w:rFonts w:ascii="Calibri" w:cs="Calibri" w:eastAsia="Calibri" w:hAnsi="Calibri"/>
          <w:b/>
          <w:bCs/>
          <w:color w:val="C8475A"/>
          <w:spacing w:val="20"/>
          <w:sz w:val="18"/>
          <w:szCs w:val="18"/>
        </w:rPr>
        <w:t xml:space="preserve">2. Question 20</w:t>
      </w:r>
    </w:p>
    <w:p>
      <w:pPr>
        <w:keepNext/>
        <w:spacing w:after="100"/>
      </w:pPr>
      <w:r>
        <w:rPr>
          <w:rFonts w:ascii="Cambria" w:cs="Cambria" w:eastAsia="Cambria" w:hAnsi="Cambria"/>
          <w:color w:val="2A1A20"/>
          <w:sz w:val="26"/>
          <w:szCs w:val="26"/>
        </w:rPr>
        <w:t xml:space="preserve">BFR négatif : encaisser avant de payer</w:t>
      </w:r>
    </w:p>
    <w:p>
      <w:pPr>
        <w:keepNext/>
        <w:spacing w:after="100" w:line="288"/>
        <w:jc w:val="both"/>
      </w:pPr>
      <w:r>
        <w:rPr>
          <w:rFonts w:ascii="Calibri" w:cs="Calibri" w:eastAsia="Calibri" w:hAnsi="Calibri"/>
          <w:b/>
          <w:bCs/>
          <w:color w:val="2A1A20"/>
          <w:sz w:val="21"/>
          <w:szCs w:val="21"/>
        </w:rPr>
        <w:t xml:space="preserve">Pourquoi c'est essentiel.</w:t>
      </w:r>
      <w:r>
        <w:rPr>
          <w:rFonts w:ascii="Calibri" w:cs="Calibri" w:eastAsia="Calibri" w:hAnsi="Calibri"/>
          <w:color w:val="2A1A20"/>
          <w:sz w:val="21"/>
          <w:szCs w:val="21"/>
        </w:rPr>
        <w:t xml:space="preserve"> Comme tout commerce de produits, sip lab devra avoir du stock avant de vendre. Mais une partie des ventes peut être encaissée avant d'être produite. L'idée est de jouer sur les deux modèles pour limiter l'argent immobilisé dans le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Pistes à approfondir</w:t>
            </w:r>
          </w:p>
          <w:p>
            <w:pPr>
              <w:spacing w:after="70" w:line="280"/>
            </w:pPr>
            <w:r>
              <w:rPr>
                <w:rFonts w:ascii="Calibri" w:cs="Calibri" w:eastAsia="Calibri" w:hAnsi="Calibri"/>
                <w:color w:val="2A1A20"/>
                <w:sz w:val="20"/>
                <w:szCs w:val="20"/>
              </w:rPr>
              <w:t xml:space="preserve">•  Produire après encaissement : précommandes, crowdfunding et cures en abonnement payées d'avance. La production suit les commandes réelles.</w:t>
            </w:r>
          </w:p>
          <w:p>
            <w:pPr>
              <w:spacing w:after="70" w:line="280"/>
            </w:pPr>
            <w:r>
              <w:rPr>
                <w:rFonts w:ascii="Calibri" w:cs="Calibri" w:eastAsia="Calibri" w:hAnsi="Calibri"/>
                <w:color w:val="2A1A20"/>
                <w:sz w:val="20"/>
                <w:szCs w:val="20"/>
              </w:rPr>
              <w:t xml:space="preserve">•  Garder un stock pour le reste : les pharmacies et distributeurs, et les ventes classiques sur le site, ouvertes à tous.</w:t>
            </w:r>
          </w:p>
          <w:p>
            <w:pPr>
              <w:spacing w:after="70" w:line="280"/>
            </w:pPr>
            <w:r>
              <w:rPr>
                <w:rFonts w:ascii="Calibri" w:cs="Calibri" w:eastAsia="Calibri" w:hAnsi="Calibri"/>
                <w:color w:val="2A1A20"/>
                <w:sz w:val="20"/>
                <w:szCs w:val="20"/>
              </w:rPr>
              <w:t xml:space="preserve">•  Équilibrer les deux : plus la part d'abonnements et de précommandes est grande, plus le stock à financer est faible. Négocier aussi des délais de paiement avec le fournisseur.</w:t>
            </w:r>
          </w:p>
          <w:p>
            <w:pPr>
              <w:spacing w:after="70" w:line="280"/>
            </w:pPr>
            <w:r>
              <w:rPr>
                <w:rFonts w:ascii="Calibri" w:cs="Calibri" w:eastAsia="Calibri" w:hAnsi="Calibri"/>
                <w:color w:val="2A1A20"/>
                <w:sz w:val="20"/>
                <w:szCs w:val="20"/>
              </w:rPr>
              <w:t xml:space="preserve">•  Lancer les gammes une par une (luna, puis active, mini, silver) pour étaler les besoins de stock.</w:t>
            </w:r>
          </w:p>
        </w:tc>
      </w:tr>
    </w:tbl>
    <w:p>
      <w:pPr>
        <w:spacing w:after="120"/>
      </w:pPr>
    </w:p>
    <w:p>
      <w:pPr>
        <w:keepNext/>
        <w:spacing w:after="40" w:before="200"/>
      </w:pPr>
      <w:r>
        <w:rPr>
          <w:rFonts w:ascii="Calibri" w:cs="Calibri" w:eastAsia="Calibri" w:hAnsi="Calibri"/>
          <w:b/>
          <w:bCs/>
          <w:color w:val="C8475A"/>
          <w:spacing w:val="20"/>
          <w:sz w:val="18"/>
          <w:szCs w:val="18"/>
        </w:rPr>
        <w:t xml:space="preserve">3. Question 21</w:t>
      </w:r>
    </w:p>
    <w:p>
      <w:pPr>
        <w:keepNext/>
        <w:spacing w:after="100"/>
      </w:pPr>
      <w:r>
        <w:rPr>
          <w:rFonts w:ascii="Cambria" w:cs="Cambria" w:eastAsia="Cambria" w:hAnsi="Cambria"/>
          <w:color w:val="2A1A20"/>
          <w:sz w:val="26"/>
          <w:szCs w:val="26"/>
        </w:rPr>
        <w:t xml:space="preserve">Ventes croisées</w:t>
      </w:r>
    </w:p>
    <w:p>
      <w:pPr>
        <w:keepNext/>
        <w:spacing w:after="100" w:line="288"/>
        <w:jc w:val="both"/>
      </w:pPr>
      <w:r>
        <w:rPr>
          <w:rFonts w:ascii="Calibri" w:cs="Calibri" w:eastAsia="Calibri" w:hAnsi="Calibri"/>
          <w:b/>
          <w:bCs/>
          <w:color w:val="2A1A20"/>
          <w:sz w:val="21"/>
          <w:szCs w:val="21"/>
        </w:rPr>
        <w:t xml:space="preserve">Pourquoi c'est essentiel.</w:t>
      </w:r>
      <w:r>
        <w:rPr>
          <w:rFonts w:ascii="Calibri" w:cs="Calibri" w:eastAsia="Calibri" w:hAnsi="Calibri"/>
          <w:color w:val="2A1A20"/>
          <w:sz w:val="21"/>
          <w:szCs w:val="21"/>
        </w:rPr>
        <w:t xml:space="preserve"> C'est ce qui donne tout son sens à une marque en 4 gammes : une même cliente peut acheter pour elle, pour ses enfants et pour ses parents. Chaque nouvelle gamme se vend d'abord aux clientes existantes, ce qui réduit le coût d'acquisition (lien avec la fidélisation, question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Pistes à approfondir</w:t>
            </w:r>
          </w:p>
          <w:p>
            <w:pPr>
              <w:spacing w:after="70" w:line="280"/>
            </w:pPr>
            <w:r>
              <w:rPr>
                <w:rFonts w:ascii="Calibri" w:cs="Calibri" w:eastAsia="Calibri" w:hAnsi="Calibri"/>
                <w:color w:val="2A1A20"/>
                <w:sz w:val="20"/>
                <w:szCs w:val="20"/>
              </w:rPr>
              <w:t xml:space="preserve">•  Proposer une box famille et un coffret découverte des 4 gammes.</w:t>
            </w:r>
          </w:p>
          <w:p>
            <w:pPr>
              <w:spacing w:after="70" w:line="280"/>
            </w:pPr>
            <w:r>
              <w:rPr>
                <w:rFonts w:ascii="Calibri" w:cs="Calibri" w:eastAsia="Calibri" w:hAnsi="Calibri"/>
                <w:color w:val="2A1A20"/>
                <w:sz w:val="20"/>
                <w:szCs w:val="20"/>
              </w:rPr>
              <w:t xml:space="preserve">•  Recommander la gamme suivante au bon moment : mini aux clientes mères, silver à celles qui ont des parents âgés.</w:t>
            </w:r>
          </w:p>
          <w:p>
            <w:pPr>
              <w:spacing w:after="70" w:line="280"/>
            </w:pPr>
            <w:r>
              <w:rPr>
                <w:rFonts w:ascii="Calibri" w:cs="Calibri" w:eastAsia="Calibri" w:hAnsi="Calibri"/>
                <w:color w:val="2A1A20"/>
                <w:sz w:val="20"/>
                <w:szCs w:val="20"/>
              </w:rPr>
              <w:t xml:space="preserve">•  Suivre le nombre de gammes achetées par cliente et le réachat dans chaque gamme.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8475A" w:sz="24"/>
              <w:bottom w:val="none" w:color="FFFFFF" w:sz="0"/>
              <w:right w:val="none" w:color="FFFFFF" w:sz="0"/>
            </w:tcBorders>
            <w:shd w:fill="F3EFEC"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En résumé</w:t>
            </w:r>
          </w:p>
          <w:p>
            <w:pPr>
              <w:spacing w:after="70" w:line="280"/>
            </w:pPr>
            <w:r>
              <w:rPr>
                <w:rFonts w:ascii="Calibri" w:cs="Calibri" w:eastAsia="Calibri" w:hAnsi="Calibri"/>
                <w:color w:val="2A1A20"/>
                <w:sz w:val="20"/>
                <w:szCs w:val="20"/>
              </w:rPr>
              <w:t xml:space="preserve">Ces trois questions couvrent </w:t>
            </w:r>
            <w:r>
              <w:rPr>
                <w:rFonts w:ascii="Calibri" w:cs="Calibri" w:eastAsia="Calibri" w:hAnsi="Calibri"/>
                <w:b/>
                <w:bCs/>
                <w:color w:val="2A1A20"/>
                <w:sz w:val="20"/>
                <w:szCs w:val="20"/>
              </w:rPr>
              <w:t xml:space="preserve">comment je produis</w:t>
            </w:r>
            <w:r>
              <w:rPr>
                <w:rFonts w:ascii="Calibri" w:cs="Calibri" w:eastAsia="Calibri" w:hAnsi="Calibri"/>
                <w:color w:val="2A1A20"/>
                <w:sz w:val="20"/>
                <w:szCs w:val="20"/>
              </w:rPr>
              <w:t xml:space="preserve"> les 4 gammes (7), </w:t>
            </w:r>
            <w:r>
              <w:rPr>
                <w:rFonts w:ascii="Calibri" w:cs="Calibri" w:eastAsia="Calibri" w:hAnsi="Calibri"/>
                <w:b/>
                <w:bCs/>
                <w:color w:val="2A1A20"/>
                <w:sz w:val="20"/>
                <w:szCs w:val="20"/>
              </w:rPr>
              <w:t xml:space="preserve">comment je finance</w:t>
            </w:r>
            <w:r>
              <w:rPr>
                <w:rFonts w:ascii="Calibri" w:cs="Calibri" w:eastAsia="Calibri" w:hAnsi="Calibri"/>
                <w:color w:val="2A1A20"/>
                <w:sz w:val="20"/>
                <w:szCs w:val="20"/>
              </w:rPr>
              <w:t xml:space="preserve"> mon stock et mon lancement (20) et </w:t>
            </w:r>
            <w:r>
              <w:rPr>
                <w:rFonts w:ascii="Calibri" w:cs="Calibri" w:eastAsia="Calibri" w:hAnsi="Calibri"/>
                <w:b/>
                <w:bCs/>
                <w:color w:val="2A1A20"/>
                <w:sz w:val="20"/>
                <w:szCs w:val="20"/>
              </w:rPr>
              <w:t xml:space="preserve">comment je fais grandir la marque</w:t>
            </w:r>
            <w:r>
              <w:rPr>
                <w:rFonts w:ascii="Calibri" w:cs="Calibri" w:eastAsia="Calibri" w:hAnsi="Calibri"/>
                <w:color w:val="2A1A20"/>
                <w:sz w:val="20"/>
                <w:szCs w:val="20"/>
              </w:rPr>
              <w:t xml:space="preserve"> avec toute la famille (21).</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5F6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5F65"/>
        <w:sz w:val="16"/>
        <w:szCs w:val="16"/>
      </w:rPr>
      <w:t xml:space="preserve">sip lab · Business model · Nisrine Margoum · M2 Entrepreneuriat &amp; Innovation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1A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color w:val="2A1A20"/>
      <w:sz w:val="34"/>
      <w:szCs w:val="34"/>
    </w:rPr>
  </w:style>
  <w:style w:type="paragraph" w:styleId="Heading2">
    <w:name w:val="Heading 2"/>
    <w:basedOn w:val="Normal"/>
    <w:next w:val="Normal"/>
    <w:qFormat/>
    <w:pPr>
      <w:outlineLvl w:val="1"/>
    </w:pPr>
    <w:rPr>
      <w:rFonts w:ascii="Cambria" w:cs="Cambria" w:eastAsia="Cambria" w:hAnsi="Cambria"/>
      <w:color w:val="C847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49bf72770973eccceaf5554c975b974cce36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business model : sip lab</dc:title>
  <dc:creator>Nisrine Margoum</dc:creator>
  <cp:lastModifiedBy>Un-named</cp:lastModifiedBy>
  <cp:revision>1</cp:revision>
  <dcterms:created xsi:type="dcterms:W3CDTF">2026-10-13T12:01:53.077Z</dcterms:created>
  <dcterms:modified xsi:type="dcterms:W3CDTF">2026-10-13T12:01:53.077Z</dcterms:modified>
</cp:coreProperties>
</file>

<file path=docProps/custom.xml><?xml version="1.0" encoding="utf-8"?>
<Properties xmlns="http://schemas.openxmlformats.org/officeDocument/2006/custom-properties" xmlns:vt="http://schemas.openxmlformats.org/officeDocument/2006/docPropsVTypes"/>
</file>