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6939"/>
      </w:tblGrid>
      <w:tr>
        <w:tc>
          <w:tcPr>
            <w:tcW w:type="dxa" w:w="2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333500" cy="542925"/>
                  <wp:effectExtent t="0" r="0" b="0" l="0"/>
                  <wp:docPr id="1" name="logo" descr="Logo sip lab" title="Logo sip l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Cambria" w:cs="Cambria" w:eastAsia="Cambria" w:hAnsi="Cambria"/>
                <w:color w:val="2A1A20"/>
                <w:sz w:val="30"/>
                <w:szCs w:val="30"/>
              </w:rPr>
              <w:t xml:space="preserve">Fiche projet · point d'avancement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color w:val="6E5F65"/>
                <w:sz w:val="16"/>
                <w:szCs w:val="16"/>
              </w:rPr>
              <w:t xml:space="preserve">Nisrine Margoum · M2 Entrepreneuriat &amp; Innovation · IAE Clermont-Auvergne (PÉPITE) · octobre 2026</w:t>
            </w:r>
          </w:p>
        </w:tc>
      </w:tr>
    </w:tbl>
    <w:p>
      <w:pPr>
        <w:keepNext/>
        <w:pBdr>
          <w:bottom w:val="single" w:color="E3D6DA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C8475A"/>
          <w:spacing w:val="30"/>
          <w:sz w:val="17"/>
          <w:szCs w:val="17"/>
        </w:rPr>
        <w:t xml:space="preserve">LE PROJET</w:t>
      </w:r>
    </w:p>
    <w:p>
      <w:pPr>
        <w:spacing w:after="50" w:line="252"/>
        <w:jc w:val="left"/>
      </w:pP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sip lab, la paille active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: des compléments alimentaires à boire. La paille contient des micro-billes d'actifs qui se dissolvent dans la boisson habituelle : </w:t>
      </w: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1 paille = 1 dose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, rien à avaler, sans sucre ajouté. Plus qu'un complément, un </w:t>
      </w: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rituel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quotidien que l'on a envie de refaire.</w:t>
      </w:r>
    </w:p>
    <w:p>
      <w:pPr>
        <w:keepNext/>
        <w:pBdr>
          <w:bottom w:val="single" w:color="E3D6DA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C8475A"/>
          <w:spacing w:val="30"/>
          <w:sz w:val="17"/>
          <w:szCs w:val="17"/>
        </w:rPr>
        <w:t xml:space="preserve">UNE MARQUE, QUATRE GAMMES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F5B700" w:sz="24"/>
              <w:left w:val="single" w:color="E3D6DA" w:sz="4"/>
              <w:bottom w:val="single" w:color="E3D6DA" w:sz="4"/>
              <w:right w:val="single" w:color="E3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1A20"/>
                <w:sz w:val="19"/>
                <w:szCs w:val="19"/>
              </w:rPr>
              <w:t xml:space="preserve">sip lab </w:t>
            </w:r>
            <w:r>
              <w:rPr>
                <w:rFonts w:ascii="Cambria" w:cs="Cambria" w:eastAsia="Cambria" w:hAnsi="Cambria"/>
                <w:i/>
                <w:iCs/>
                <w:color w:val="2A1A20"/>
                <w:sz w:val="20"/>
                <w:szCs w:val="20"/>
              </w:rPr>
              <w:t xml:space="preserve">mini</w:t>
            </w:r>
          </w:p>
          <w:p>
            <w:r>
              <w:rPr>
                <w:rFonts w:ascii="Calibri" w:cs="Calibri" w:eastAsia="Calibri" w:hAnsi="Calibri"/>
                <w:color w:val="6E5F65"/>
                <w:sz w:val="16"/>
                <w:szCs w:val="16"/>
              </w:rPr>
              <w:t xml:space="preserve">enfants, 4 à 11 ans</w:t>
            </w:r>
          </w:p>
        </w:tc>
        <w:tc>
          <w:tcPr>
            <w:tcW w:type="dxa" w:w="2409"/>
            <w:tcBorders>
              <w:top w:val="single" w:color="D98A6C" w:sz="24"/>
              <w:left w:val="single" w:color="E3D6DA" w:sz="4"/>
              <w:bottom w:val="single" w:color="E3D6DA" w:sz="4"/>
              <w:right w:val="single" w:color="E3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1A20"/>
                <w:sz w:val="19"/>
                <w:szCs w:val="19"/>
              </w:rPr>
              <w:t xml:space="preserve">sip lab </w:t>
            </w:r>
            <w:r>
              <w:rPr>
                <w:rFonts w:ascii="Cambria" w:cs="Cambria" w:eastAsia="Cambria" w:hAnsi="Cambria"/>
                <w:i/>
                <w:iCs/>
                <w:color w:val="2A1A20"/>
                <w:sz w:val="20"/>
                <w:szCs w:val="20"/>
              </w:rPr>
              <w:t xml:space="preserve">active</w:t>
            </w:r>
          </w:p>
          <w:p>
            <w:r>
              <w:rPr>
                <w:rFonts w:ascii="Calibri" w:cs="Calibri" w:eastAsia="Calibri" w:hAnsi="Calibri"/>
                <w:color w:val="6E5F65"/>
                <w:sz w:val="16"/>
                <w:szCs w:val="16"/>
              </w:rPr>
              <w:t xml:space="preserve">femmes actives, 20 à 45 ans</w:t>
            </w:r>
          </w:p>
        </w:tc>
        <w:tc>
          <w:tcPr>
            <w:tcW w:type="dxa" w:w="2409"/>
            <w:tcBorders>
              <w:top w:val="single" w:color="C8475A" w:sz="24"/>
              <w:left w:val="single" w:color="E3D6DA" w:sz="4"/>
              <w:bottom w:val="single" w:color="E3D6DA" w:sz="4"/>
              <w:right w:val="single" w:color="E3D6DA" w:sz="4"/>
            </w:tcBorders>
            <w:shd w:fill="FB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1A20"/>
                <w:sz w:val="19"/>
                <w:szCs w:val="19"/>
              </w:rPr>
              <w:t xml:space="preserve">sip lab </w:t>
            </w:r>
            <w:r>
              <w:rPr>
                <w:rFonts w:ascii="Cambria" w:cs="Cambria" w:eastAsia="Cambria" w:hAnsi="Cambria"/>
                <w:i/>
                <w:iCs/>
                <w:color w:val="2A1A20"/>
                <w:sz w:val="20"/>
                <w:szCs w:val="20"/>
              </w:rPr>
              <w:t xml:space="preserve">luna</w:t>
            </w:r>
            <w:r>
              <w:rPr>
                <w:rFonts w:ascii="Calibri" w:cs="Calibri" w:eastAsia="Calibri" w:hAnsi="Calibri"/>
                <w:b/>
                <w:bCs/>
                <w:color w:val="C8475A"/>
                <w:sz w:val="15"/>
                <w:szCs w:val="15"/>
              </w:rPr>
              <w:t xml:space="preserve">  · lancement</w:t>
            </w:r>
          </w:p>
          <w:p>
            <w:r>
              <w:rPr>
                <w:rFonts w:ascii="Calibri" w:cs="Calibri" w:eastAsia="Calibri" w:hAnsi="Calibri"/>
                <w:color w:val="6E5F65"/>
                <w:sz w:val="16"/>
                <w:szCs w:val="16"/>
              </w:rPr>
              <w:t xml:space="preserve">santé féminine, cycle → ménopause</w:t>
            </w:r>
          </w:p>
        </w:tc>
        <w:tc>
          <w:tcPr>
            <w:tcW w:type="dxa" w:w="2411"/>
            <w:tcBorders>
              <w:top w:val="single" w:color="2E9C9A" w:sz="24"/>
              <w:left w:val="single" w:color="E3D6DA" w:sz="4"/>
              <w:bottom w:val="single" w:color="E3D6DA" w:sz="4"/>
              <w:right w:val="single" w:color="E3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1A20"/>
                <w:sz w:val="19"/>
                <w:szCs w:val="19"/>
              </w:rPr>
              <w:t xml:space="preserve">sip lab </w:t>
            </w:r>
            <w:r>
              <w:rPr>
                <w:rFonts w:ascii="Cambria" w:cs="Cambria" w:eastAsia="Cambria" w:hAnsi="Cambria"/>
                <w:i/>
                <w:iCs/>
                <w:color w:val="2A1A20"/>
                <w:sz w:val="20"/>
                <w:szCs w:val="20"/>
              </w:rPr>
              <w:t xml:space="preserve">silver</w:t>
            </w:r>
          </w:p>
          <w:p>
            <w:r>
              <w:rPr>
                <w:rFonts w:ascii="Calibri" w:cs="Calibri" w:eastAsia="Calibri" w:hAnsi="Calibri"/>
                <w:color w:val="6E5F65"/>
                <w:sz w:val="16"/>
                <w:szCs w:val="16"/>
              </w:rPr>
              <w:t xml:space="preserve">seniors, 65 ans et plus</w:t>
            </w:r>
          </w:p>
        </w:tc>
      </w:tr>
    </w:tbl>
    <w:p>
      <w:pPr>
        <w:spacing w:after="0" w:line="252"/>
        <w:jc w:val="left"/>
      </w:pPr>
      <w:r>
        <w:rPr>
          <w:rFonts w:ascii="Calibri" w:cs="Calibri" w:eastAsia="Calibri" w:hAnsi="Calibri"/>
          <w:color w:val="6E5F65"/>
          <w:sz w:val="16"/>
          <w:szCs w:val="16"/>
        </w:rPr>
        <w:t xml:space="preserve">4 pailles par gamme, 16 au total. </w:t>
      </w:r>
      <w:r>
        <w:rPr>
          <w:rFonts w:ascii="Calibri" w:cs="Calibri" w:eastAsia="Calibri" w:hAnsi="Calibri"/>
          <w:b/>
          <w:bCs/>
          <w:color w:val="6E5F65"/>
          <w:sz w:val="16"/>
          <w:szCs w:val="16"/>
        </w:rPr>
        <w:t xml:space="preserve">Pour le lancement, on se concentre sur luna.</w:t>
      </w:r>
    </w:p>
    <w:p>
      <w:pPr>
        <w:keepNext/>
        <w:pBdr>
          <w:bottom w:val="single" w:color="E3D6DA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C8475A"/>
          <w:spacing w:val="30"/>
          <w:sz w:val="17"/>
          <w:szCs w:val="17"/>
        </w:rPr>
        <w:t xml:space="preserve">MA DÉMARCHE</w:t>
      </w:r>
    </w:p>
    <w:p>
      <w:pPr>
        <w:spacing w:after="50" w:line="252"/>
        <w:jc w:val="left"/>
      </w:pPr>
      <w:r>
        <w:rPr>
          <w:rFonts w:ascii="Calibri" w:cs="Calibri" w:eastAsia="Calibri" w:hAnsi="Calibri"/>
          <w:color w:val="2A1A20"/>
          <w:sz w:val="18"/>
          <w:szCs w:val="18"/>
        </w:rPr>
        <w:t xml:space="preserve">Innover sur la </w:t>
      </w: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forme galénique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d'un complément → veille internationale (pailles actives aux États-Unis, en Australie, Vita Straw en France par le passé) → découverte des </w:t>
      </w: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brevets Unistraw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(UniSphere®, UniLayer®) → constat : </w:t>
      </w: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le format existe mais reste une niche en France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. Ma valeur ajoutée : cible + formule + marque + marché français.</w:t>
      </w:r>
    </w:p>
    <w:p>
      <w:pPr>
        <w:keepNext/>
        <w:pBdr>
          <w:bottom w:val="single" w:color="E3D6DA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C8475A"/>
          <w:spacing w:val="30"/>
          <w:sz w:val="17"/>
          <w:szCs w:val="17"/>
        </w:rPr>
        <w:t xml:space="preserve">POURQUOI LANCER AVEC LUNA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Un besoin chaque mois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(cycle, syndrome prémenstruel, fatigue) : idéal pour l'abonnement.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Créer un rituel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: notre société recherche des rituels bien-être ; une paille datée, calée sur le cycle, en devient un.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Une exclusivité en France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: aucune paille active n'y est commercialisée aujourd'hui, encore moins en santé féminine.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Un marché en croissance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, une cible facile à toucher en ligne (femmes de 20 à 35 ans, créatrices), et un projet cohérent avec mon Master Biologie-Santé.</w:t>
      </w:r>
    </w:p>
    <w:p>
      <w:pPr>
        <w:spacing w:after="0" w:line="252"/>
        <w:jc w:val="left"/>
      </w:pP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Offre de départ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: box cycle flow + balance, environ 26 € par cycle, en précommande.</w:t>
      </w:r>
    </w:p>
    <w:p>
      <w:pPr>
        <w:keepNext/>
        <w:pBdr>
          <w:bottom w:val="single" w:color="E3D6DA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C8475A"/>
          <w:spacing w:val="30"/>
          <w:sz w:val="17"/>
          <w:szCs w:val="17"/>
        </w:rPr>
        <w:t xml:space="preserve">OÙ J'EN SUIS</w:t>
      </w:r>
    </w:p>
    <w:p>
      <w:pPr>
        <w:spacing w:after="50" w:line="252"/>
        <w:jc w:val="left"/>
      </w:pPr>
      <w:r>
        <w:rPr>
          <w:rFonts w:ascii="Calibri" w:cs="Calibri" w:eastAsia="Calibri" w:hAnsi="Calibri"/>
          <w:color w:val="2A1A20"/>
          <w:sz w:val="18"/>
          <w:szCs w:val="18"/>
        </w:rPr>
        <w:t xml:space="preserve">Projet né </w:t>
      </w: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il y a environ trois semaines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. Fait : recherche galénique, veille et brevets, étude de marché (Synadiet, Anses, INSEE), stratégie marketing, identité de marque (nom, logo, 16 pailles, site vitrine), pitch investisseurs. </w:t>
      </w: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En cours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: Unistraw contacté comme partenaire technologique (CDMO), </w:t>
      </w: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en attente de réponse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; autres fournisseurs en parallèle, dont une piste au Brésil.</w:t>
      </w:r>
    </w:p>
    <w:p>
      <w:pPr>
        <w:keepNext/>
        <w:pBdr>
          <w:bottom w:val="single" w:color="E3D6DA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C8475A"/>
          <w:spacing w:val="30"/>
          <w:sz w:val="17"/>
          <w:szCs w:val="17"/>
        </w:rPr>
        <w:t xml:space="preserve">CALENDRIER JUSQU'À LA SOUTENANCE, PUIS APRÈS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8096"/>
      </w:tblGrid>
      <w:tr>
        <w:tc>
          <w:tcPr>
            <w:tcW w:type="dxa" w:w="1542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shd w:fill="F7F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A20"/>
                <w:sz w:val="16"/>
                <w:szCs w:val="16"/>
              </w:rPr>
              <w:t xml:space="preserve">oct. → nov.</w:t>
            </w:r>
          </w:p>
        </w:tc>
        <w:tc>
          <w:tcPr>
            <w:tcW w:type="dxa" w:w="8096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2A1A20"/>
                <w:sz w:val="16"/>
                <w:szCs w:val="16"/>
              </w:rPr>
              <w:t xml:space="preserve">Échanges fournisseurs (faisabilité, MOQ, coût, délais), </w:t>
            </w:r>
            <w:r>
              <w:rPr>
                <w:rFonts w:ascii="Calibri" w:cs="Calibri" w:eastAsia="Calibri" w:hAnsi="Calibri"/>
                <w:b/>
                <w:bCs/>
                <w:color w:val="2A1A20"/>
                <w:sz w:val="16"/>
                <w:szCs w:val="16"/>
              </w:rPr>
              <w:t xml:space="preserve">choix fin novembre</w:t>
            </w:r>
            <w:r>
              <w:rPr>
                <w:rFonts w:ascii="Calibri" w:cs="Calibri" w:eastAsia="Calibri" w:hAnsi="Calibri"/>
                <w:color w:val="2A1A20"/>
                <w:sz w:val="16"/>
                <w:szCs w:val="16"/>
              </w:rPr>
              <w:t xml:space="preserve"> ; 15 à 20 entretiens avec la cible luna.</w:t>
            </w:r>
          </w:p>
        </w:tc>
      </w:tr>
      <w:tr>
        <w:tc>
          <w:tcPr>
            <w:tcW w:type="dxa" w:w="1542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shd w:fill="F7F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A20"/>
                <w:sz w:val="16"/>
                <w:szCs w:val="16"/>
              </w:rPr>
              <w:t xml:space="preserve">déc. → fév.</w:t>
            </w:r>
          </w:p>
        </w:tc>
        <w:tc>
          <w:tcPr>
            <w:tcW w:type="dxa" w:w="8096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2A1A20"/>
                <w:sz w:val="16"/>
                <w:szCs w:val="16"/>
              </w:rPr>
              <w:t xml:space="preserve">Formulation avec le fournisseur et validation réglementaire (étape longue).</w:t>
            </w:r>
          </w:p>
        </w:tc>
      </w:tr>
      <w:tr>
        <w:tc>
          <w:tcPr>
            <w:tcW w:type="dxa" w:w="1542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shd w:fill="F7F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A20"/>
                <w:sz w:val="16"/>
                <w:szCs w:val="16"/>
              </w:rPr>
              <w:t xml:space="preserve">janv. → mars</w:t>
            </w:r>
          </w:p>
        </w:tc>
        <w:tc>
          <w:tcPr>
            <w:tcW w:type="dxa" w:w="8096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2A1A20"/>
                <w:sz w:val="16"/>
                <w:szCs w:val="16"/>
              </w:rPr>
              <w:t xml:space="preserve">Prototypes, tests de goût et de dissolution, début des études de stabilité.</w:t>
            </w:r>
          </w:p>
        </w:tc>
      </w:tr>
      <w:tr>
        <w:tc>
          <w:tcPr>
            <w:tcW w:type="dxa" w:w="1542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shd w:fill="F7F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A20"/>
                <w:sz w:val="16"/>
                <w:szCs w:val="16"/>
              </w:rPr>
              <w:t xml:space="preserve">fév. → mars</w:t>
            </w:r>
          </w:p>
        </w:tc>
        <w:tc>
          <w:tcPr>
            <w:tcW w:type="dxa" w:w="8096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2A1A20"/>
                <w:sz w:val="16"/>
                <w:szCs w:val="16"/>
              </w:rPr>
              <w:t xml:space="preserve">Test du MVP (page de précommande, objectif ≥ 3 %), puis business plan avec les coûts réels.</w:t>
            </w:r>
          </w:p>
        </w:tc>
      </w:tr>
      <w:tr>
        <w:tc>
          <w:tcPr>
            <w:tcW w:type="dxa" w:w="1542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shd w:fill="4A1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fin mars</w:t>
            </w:r>
          </w:p>
        </w:tc>
        <w:tc>
          <w:tcPr>
            <w:tcW w:type="dxa" w:w="8096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shd w:fill="FBEF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A20"/>
                <w:sz w:val="16"/>
                <w:szCs w:val="16"/>
              </w:rPr>
              <w:t xml:space="preserve">Soutenance</w:t>
            </w:r>
            <w:r>
              <w:rPr>
                <w:rFonts w:ascii="Calibri" w:cs="Calibri" w:eastAsia="Calibri" w:hAnsi="Calibri"/>
                <w:color w:val="2A1A20"/>
                <w:sz w:val="16"/>
                <w:szCs w:val="16"/>
              </w:rPr>
              <w:t xml:space="preserve"> : démarche, premiers résultats, décision de lancement.</w:t>
            </w:r>
          </w:p>
        </w:tc>
      </w:tr>
      <w:tr>
        <w:tc>
          <w:tcPr>
            <w:tcW w:type="dxa" w:w="1542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shd w:fill="F7F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A20"/>
                <w:sz w:val="16"/>
                <w:szCs w:val="16"/>
              </w:rPr>
              <w:t xml:space="preserve">après</w:t>
            </w:r>
          </w:p>
        </w:tc>
        <w:tc>
          <w:tcPr>
            <w:tcW w:type="dxa" w:w="8096"/>
            <w:tcBorders>
              <w:top w:val="single" w:color="E3D6DA" w:sz="4"/>
              <w:left w:val="single" w:color="E3D6DA" w:sz="4"/>
              <w:bottom w:val="single" w:color="E3D6DA" w:sz="4"/>
              <w:right w:val="single" w:color="E3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2A1A20"/>
                <w:sz w:val="16"/>
                <w:szCs w:val="16"/>
              </w:rPr>
              <w:t xml:space="preserve">Création de la société, financement (apport, love money, prêt d'honneur), lancement de luna (été-automne 2027), puis active, mini, silver.</w:t>
            </w:r>
          </w:p>
        </w:tc>
      </w:tr>
    </w:tbl>
    <w:p>
      <w:pPr>
        <w:keepNext/>
        <w:pBdr>
          <w:bottom w:val="single" w:color="E3D6DA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C8475A"/>
          <w:spacing w:val="30"/>
          <w:sz w:val="17"/>
          <w:szCs w:val="17"/>
        </w:rPr>
        <w:t xml:space="preserve">POINTS DE VIGILANCE ET BESOINS</w:t>
      </w:r>
    </w:p>
    <w:p>
      <w:pPr>
        <w:spacing w:after="0" w:line="252"/>
        <w:jc w:val="left"/>
      </w:pP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Risques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: réponse ou refus du fournisseur, coût par paille, réglementation des allégations santé, délais de formulation et de stabilité. </w:t>
      </w:r>
      <w:r>
        <w:rPr>
          <w:rFonts w:ascii="Calibri" w:cs="Calibri" w:eastAsia="Calibri" w:hAnsi="Calibri"/>
          <w:b/>
          <w:bCs/>
          <w:color w:val="2A1A20"/>
          <w:sz w:val="18"/>
          <w:szCs w:val="18"/>
        </w:rPr>
        <w:t xml:space="preserve">Besoins</w:t>
      </w:r>
      <w:r>
        <w:rPr>
          <w:rFonts w:ascii="Calibri" w:cs="Calibri" w:eastAsia="Calibri" w:hAnsi="Calibri"/>
          <w:color w:val="2A1A20"/>
          <w:sz w:val="18"/>
          <w:szCs w:val="18"/>
        </w:rPr>
        <w:t xml:space="preserve"> : avis sur le calendrier et le choix de luna, contacts (incubateur, experts), accompagnement PÉPITE, retours réguliers jusqu'à la soutenance.</w:t>
      </w:r>
    </w:p>
    <w:sectPr>
      <w:pgSz w:w="11906" w:h="16838" w:orient="portrait"/>
      <w:pgMar w:top="850" w:right="1134" w:bottom="7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C847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1A2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49bf72770973eccceaf5554c975b974cce36c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 lab : fiche projet</dc:title>
  <dc:creator>Nisrine Margoum</dc:creator>
  <cp:lastModifiedBy>Un-named</cp:lastModifiedBy>
  <cp:revision>1</cp:revision>
  <dcterms:created xsi:type="dcterms:W3CDTF">2026-10-14T07:14:59.881Z</dcterms:created>
  <dcterms:modified xsi:type="dcterms:W3CDTF">2026-10-14T07:14:59.881Z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