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left"/>
      </w:pPr>
      <w:r>
        <w:drawing>
          <wp:inline distT="0" distB="0" distL="0" distR="0">
            <wp:extent cx="1428750" cy="581025"/>
            <wp:effectExtent t="0" r="0" b="0" l="0"/>
            <wp:docPr id="1" name="logo" descr="Logo sip lab" title="Logo sip l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581025"/>
                    </a:xfrm>
                    <a:prstGeom prst="rect">
                      <a:avLst/>
                    </a:prstGeom>
                  </pic:spPr>
                </pic:pic>
              </a:graphicData>
            </a:graphic>
          </wp:inline>
        </w:drawing>
      </w:r>
    </w:p>
    <w:p>
      <w:pPr>
        <w:spacing w:after="60"/>
      </w:pPr>
      <w:r>
        <w:rPr>
          <w:rFonts w:ascii="Calibri" w:cs="Calibri" w:eastAsia="Calibri" w:hAnsi="Calibri"/>
          <w:b/>
          <w:bCs/>
          <w:color w:val="C8475A"/>
          <w:spacing w:val="40"/>
          <w:sz w:val="18"/>
          <w:szCs w:val="18"/>
        </w:rPr>
        <w:t xml:space="preserve">BUSINESS MODEL</w:t>
      </w:r>
    </w:p>
    <w:p>
      <w:pPr>
        <w:pStyle w:val="Heading1"/>
        <w:spacing w:after="160"/>
      </w:pPr>
      <w:r>
        <w:rPr>
          <w:rFonts w:ascii="Cambria" w:cs="Cambria" w:eastAsia="Cambria" w:hAnsi="Cambria"/>
          <w:color w:val="2A1A20"/>
          <w:sz w:val="34"/>
          <w:szCs w:val="34"/>
        </w:rPr>
        <w:t xml:space="preserve">Questions et challenges pour le business model de sip lab</w:t>
      </w:r>
    </w:p>
    <w:p>
      <w:pPr>
        <w:spacing w:after="120" w:line="288"/>
        <w:jc w:val="both"/>
      </w:pPr>
      <w:r>
        <w:rPr>
          <w:rFonts w:ascii="Calibri" w:cs="Calibri" w:eastAsia="Calibri" w:hAnsi="Calibri"/>
          <w:color w:val="2A1A20"/>
          <w:sz w:val="21"/>
          <w:szCs w:val="21"/>
        </w:rPr>
        <w:t xml:space="preserve">Chacune des questions a été évaluée selon son importance pour le projet sip lab : une paille active (compléments alimentaires à boire), lancée avec la gamme luna (santé féminine), vendue en ligne sur abonnement et fabriquée en sous-traitance par un partenaire technologique (Unistraw ou un autre fournisseur).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42"/>
        <w:gridCol w:w="8096"/>
      </w:tblGrid>
      <w:tr>
        <w:tc>
          <w:tcPr>
            <w:tcW w:type="dxa" w:w="1542"/>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1E7A45"/>
                <w:sz w:val="18"/>
                <w:szCs w:val="18"/>
              </w:rPr>
              <w:t xml:space="preserve">Vert</w:t>
            </w:r>
          </w:p>
        </w:tc>
        <w:tc>
          <w:tcPr>
            <w:tcW w:type="dxa" w:w="809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color w:val="2A1A20"/>
                <w:sz w:val="18"/>
                <w:szCs w:val="18"/>
              </w:rPr>
              <w:t xml:space="preserve">Question essentielle à se poser pour le projet.</w:t>
            </w:r>
          </w:p>
        </w:tc>
      </w:tr>
      <w:tr>
        <w:tc>
          <w:tcPr>
            <w:tcW w:type="dxa" w:w="1542"/>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A85A0C"/>
                <w:sz w:val="18"/>
                <w:szCs w:val="18"/>
              </w:rPr>
              <w:t xml:space="preserve">Orange</w:t>
            </w:r>
          </w:p>
        </w:tc>
        <w:tc>
          <w:tcPr>
            <w:tcW w:type="dxa" w:w="809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color w:val="2A1A20"/>
                <w:sz w:val="18"/>
                <w:szCs w:val="18"/>
              </w:rPr>
              <w:t xml:space="preserve">Question intéressante, mais secondaire ou à traiter plus tard.</w:t>
            </w:r>
          </w:p>
        </w:tc>
      </w:tr>
      <w:tr>
        <w:tc>
          <w:tcPr>
            <w:tcW w:type="dxa" w:w="1542"/>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B3261E"/>
                <w:sz w:val="18"/>
                <w:szCs w:val="18"/>
              </w:rPr>
              <w:t xml:space="preserve">Rouge</w:t>
            </w:r>
          </w:p>
        </w:tc>
        <w:tc>
          <w:tcPr>
            <w:tcW w:type="dxa" w:w="8096"/>
            <w:tcBorders>
              <w:top w:val="single" w:color="E3D6DA" w:sz="4"/>
              <w:left w:val="single" w:color="E3D6DA" w:sz="4"/>
              <w:bottom w:val="single" w:color="E3D6DA" w:sz="4"/>
              <w:right w:val="single" w:color="E3D6DA" w:sz="4"/>
            </w:tcBorders>
            <w:tcMar>
              <w:top w:type="dxa" w:w="70"/>
              <w:left w:type="dxa" w:w="100"/>
              <w:bottom w:type="dxa" w:w="70"/>
              <w:right w:type="dxa" w:w="100"/>
            </w:tcMar>
            <w:vAlign w:val="top"/>
          </w:tcPr>
          <w:p>
            <w:pPr>
              <w:spacing w:after="40" w:line="252"/>
              <w:jc w:val="left"/>
            </w:pPr>
            <w:r>
              <w:rPr>
                <w:rFonts w:ascii="Calibri" w:cs="Calibri" w:eastAsia="Calibri" w:hAnsi="Calibri"/>
                <w:color w:val="2A1A20"/>
                <w:sz w:val="18"/>
                <w:szCs w:val="18"/>
              </w:rPr>
              <w:t xml:space="preserve">Question peu pertinente pour le projet.</w:t>
            </w:r>
          </w:p>
        </w:tc>
      </w:tr>
    </w:tbl>
    <w:p>
      <w:pPr>
        <w:spacing w:after="80"/>
      </w:pPr>
    </w:p>
    <w:p>
      <w:pPr>
        <w:pStyle w:val="Heading2"/>
        <w:spacing w:after="100" w:before="240"/>
      </w:pPr>
      <w:r>
        <w:rPr>
          <w:rFonts w:ascii="Cambria" w:cs="Cambria" w:eastAsia="Cambria" w:hAnsi="Cambria"/>
          <w:color w:val="C8475A"/>
          <w:sz w:val="25"/>
          <w:szCs w:val="25"/>
        </w:rPr>
        <w:t xml:space="preserve">Évaluation des questions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78"/>
        <w:gridCol w:w="3855"/>
        <w:gridCol w:w="1157"/>
        <w:gridCol w:w="4048"/>
      </w:tblGrid>
      <w:tr>
        <w:trPr>
          <w:tblHeader/>
        </w:trPr>
        <w:tc>
          <w:tcPr>
            <w:tcW w:type="dxa" w:w="57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FFFFFF"/>
                <w:sz w:val="17"/>
                <w:szCs w:val="17"/>
              </w:rPr>
              <w:t xml:space="preserve">N°</w:t>
            </w:r>
          </w:p>
        </w:tc>
        <w:tc>
          <w:tcPr>
            <w:tcW w:type="dxa" w:w="3855"/>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Question</w:t>
            </w:r>
          </w:p>
        </w:tc>
        <w:tc>
          <w:tcPr>
            <w:tcW w:type="dxa" w:w="1157"/>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center"/>
            </w:pPr>
            <w:r>
              <w:rPr>
                <w:rFonts w:ascii="Calibri" w:cs="Calibri" w:eastAsia="Calibri" w:hAnsi="Calibri"/>
                <w:b/>
                <w:bCs/>
                <w:color w:val="FFFFFF"/>
                <w:sz w:val="17"/>
                <w:szCs w:val="17"/>
              </w:rPr>
              <w:t xml:space="preserve">Importance</w:t>
            </w:r>
          </w:p>
        </w:tc>
        <w:tc>
          <w:tcPr>
            <w:tcW w:type="dxa" w:w="4048"/>
            <w:tcBorders>
              <w:top w:val="single" w:color="E3D6DA" w:sz="4"/>
              <w:left w:val="single" w:color="E3D6DA" w:sz="4"/>
              <w:bottom w:val="single" w:color="E3D6DA" w:sz="4"/>
              <w:right w:val="single" w:color="E3D6DA" w:sz="4"/>
            </w:tcBorders>
            <w:shd w:fill="4A1626" w:color="auto" w:val="clear"/>
            <w:tcMar>
              <w:top w:type="dxa" w:w="70"/>
              <w:left w:type="dxa" w:w="100"/>
              <w:bottom w:type="dxa" w:w="70"/>
              <w:right w:type="dxa" w:w="100"/>
            </w:tcMar>
            <w:vAlign w:val="top"/>
          </w:tcPr>
          <w:p>
            <w:pPr>
              <w:spacing w:after="40" w:line="252"/>
              <w:jc w:val="left"/>
            </w:pPr>
            <w:r>
              <w:rPr>
                <w:rFonts w:ascii="Calibri" w:cs="Calibri" w:eastAsia="Calibri" w:hAnsi="Calibri"/>
                <w:b/>
                <w:bCs/>
                <w:color w:val="FFFFFF"/>
                <w:sz w:val="17"/>
                <w:szCs w:val="17"/>
              </w:rPr>
              <w:t xml:space="preserve">Justification pour sip lab</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un partenaire clé peut compléter votre offre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Unistraw apporte la technologie, une sage-femme la crédibilité, les créatrices la visibilité : sans eux, pas de produit.</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pouvez-vous rendre gratuit le service pour les clients ?</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Le produit reste payant ; le contenu autour peut être gratuit (carte du cycle, rappels, conseils).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3</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utiliser les réseaux sociaux pour que vos clients parlent de votre offre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Premier canal pour toucher les femmes de 20 à 35 ans : contenus, créatrices, #mysiplabroutine.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4</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pouvez-vous alléger vos frais de structure ?</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Déjà prévu dans le modèle : fabrication sous-traitée, vente en ligne, pas d'usine.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5</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facilitez-vous la vie de vos clients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C'est la promesse : rien à avaler, une paille par jour, livrée au bon moment du cycle.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6</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Comment le mobile peut vous aider à proposer un nouveau service ?</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Une application de suivi du cycle avec rappels : intéressant, mais après le lancement.</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7</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Quelle partie de votre business model pouvez-vous faire faire par les autres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Cœur du modèle : fabrication par le partenaire (CDMO), logistique, communication par les créatrices.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8</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Quels gains créez-vous pour ceux qui font le travail à votre place ?</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Accès au marché français pour le fabricant, commission pour les créatrices : utile pour négocier.</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9</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Quels gains créez-vous pour vos clients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Simplicité, régularité, un moment à soi : c'est la proposition de valeur.</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10</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 produit de votre entreprise pouvez-vous transformer en service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L'abonnement calé sur le cycle transforme le produit en service récurrent.</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11</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Quels problèmes du client soulagez-vous avec ce produit ou service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Oublis, gélules difficiles à avaler, symptômes du cycle : à formuler clairement.</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12</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Quelle expérience client mémorable pouvez-vous faire vivre aux utilisateurs ?</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Le rituel : paille datée, déballage, geste quotidien. C'est l'élément différenciant.</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13</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Pouvez-vous proposer une offre low-cost (au moins 50 % moins chère que la concurrence) ?</w:t>
            </w:r>
          </w:p>
        </w:tc>
        <w:tc>
          <w:tcPr>
            <w:tcW w:type="dxa" w:w="1157"/>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B3261E"/>
                <w:sz w:val="17"/>
                <w:szCs w:val="17"/>
              </w:rPr>
              <w:t xml:space="preserve">Rouge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Positionnement premium et innovant ; le coût par paille sera élevé.</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14</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Votre marge est-elle suffisante pour baisser le prix et créer un avantage compétitif ?</w:t>
            </w:r>
          </w:p>
        </w:tc>
        <w:tc>
          <w:tcPr>
            <w:tcW w:type="dxa" w:w="1157"/>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B3261E"/>
                <w:sz w:val="17"/>
                <w:szCs w:val="17"/>
              </w:rPr>
              <w:t xml:space="preserve">Rouge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La marge est critique, mais pas pour mener une guerre des prix.</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16</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Options supplémentaires facturées</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Box personnalisée, coffret cadeau, livraison express : revenus complémentaires plus tard.</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17</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Affiliation</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Les codes promo des créatrices sont de l'affiliation : c'est le levier d'acquisition.</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18</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Aïkido : transformer les forces de vos adversaires en faiblesses</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Déjà dans le positionnement : les gélules sont partout, mais on les oublie et elles s'avalent mal.</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19</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Enchères pour augmenter vos prix</w:t>
            </w:r>
          </w:p>
        </w:tc>
        <w:tc>
          <w:tcPr>
            <w:tcW w:type="dxa" w:w="1157"/>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B3261E"/>
                <w:sz w:val="17"/>
                <w:szCs w:val="17"/>
              </w:rPr>
              <w:t xml:space="preserve">Rouge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Ne s'applique pas à un complément alimentaire.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20</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BFR négatif : encaisser avant de payer</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Précommandes et abonnement prépayé : indispensable face aux quantités minimum du fabricant.</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21</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Ventes croisées</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De luna vers active, puis mini pour les mères : stratégie de croissance, à plus long terme.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22</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Crowdfunding</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Une campagne (Ulule, KissKiss) sert à la fois de test du MVP, de financement et de précommandes.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23</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Crowdsourcing : déporter le travail aux clients</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Faire voter la communauté sur les saveurs ou les formules : bon pour l'engagement.</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24</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Fidélisation</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La rentabilité repose sur le réachat à chaque cycle.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25</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Digitalisation de votre offre</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L'offre est déjà en ligne ; contenus et application à développer ensuite.</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26</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Vente directe : court-circuiter les intermédiaires</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Vente en ligne directe au lancement : meilleure marge et lien direct avec les clientes.</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27</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E-commerce et marketplaces</w:t>
            </w:r>
          </w:p>
        </w:tc>
        <w:tc>
          <w:tcPr>
            <w:tcW w:type="dxa" w:w="1157"/>
            <w:tcBorders>
              <w:top w:val="single" w:color="E3D6DA" w:sz="4"/>
              <w:left w:val="single" w:color="E3D6DA" w:sz="4"/>
              <w:bottom w:val="single" w:color="E3D6DA" w:sz="4"/>
              <w:right w:val="single" w:color="E3D6DA" w:sz="4"/>
            </w:tcBorders>
            <w:shd w:fill="FCE8D2"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A85A0C"/>
                <w:sz w:val="17"/>
                <w:szCs w:val="17"/>
              </w:rPr>
              <w:t xml:space="preserve">Orange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Le site d'abord ; marketplaces de parapharmacie plus tard.</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28</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Expérience clients</w:t>
            </w:r>
          </w:p>
        </w:tc>
        <w:tc>
          <w:tcPr>
            <w:tcW w:type="dxa" w:w="1157"/>
            <w:tcBorders>
              <w:top w:val="single" w:color="E3D6DA" w:sz="4"/>
              <w:left w:val="single" w:color="E3D6DA" w:sz="4"/>
              <w:bottom w:val="single" w:color="E3D6DA" w:sz="4"/>
              <w:right w:val="single" w:color="E3D6DA" w:sz="4"/>
            </w:tcBorders>
            <w:shd w:fill="DDF0E4"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1E7A45"/>
                <w:sz w:val="17"/>
                <w:szCs w:val="17"/>
              </w:rPr>
              <w:t xml:space="preserve">Vert</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Packaging, conseils et suivi comptent autant que le produit.</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29</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Prix fixe, consommation illimitée</w:t>
            </w:r>
          </w:p>
        </w:tc>
        <w:tc>
          <w:tcPr>
            <w:tcW w:type="dxa" w:w="1157"/>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B3261E"/>
                <w:sz w:val="17"/>
                <w:szCs w:val="17"/>
              </w:rPr>
              <w:t xml:space="preserve">Rouge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Impossible avec un complément : la dose est limitée, c'est une question de sécurité.</w:t>
            </w:r>
          </w:p>
        </w:tc>
      </w:tr>
      <w:tr>
        <w:trPr>
          <w:cantSplit/>
        </w:trPr>
        <w:tc>
          <w:tcPr>
            <w:tcW w:type="dxa" w:w="57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center"/>
            </w:pPr>
            <w:r>
              <w:rPr>
                <w:rFonts w:ascii="Calibri" w:cs="Calibri" w:eastAsia="Calibri" w:hAnsi="Calibri"/>
                <w:color w:val="6E5F65"/>
                <w:sz w:val="17"/>
                <w:szCs w:val="17"/>
              </w:rPr>
              <w:t xml:space="preserve">30</w:t>
            </w:r>
          </w:p>
        </w:tc>
        <w:tc>
          <w:tcPr>
            <w:tcW w:type="dxa" w:w="3855"/>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2A1A20"/>
                <w:sz w:val="17"/>
                <w:szCs w:val="17"/>
              </w:rPr>
              <w:t xml:space="preserve">Propriété à temps partagé</w:t>
            </w:r>
          </w:p>
        </w:tc>
        <w:tc>
          <w:tcPr>
            <w:tcW w:type="dxa" w:w="1157"/>
            <w:tcBorders>
              <w:top w:val="single" w:color="E3D6DA" w:sz="4"/>
              <w:left w:val="single" w:color="E3D6DA" w:sz="4"/>
              <w:bottom w:val="single" w:color="E3D6DA" w:sz="4"/>
              <w:right w:val="single" w:color="E3D6DA" w:sz="4"/>
            </w:tcBorders>
            <w:shd w:fill="F8DADA" w:color="auto" w:val="clear"/>
            <w:tcMar>
              <w:top w:type="dxa" w:w="70"/>
              <w:left w:type="dxa" w:w="100"/>
              <w:bottom w:type="dxa" w:w="70"/>
              <w:right w:type="dxa" w:w="100"/>
            </w:tcMar>
            <w:vAlign w:val="center"/>
          </w:tcPr>
          <w:p>
            <w:pPr>
              <w:spacing w:after="40" w:line="252"/>
              <w:jc w:val="center"/>
            </w:pPr>
            <w:r>
              <w:rPr>
                <w:rFonts w:ascii="Calibri" w:cs="Calibri" w:eastAsia="Calibri" w:hAnsi="Calibri"/>
                <w:b/>
                <w:bCs/>
                <w:color w:val="B3261E"/>
                <w:sz w:val="17"/>
                <w:szCs w:val="17"/>
              </w:rPr>
              <w:t xml:space="preserve">Rouge</w:t>
            </w:r>
          </w:p>
        </w:tc>
        <w:tc>
          <w:tcPr>
            <w:tcW w:type="dxa" w:w="4048"/>
            <w:tcBorders>
              <w:top w:val="single" w:color="E3D6DA" w:sz="4"/>
              <w:left w:val="single" w:color="E3D6DA" w:sz="4"/>
              <w:bottom w:val="single" w:color="E3D6DA" w:sz="4"/>
              <w:right w:val="single" w:color="E3D6DA" w:sz="4"/>
            </w:tcBorders>
            <w:tcMar>
              <w:top w:type="dxa" w:w="70"/>
              <w:left w:type="dxa" w:w="100"/>
              <w:bottom w:type="dxa" w:w="70"/>
              <w:right w:type="dxa" w:w="100"/>
            </w:tcMar>
            <w:vAlign w:val="center"/>
          </w:tcPr>
          <w:p>
            <w:pPr>
              <w:spacing w:after="40" w:line="252"/>
              <w:jc w:val="left"/>
            </w:pPr>
            <w:r>
              <w:rPr>
                <w:rFonts w:ascii="Calibri" w:cs="Calibri" w:eastAsia="Calibri" w:hAnsi="Calibri"/>
                <w:color w:val="6E5F65"/>
                <w:sz w:val="16"/>
                <w:szCs w:val="16"/>
              </w:rPr>
              <w:t xml:space="preserve">Ne s'applique pas à un produit consommable.</w:t>
            </w:r>
          </w:p>
        </w:tc>
      </w:tr>
    </w:tbl>
    <w:p>
      <w:pPr>
        <w:spacing w:after="160" w:before="60"/>
      </w:pPr>
      <w:r>
        <w:rPr>
          <w:rFonts w:ascii="Calibri" w:cs="Calibri" w:eastAsia="Calibri" w:hAnsi="Calibri"/>
          <w:i/>
          <w:iCs/>
          <w:color w:val="6E5F65"/>
          <w:sz w:val="16"/>
          <w:szCs w:val="16"/>
        </w:rPr>
        <w:t xml:space="preserve">La question 15 ne figure pas dans la grille fournie.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Bilan</w:t>
            </w:r>
          </w:p>
          <w:p>
            <w:pPr>
              <w:spacing w:after="70" w:line="280"/>
            </w:pPr>
            <w:r>
              <w:rPr>
                <w:rFonts w:ascii="Calibri" w:cs="Calibri" w:eastAsia="Calibri" w:hAnsi="Calibri"/>
                <w:b/>
                <w:bCs/>
                <w:color w:val="2A1A20"/>
                <w:sz w:val="20"/>
                <w:szCs w:val="20"/>
              </w:rPr>
              <w:t xml:space="preserve">14 questions vertes</w:t>
            </w:r>
            <w:r>
              <w:rPr>
                <w:rFonts w:ascii="Calibri" w:cs="Calibri" w:eastAsia="Calibri" w:hAnsi="Calibri"/>
                <w:color w:val="2A1A20"/>
                <w:sz w:val="20"/>
                <w:szCs w:val="20"/>
              </w:rPr>
              <w:t xml:space="preserve">, 10 orange et 5 rouges. Les questions essentielles portent sur trois sujets : les partenaires (fabricant, créatrices), le financement du lancement (précommandes, crowdfunding) et la relation client dans la durée (rituel, abonnement, fidélisation).</w:t>
            </w:r>
          </w:p>
        </w:tc>
      </w:tr>
    </w:tbl>
    <w:p>
      <w:pPr>
        <w:spacing w:after="120"/>
      </w:pPr>
    </w:p>
    <w:p>
      <w:pPr>
        <w:pageBreakBefore/>
        <w:spacing w:after="60"/>
      </w:pPr>
      <w:r>
        <w:rPr>
          <w:rFonts w:ascii="Calibri" w:cs="Calibri" w:eastAsia="Calibri" w:hAnsi="Calibri"/>
          <w:b/>
          <w:bCs/>
          <w:color w:val="C8475A"/>
          <w:spacing w:val="40"/>
          <w:sz w:val="18"/>
          <w:szCs w:val="18"/>
        </w:rPr>
        <w:t xml:space="preserve">À APPROFONDIR</w:t>
      </w:r>
    </w:p>
    <w:p>
      <w:pPr>
        <w:pStyle w:val="Heading1"/>
        <w:spacing w:after="160"/>
      </w:pPr>
      <w:r>
        <w:rPr>
          <w:rFonts w:ascii="Cambria" w:cs="Cambria" w:eastAsia="Cambria" w:hAnsi="Cambria"/>
          <w:color w:val="2A1A20"/>
          <w:sz w:val="34"/>
          <w:szCs w:val="34"/>
        </w:rPr>
        <w:t xml:space="preserve">Les trois questions essentielles</w:t>
      </w:r>
    </w:p>
    <w:p>
      <w:pPr>
        <w:spacing w:after="120" w:line="288"/>
        <w:jc w:val="both"/>
      </w:pPr>
      <w:r>
        <w:rPr>
          <w:rFonts w:ascii="Calibri" w:cs="Calibri" w:eastAsia="Calibri" w:hAnsi="Calibri"/>
          <w:color w:val="2A1A20"/>
          <w:sz w:val="21"/>
          <w:szCs w:val="21"/>
        </w:rPr>
        <w:t xml:space="preserve">Parmi les questions vertes, trois sont particulièrement structurantes : elles répondent à la manière de </w:t>
      </w:r>
      <w:r>
        <w:rPr>
          <w:rFonts w:ascii="Calibri" w:cs="Calibri" w:eastAsia="Calibri" w:hAnsi="Calibri"/>
          <w:b/>
          <w:bCs/>
          <w:color w:val="2A1A20"/>
          <w:sz w:val="21"/>
          <w:szCs w:val="21"/>
        </w:rPr>
        <w:t xml:space="preserve">produire</w:t>
      </w:r>
      <w:r>
        <w:rPr>
          <w:rFonts w:ascii="Calibri" w:cs="Calibri" w:eastAsia="Calibri" w:hAnsi="Calibri"/>
          <w:color w:val="2A1A20"/>
          <w:sz w:val="21"/>
          <w:szCs w:val="21"/>
        </w:rPr>
        <w:t xml:space="preserve">, de </w:t>
      </w:r>
      <w:r>
        <w:rPr>
          <w:rFonts w:ascii="Calibri" w:cs="Calibri" w:eastAsia="Calibri" w:hAnsi="Calibri"/>
          <w:b/>
          <w:bCs/>
          <w:color w:val="2A1A20"/>
          <w:sz w:val="21"/>
          <w:szCs w:val="21"/>
        </w:rPr>
        <w:t xml:space="preserve">financer le lancement</w:t>
      </w:r>
      <w:r>
        <w:rPr>
          <w:rFonts w:ascii="Calibri" w:cs="Calibri" w:eastAsia="Calibri" w:hAnsi="Calibri"/>
          <w:color w:val="2A1A20"/>
          <w:sz w:val="21"/>
          <w:szCs w:val="21"/>
        </w:rPr>
        <w:t xml:space="preserve"> et de </w:t>
      </w:r>
      <w:r>
        <w:rPr>
          <w:rFonts w:ascii="Calibri" w:cs="Calibri" w:eastAsia="Calibri" w:hAnsi="Calibri"/>
          <w:b/>
          <w:bCs/>
          <w:color w:val="2A1A20"/>
          <w:sz w:val="21"/>
          <w:szCs w:val="21"/>
        </w:rPr>
        <w:t xml:space="preserve">devenir rentable</w:t>
      </w:r>
      <w:r>
        <w:rPr>
          <w:rFonts w:ascii="Calibri" w:cs="Calibri" w:eastAsia="Calibri" w:hAnsi="Calibri"/>
          <w:color w:val="2A1A20"/>
          <w:sz w:val="21"/>
          <w:szCs w:val="21"/>
        </w:rPr>
        <w:t xml:space="preserve">.</w:t>
      </w:r>
    </w:p>
    <w:p>
      <w:pPr>
        <w:keepNext/>
        <w:spacing w:after="40" w:before="200"/>
      </w:pPr>
      <w:r>
        <w:rPr>
          <w:rFonts w:ascii="Calibri" w:cs="Calibri" w:eastAsia="Calibri" w:hAnsi="Calibri"/>
          <w:b/>
          <w:bCs/>
          <w:color w:val="C8475A"/>
          <w:spacing w:val="20"/>
          <w:sz w:val="18"/>
          <w:szCs w:val="18"/>
        </w:rPr>
        <w:t xml:space="preserve">1. Question 7</w:t>
      </w:r>
    </w:p>
    <w:p>
      <w:pPr>
        <w:keepNext/>
        <w:spacing w:after="100"/>
      </w:pPr>
      <w:r>
        <w:rPr>
          <w:rFonts w:ascii="Cambria" w:cs="Cambria" w:eastAsia="Cambria" w:hAnsi="Cambria"/>
          <w:color w:val="2A1A20"/>
          <w:sz w:val="26"/>
          <w:szCs w:val="26"/>
        </w:rPr>
        <w:t xml:space="preserve">Quelle partie de votre business model pouvez-vous faire faire par les autres ?</w:t>
      </w:r>
    </w:p>
    <w:p>
      <w:pPr>
        <w:keepNext/>
        <w:spacing w:after="100" w:line="288"/>
        <w:jc w:val="both"/>
      </w:pPr>
      <w:r>
        <w:rPr>
          <w:rFonts w:ascii="Calibri" w:cs="Calibri" w:eastAsia="Calibri" w:hAnsi="Calibri"/>
          <w:b/>
          <w:bCs/>
          <w:color w:val="2A1A20"/>
          <w:sz w:val="21"/>
          <w:szCs w:val="21"/>
        </w:rPr>
        <w:t xml:space="preserve">Pourquoi c'est essentiel.</w:t>
      </w:r>
      <w:r>
        <w:rPr>
          <w:rFonts w:ascii="Calibri" w:cs="Calibri" w:eastAsia="Calibri" w:hAnsi="Calibri"/>
          <w:color w:val="2A1A20"/>
          <w:sz w:val="21"/>
          <w:szCs w:val="21"/>
        </w:rPr>
        <w:t xml:space="preserve"> C'est la question la plus structurante : sip lab ne fabrique pas elle-même. Tout le projet dépend d'un partenaire technologique (Unistraw ou un autre fournisseur) qui détient les brevets et le savoir-faire industriel.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Pistes à approfondir</w:t>
            </w:r>
          </w:p>
          <w:p>
            <w:pPr>
              <w:spacing w:after="70" w:line="280"/>
            </w:pPr>
            <w:r>
              <w:rPr>
                <w:rFonts w:ascii="Calibri" w:cs="Calibri" w:eastAsia="Calibri" w:hAnsi="Calibri"/>
                <w:color w:val="2A1A20"/>
                <w:sz w:val="20"/>
                <w:szCs w:val="20"/>
              </w:rPr>
              <w:t xml:space="preserve">•  Répartir les rôles avec le fabricant : pré-formulation, études de stabilité, production, packaging.</w:t>
            </w:r>
          </w:p>
          <w:p>
            <w:pPr>
              <w:spacing w:after="70" w:line="280"/>
            </w:pPr>
            <w:r>
              <w:rPr>
                <w:rFonts w:ascii="Calibri" w:cs="Calibri" w:eastAsia="Calibri" w:hAnsi="Calibri"/>
                <w:color w:val="2A1A20"/>
                <w:sz w:val="20"/>
                <w:szCs w:val="20"/>
              </w:rPr>
              <w:t xml:space="preserve">•  Mesurer la dépendance : exclusivité possible sur la France, solution de repli (autres fournisseurs, piste au Brésil).</w:t>
            </w:r>
          </w:p>
          <w:p>
            <w:pPr>
              <w:spacing w:after="70" w:line="280"/>
            </w:pPr>
            <w:r>
              <w:rPr>
                <w:rFonts w:ascii="Calibri" w:cs="Calibri" w:eastAsia="Calibri" w:hAnsi="Calibri"/>
                <w:color w:val="2A1A20"/>
                <w:sz w:val="20"/>
                <w:szCs w:val="20"/>
              </w:rPr>
              <w:t xml:space="preserve">•  Identifier les autres fonctions à déléguer : logistique, service client, communication via les créatrices.</w:t>
            </w:r>
          </w:p>
        </w:tc>
      </w:tr>
    </w:tbl>
    <w:p>
      <w:pPr>
        <w:spacing w:after="120"/>
      </w:pPr>
    </w:p>
    <w:p>
      <w:pPr>
        <w:keepNext/>
        <w:spacing w:after="40" w:before="200"/>
      </w:pPr>
      <w:r>
        <w:rPr>
          <w:rFonts w:ascii="Calibri" w:cs="Calibri" w:eastAsia="Calibri" w:hAnsi="Calibri"/>
          <w:b/>
          <w:bCs/>
          <w:color w:val="C8475A"/>
          <w:spacing w:val="20"/>
          <w:sz w:val="18"/>
          <w:szCs w:val="18"/>
        </w:rPr>
        <w:t xml:space="preserve">2. Question 20</w:t>
      </w:r>
    </w:p>
    <w:p>
      <w:pPr>
        <w:keepNext/>
        <w:spacing w:after="100"/>
      </w:pPr>
      <w:r>
        <w:rPr>
          <w:rFonts w:ascii="Cambria" w:cs="Cambria" w:eastAsia="Cambria" w:hAnsi="Cambria"/>
          <w:color w:val="2A1A20"/>
          <w:sz w:val="26"/>
          <w:szCs w:val="26"/>
        </w:rPr>
        <w:t xml:space="preserve">BFR négatif : encaisser avant de payer</w:t>
      </w:r>
    </w:p>
    <w:p>
      <w:pPr>
        <w:keepNext/>
        <w:spacing w:after="100" w:line="288"/>
        <w:jc w:val="both"/>
      </w:pPr>
      <w:r>
        <w:rPr>
          <w:rFonts w:ascii="Calibri" w:cs="Calibri" w:eastAsia="Calibri" w:hAnsi="Calibri"/>
          <w:b/>
          <w:bCs/>
          <w:color w:val="2A1A20"/>
          <w:sz w:val="21"/>
          <w:szCs w:val="21"/>
        </w:rPr>
        <w:t xml:space="preserve">Pourquoi c'est essentiel.</w:t>
      </w:r>
      <w:r>
        <w:rPr>
          <w:rFonts w:ascii="Calibri" w:cs="Calibri" w:eastAsia="Calibri" w:hAnsi="Calibri"/>
          <w:color w:val="2A1A20"/>
          <w:sz w:val="21"/>
          <w:szCs w:val="21"/>
        </w:rPr>
        <w:t xml:space="preserve"> Les quantités minimum de commande du fabricant imposeront un stock important dès le départ. Encaisser avant de payer permet de lancer le projet avec peu de capitaux, tout en vérifiant que la demande existe.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Pistes à approfondir</w:t>
            </w:r>
          </w:p>
          <w:p>
            <w:pPr>
              <w:spacing w:after="70" w:line="280"/>
            </w:pPr>
            <w:r>
              <w:rPr>
                <w:rFonts w:ascii="Calibri" w:cs="Calibri" w:eastAsia="Calibri" w:hAnsi="Calibri"/>
                <w:color w:val="2A1A20"/>
                <w:sz w:val="20"/>
                <w:szCs w:val="20"/>
              </w:rPr>
              <w:t xml:space="preserve">•  Précommandes et campagne de crowdfunding avant la première production (lien avec la question 22).</w:t>
            </w:r>
          </w:p>
          <w:p>
            <w:pPr>
              <w:spacing w:after="70" w:line="280"/>
            </w:pPr>
            <w:r>
              <w:rPr>
                <w:rFonts w:ascii="Calibri" w:cs="Calibri" w:eastAsia="Calibri" w:hAnsi="Calibri"/>
                <w:color w:val="2A1A20"/>
                <w:sz w:val="20"/>
                <w:szCs w:val="20"/>
              </w:rPr>
              <w:t xml:space="preserve">•  Abonnement payé d'avance, par cycle ou par trimestre.</w:t>
            </w:r>
          </w:p>
          <w:p>
            <w:pPr>
              <w:spacing w:after="70" w:line="280"/>
            </w:pPr>
            <w:r>
              <w:rPr>
                <w:rFonts w:ascii="Calibri" w:cs="Calibri" w:eastAsia="Calibri" w:hAnsi="Calibri"/>
                <w:color w:val="2A1A20"/>
                <w:sz w:val="20"/>
                <w:szCs w:val="20"/>
              </w:rPr>
              <w:t xml:space="preserve">•  Délais de paiement à négocier avec le fournisseur.</w:t>
            </w:r>
          </w:p>
        </w:tc>
      </w:tr>
    </w:tbl>
    <w:p>
      <w:pPr>
        <w:spacing w:after="120"/>
      </w:pPr>
    </w:p>
    <w:p>
      <w:pPr>
        <w:keepNext/>
        <w:spacing w:after="40" w:before="200"/>
      </w:pPr>
      <w:r>
        <w:rPr>
          <w:rFonts w:ascii="Calibri" w:cs="Calibri" w:eastAsia="Calibri" w:hAnsi="Calibri"/>
          <w:b/>
          <w:bCs/>
          <w:color w:val="C8475A"/>
          <w:spacing w:val="20"/>
          <w:sz w:val="18"/>
          <w:szCs w:val="18"/>
        </w:rPr>
        <w:t xml:space="preserve">3. Question 24</w:t>
      </w:r>
    </w:p>
    <w:p>
      <w:pPr>
        <w:keepNext/>
        <w:spacing w:after="100"/>
      </w:pPr>
      <w:r>
        <w:rPr>
          <w:rFonts w:ascii="Cambria" w:cs="Cambria" w:eastAsia="Cambria" w:hAnsi="Cambria"/>
          <w:color w:val="2A1A20"/>
          <w:sz w:val="26"/>
          <w:szCs w:val="26"/>
        </w:rPr>
        <w:t xml:space="preserve">Fidélisation</w:t>
      </w:r>
    </w:p>
    <w:p>
      <w:pPr>
        <w:keepNext/>
        <w:spacing w:after="100" w:line="288"/>
        <w:jc w:val="both"/>
      </w:pPr>
      <w:r>
        <w:rPr>
          <w:rFonts w:ascii="Calibri" w:cs="Calibri" w:eastAsia="Calibri" w:hAnsi="Calibri"/>
          <w:b/>
          <w:bCs/>
          <w:color w:val="2A1A20"/>
          <w:sz w:val="21"/>
          <w:szCs w:val="21"/>
        </w:rPr>
        <w:t xml:space="preserve">Pourquoi c'est essentiel.</w:t>
      </w:r>
      <w:r>
        <w:rPr>
          <w:rFonts w:ascii="Calibri" w:cs="Calibri" w:eastAsia="Calibri" w:hAnsi="Calibri"/>
          <w:color w:val="2A1A20"/>
          <w:sz w:val="21"/>
          <w:szCs w:val="21"/>
        </w:rPr>
        <w:t xml:space="preserve"> Une paille représente un petit panier : la rentabilité vient des clientes qui reviennent à chaque cycle. C'est là que le rituel prend tout son sens (lien avec la question 12).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BEFF1"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Pistes à approfondir</w:t>
            </w:r>
          </w:p>
          <w:p>
            <w:pPr>
              <w:spacing w:after="70" w:line="280"/>
            </w:pPr>
            <w:r>
              <w:rPr>
                <w:rFonts w:ascii="Calibri" w:cs="Calibri" w:eastAsia="Calibri" w:hAnsi="Calibri"/>
                <w:color w:val="2A1A20"/>
                <w:sz w:val="20"/>
                <w:szCs w:val="20"/>
              </w:rPr>
              <w:t xml:space="preserve">•  Faire du rituel une habitude : rappels, carte du cycle, communauté.</w:t>
            </w:r>
          </w:p>
          <w:p>
            <w:pPr>
              <w:spacing w:after="70" w:line="280"/>
            </w:pPr>
            <w:r>
              <w:rPr>
                <w:rFonts w:ascii="Calibri" w:cs="Calibri" w:eastAsia="Calibri" w:hAnsi="Calibri"/>
                <w:color w:val="2A1A20"/>
                <w:sz w:val="20"/>
                <w:szCs w:val="20"/>
              </w:rPr>
              <w:t xml:space="preserve">•  Fixer un objectif de réachat : au moins 40 % au deuxième cycle (hypothèse H3).</w:t>
            </w:r>
          </w:p>
          <w:p>
            <w:pPr>
              <w:spacing w:after="70" w:line="280"/>
            </w:pPr>
            <w:r>
              <w:rPr>
                <w:rFonts w:ascii="Calibri" w:cs="Calibri" w:eastAsia="Calibri" w:hAnsi="Calibri"/>
                <w:color w:val="2A1A20"/>
                <w:sz w:val="20"/>
                <w:szCs w:val="20"/>
              </w:rPr>
              <w:t xml:space="preserve">•  Limiter les désabonnements : pause en un clic, attention au 3e cycle, parrainage.</w:t>
            </w:r>
          </w:p>
        </w:tc>
      </w:tr>
    </w:tbl>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8475A" w:sz="24"/>
              <w:bottom w:val="none" w:color="FFFFFF" w:sz="0"/>
              <w:right w:val="none" w:color="FFFFFF" w:sz="0"/>
            </w:tcBorders>
            <w:shd w:fill="F3EFEC" w:color="auto" w:val="clear"/>
            <w:tcMar>
              <w:top w:type="dxa" w:w="140"/>
              <w:left w:type="dxa" w:w="220"/>
              <w:bottom w:type="dxa" w:w="140"/>
              <w:right w:type="dxa" w:w="220"/>
            </w:tcMar>
          </w:tcPr>
          <w:p>
            <w:pPr>
              <w:spacing w:after="80"/>
            </w:pPr>
            <w:r>
              <w:rPr>
                <w:rFonts w:ascii="Calibri" w:cs="Calibri" w:eastAsia="Calibri" w:hAnsi="Calibri"/>
                <w:b/>
                <w:bCs/>
                <w:color w:val="C8475A"/>
                <w:sz w:val="20"/>
                <w:szCs w:val="20"/>
              </w:rPr>
              <w:t xml:space="preserve">En résumé</w:t>
            </w:r>
          </w:p>
          <w:p>
            <w:pPr>
              <w:spacing w:after="70" w:line="280"/>
            </w:pPr>
            <w:r>
              <w:rPr>
                <w:rFonts w:ascii="Calibri" w:cs="Calibri" w:eastAsia="Calibri" w:hAnsi="Calibri"/>
                <w:color w:val="2A1A20"/>
                <w:sz w:val="20"/>
                <w:szCs w:val="20"/>
              </w:rPr>
              <w:t xml:space="preserve">Ces trois questions couvrent </w:t>
            </w:r>
            <w:r>
              <w:rPr>
                <w:rFonts w:ascii="Calibri" w:cs="Calibri" w:eastAsia="Calibri" w:hAnsi="Calibri"/>
                <w:b/>
                <w:bCs/>
                <w:color w:val="2A1A20"/>
                <w:sz w:val="20"/>
                <w:szCs w:val="20"/>
              </w:rPr>
              <w:t xml:space="preserve">comment je produis</w:t>
            </w:r>
            <w:r>
              <w:rPr>
                <w:rFonts w:ascii="Calibri" w:cs="Calibri" w:eastAsia="Calibri" w:hAnsi="Calibri"/>
                <w:color w:val="2A1A20"/>
                <w:sz w:val="20"/>
                <w:szCs w:val="20"/>
              </w:rPr>
              <w:t xml:space="preserve"> (7), </w:t>
            </w:r>
            <w:r>
              <w:rPr>
                <w:rFonts w:ascii="Calibri" w:cs="Calibri" w:eastAsia="Calibri" w:hAnsi="Calibri"/>
                <w:b/>
                <w:bCs/>
                <w:color w:val="2A1A20"/>
                <w:sz w:val="20"/>
                <w:szCs w:val="20"/>
              </w:rPr>
              <w:t xml:space="preserve">comment je finance le lancement</w:t>
            </w:r>
            <w:r>
              <w:rPr>
                <w:rFonts w:ascii="Calibri" w:cs="Calibri" w:eastAsia="Calibri" w:hAnsi="Calibri"/>
                <w:color w:val="2A1A20"/>
                <w:sz w:val="20"/>
                <w:szCs w:val="20"/>
              </w:rPr>
              <w:t xml:space="preserve"> (20) et </w:t>
            </w:r>
            <w:r>
              <w:rPr>
                <w:rFonts w:ascii="Calibri" w:cs="Calibri" w:eastAsia="Calibri" w:hAnsi="Calibri"/>
                <w:b/>
                <w:bCs/>
                <w:color w:val="2A1A20"/>
                <w:sz w:val="20"/>
                <w:szCs w:val="20"/>
              </w:rPr>
              <w:t xml:space="preserve">comment je deviens rentable</w:t>
            </w:r>
            <w:r>
              <w:rPr>
                <w:rFonts w:ascii="Calibri" w:cs="Calibri" w:eastAsia="Calibri" w:hAnsi="Calibri"/>
                <w:color w:val="2A1A20"/>
                <w:sz w:val="20"/>
                <w:szCs w:val="20"/>
              </w:rPr>
              <w:t xml:space="preserve"> (24).</w:t>
            </w:r>
          </w:p>
        </w:tc>
      </w:tr>
    </w:tbl>
    <w:p>
      <w:pPr>
        <w:spacing w:after="12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E5F65"/>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E5F65"/>
        <w:sz w:val="16"/>
        <w:szCs w:val="16"/>
      </w:rPr>
      <w:t xml:space="preserve">sip lab · Business model · Nisrine Margoum · M2 Entrepreneuriat &amp; Innovation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A1A2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mbria" w:cs="Cambria" w:eastAsia="Cambria" w:hAnsi="Cambria"/>
      <w:color w:val="2A1A20"/>
      <w:sz w:val="34"/>
      <w:szCs w:val="34"/>
    </w:rPr>
  </w:style>
  <w:style w:type="paragraph" w:styleId="Heading2">
    <w:name w:val="Heading 2"/>
    <w:basedOn w:val="Normal"/>
    <w:next w:val="Normal"/>
    <w:qFormat/>
    <w:pPr>
      <w:outlineLvl w:val="1"/>
    </w:pPr>
    <w:rPr>
      <w:rFonts w:ascii="Cambria" w:cs="Cambria" w:eastAsia="Cambria" w:hAnsi="Cambria"/>
      <w:color w:val="C8475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2049bf72770973eccceaf5554c975b974cce36c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business model : sip lab</dc:title>
  <dc:creator>Nisrine Margoum</dc:creator>
  <cp:lastModifiedBy>Un-named</cp:lastModifiedBy>
  <cp:revision>1</cp:revision>
  <dcterms:created xsi:type="dcterms:W3CDTF">2026-10-13T11:42:55.884Z</dcterms:created>
  <dcterms:modified xsi:type="dcterms:W3CDTF">2026-10-13T11:42:55.884Z</dcterms:modified>
</cp:coreProperties>
</file>

<file path=docProps/custom.xml><?xml version="1.0" encoding="utf-8"?>
<Properties xmlns="http://schemas.openxmlformats.org/officeDocument/2006/custom-properties" xmlns:vt="http://schemas.openxmlformats.org/officeDocument/2006/docPropsVTypes"/>
</file>