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Doser précisément, sans mesurer (1 paille = 1 dose)</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de 7 pailles en sachets individuels datés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313"/>
        <w:gridCol w:w="1157"/>
        <w:gridCol w:w="1060"/>
        <w:gridCol w:w="1253"/>
        <w:gridCol w:w="1831"/>
        <w:gridCol w:w="867"/>
      </w:tblGrid>
      <w:tr>
        <w:trPr>
          <w:tblHeader/>
        </w:trPr>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106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(5,95/10)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 (7,70/10)</w:t>
            </w:r>
          </w:p>
        </w:tc>
      </w:tr>
      <w:tr>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106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(7,30/10)</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(6,30/10)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(4,85/10)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(3,00/10)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(2,70/10)</w:t>
            </w:r>
          </w:p>
        </w:tc>
      </w:tr>
    </w:tbl>
    <w:p>
      <w:pPr>
        <w:spacing w:after="80"/>
      </w:pPr>
    </w:p>
    <w:p>
      <w:pPr>
        <w:pStyle w:val="Heading2"/>
        <w:spacing w:after="100" w:before="240"/>
      </w:pPr>
      <w:r>
        <w:rPr>
          <w:rFonts w:ascii="Cambria" w:cs="Cambria" w:eastAsia="Cambria" w:hAnsi="Cambria"/>
          <w:color w:val="C8475A"/>
          <w:sz w:val="25"/>
          <w:szCs w:val="25"/>
        </w:rPr>
        <w:t xml:space="preserve">Notation pondérée (notes sur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964"/>
        <w:gridCol w:w="1205"/>
        <w:gridCol w:w="1205"/>
        <w:gridCol w:w="1205"/>
        <w:gridCol w:w="1204"/>
      </w:tblGrid>
      <w:tr>
        <w:trPr>
          <w:tblHeader/>
        </w:trPr>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Critère</w:t>
            </w:r>
          </w:p>
        </w:tc>
        <w:tc>
          <w:tcPr>
            <w:tcW w:type="dxa" w:w="96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Poids</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active</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luna</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mini</w:t>
            </w:r>
          </w:p>
        </w:tc>
        <w:tc>
          <w:tcPr>
            <w:tcW w:type="dxa" w:w="120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silver</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Attractivité du DAS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Taille du marché</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Croissance de la demande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Intensité concurrentielle (10 = faible)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Barrières réglementaires et sécurité (10 = faibles)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d'attractivité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5,95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4,85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5,85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Atouts du projet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Compétences (actifs, allégations, marketing digital)</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Accès au canal sans prescripteur</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Crédibilité / légitimité auprès de la cible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Adéquation avec les ressources de départ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d'atouts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7,70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6,30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3,00</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2,70</w:t>
            </w:r>
          </w:p>
        </w:tc>
      </w:tr>
    </w:tbl>
    <w:p>
      <w:pPr>
        <w:spacing w:after="80"/>
      </w:pPr>
    </w:p>
    <w:p>
      <w:pPr>
        <w:spacing w:after="200" w:before="60"/>
        <w:jc w:val="center"/>
      </w:pPr>
      <w:r>
        <w:rPr>
          <w:rFonts w:ascii="Calibri" w:cs="Calibri" w:eastAsia="Calibri" w:hAnsi="Calibri"/>
          <w:i/>
          <w:iCs/>
          <w:color w:val="6E5F65"/>
          <w:sz w:val="17"/>
          <w:szCs w:val="17"/>
        </w:rPr>
        <w:t xml:space="preserve">Note = somme des (note × poids). Lecture : 0 à 3,3 faible ; 3,3 à 6,7 moyenne ; 6,7 à 10 forte. Notes estimées à partir des données de marché citées et de mon diagnostic interne.</w:t>
      </w: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6 : Entonnoir de test et objectifs de conversion" title="Figure 6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7f0c8b60634b76f88bf3a9817453dbe274063.png"/><Relationship Id="rId10" Type="http://schemas.openxmlformats.org/officeDocument/2006/relationships/image" Target="media/7a7e1cc2792f7929688d38b86541ff0f52a76251.png"/><Relationship Id="rId11" Type="http://schemas.openxmlformats.org/officeDocument/2006/relationships/image" Target="media/b5cbb0c9a1ee3c4024f83ff0488695a4368011d8.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f2d88a56a0e2cc8f4b039d4d68afed2c299457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2026-10-13T08:44:28.884Z</dcterms:created>
  <dcterms:modified xsi:type="dcterms:W3CDTF">2026-10-13T08:44:28.884Z</dcterms:modified>
</cp:coreProperties>
</file>

<file path=docProps/custom.xml><?xml version="1.0" encoding="utf-8"?>
<Properties xmlns="http://schemas.openxmlformats.org/officeDocument/2006/custom-properties" xmlns:vt="http://schemas.openxmlformats.org/officeDocument/2006/docPropsVTypes"/>
</file>