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drawing>
          <wp:inline distT="0" distB="0" distL="0" distR="0">
            <wp:extent cx="1428750" cy="58102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581025"/>
                    </a:xfrm>
                    <a:prstGeom prst="rect">
                      <a:avLst/>
                    </a:prstGeom>
                  </pic:spPr>
                </pic:pic>
              </a:graphicData>
            </a:graphic>
          </wp:inline>
        </w:drawing>
      </w:r>
    </w:p>
    <w:p>
      <w:pPr>
        <w:spacing w:after="60"/>
      </w:pPr>
      <w:r>
        <w:rPr>
          <w:rFonts w:ascii="Calibri" w:cs="Calibri" w:eastAsia="Calibri" w:hAnsi="Calibri"/>
          <w:b/>
          <w:bCs/>
          <w:color w:val="C8475A"/>
          <w:spacing w:val="40"/>
          <w:sz w:val="18"/>
          <w:szCs w:val="18"/>
        </w:rPr>
        <w:t xml:space="preserve">BUSINESS MODEL</w:t>
      </w:r>
    </w:p>
    <w:p>
      <w:pPr>
        <w:pStyle w:val="Heading1"/>
        <w:spacing w:after="160"/>
      </w:pPr>
      <w:r>
        <w:rPr>
          <w:rFonts w:ascii="Cambria" w:cs="Cambria" w:eastAsia="Cambria" w:hAnsi="Cambria"/>
          <w:color w:val="2A1A20"/>
          <w:sz w:val="34"/>
          <w:szCs w:val="34"/>
        </w:rPr>
        <w:t xml:space="preserve">Questions et challenges pour le business model de sip lab</w:t>
      </w:r>
    </w:p>
    <w:p>
      <w:pPr>
        <w:spacing w:after="120" w:line="288"/>
        <w:jc w:val="both"/>
      </w:pPr>
      <w:r>
        <w:rPr>
          <w:rFonts w:ascii="Calibri" w:cs="Calibri" w:eastAsia="Calibri" w:hAnsi="Calibri"/>
          <w:color w:val="2A1A20"/>
          <w:sz w:val="21"/>
          <w:szCs w:val="21"/>
        </w:rPr>
        <w:t xml:space="preserve">Chacune des questions a été évaluée selon son importance pour le projet sip lab : une marque de pailles actives (compléments alimentaires à boire) pensée pour toute la famille, en </w:t>
      </w:r>
      <w:r>
        <w:rPr>
          <w:rFonts w:ascii="Calibri" w:cs="Calibri" w:eastAsia="Calibri" w:hAnsi="Calibri"/>
          <w:b/>
          <w:bCs/>
          <w:color w:val="2A1A20"/>
          <w:sz w:val="21"/>
          <w:szCs w:val="21"/>
        </w:rPr>
        <w:t xml:space="preserve">4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de 4 à 11 ans),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Le modèle repose sur la vente en ligne par abonnement et sur une fabrication sous-traitée à un partenaire technologique (Unistraw ou un autre fournisseur). Le lancement commencera par une gamme, luna, puis s'étendra aux trois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096"/>
      </w:tblGrid>
      <w:tr>
        <w:tc>
          <w:tcPr>
            <w:tcW w:type="dxa" w:w="1542"/>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1E7A45"/>
                <w:sz w:val="18"/>
                <w:szCs w:val="18"/>
              </w:rPr>
              <w:t xml:space="preserve">Vert</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essentielle à se poser pour le projet.</w:t>
            </w:r>
          </w:p>
        </w:tc>
      </w:tr>
      <w:tr>
        <w:tc>
          <w:tcPr>
            <w:tcW w:type="dxa" w:w="1542"/>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A85A0C"/>
                <w:sz w:val="18"/>
                <w:szCs w:val="18"/>
              </w:rPr>
              <w:t xml:space="preserve">Orange</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intéressante, mais secondaire ou à traiter plus tard.</w:t>
            </w:r>
          </w:p>
        </w:tc>
      </w:tr>
      <w:tr>
        <w:tc>
          <w:tcPr>
            <w:tcW w:type="dxa" w:w="1542"/>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B3261E"/>
                <w:sz w:val="18"/>
                <w:szCs w:val="18"/>
              </w:rPr>
              <w:t xml:space="preserve">Rouge</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peu pertinente pour le projet.</w:t>
            </w:r>
          </w:p>
        </w:tc>
      </w:tr>
    </w:tbl>
    <w:p>
      <w:pPr>
        <w:spacing w:after="80"/>
      </w:pPr>
    </w:p>
    <w:p>
      <w:pPr>
        <w:pStyle w:val="Heading2"/>
        <w:spacing w:after="100" w:before="240"/>
      </w:pPr>
      <w:r>
        <w:rPr>
          <w:rFonts w:ascii="Cambria" w:cs="Cambria" w:eastAsia="Cambria" w:hAnsi="Cambria"/>
          <w:color w:val="C8475A"/>
          <w:sz w:val="25"/>
          <w:szCs w:val="25"/>
        </w:rPr>
        <w:t xml:space="preserve">Évaluation des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855"/>
        <w:gridCol w:w="1157"/>
        <w:gridCol w:w="4048"/>
      </w:tblGrid>
      <w:tr>
        <w:trPr>
          <w:tblHeader/>
        </w:trPr>
        <w:tc>
          <w:tcPr>
            <w:tcW w:type="dxa" w:w="57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FFFFFF"/>
                <w:sz w:val="17"/>
                <w:szCs w:val="17"/>
              </w:rPr>
              <w:t xml:space="preserve">N°</w:t>
            </w:r>
          </w:p>
        </w:tc>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Question</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FFFFFF"/>
                <w:sz w:val="17"/>
                <w:szCs w:val="17"/>
              </w:rPr>
              <w:t xml:space="preserve">Importance</w:t>
            </w:r>
          </w:p>
        </w:tc>
        <w:tc>
          <w:tcPr>
            <w:tcW w:type="dxa" w:w="404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Justification pour sip lab</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un partenaire clé peut compléter votre offre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fabricant apporte la technologie ; un comité santé (pédiatre, sage-femme, gériatre) la crédibilité sur chaque gamme ; créatrices et pharmacies la visibilité.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pouvez-vous rendre gratuit le service pour les clients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produit reste payant ; le contenu autour peut être gratuit : tableau de stickers mini, carte du cycle luna, conseils pour chaque âge.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utiliser les réseaux sociaux pour que vos clients parlent de votre offre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Canal clé pour les parents, les femmes actives et les femmes de 20 à 35 ans, qui achètent aussi pour leurs parents âgés. #mysiplabroutine.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pouvez-vous alléger vos frais de structure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Déjà prévu : fabrication sous-traitée, vente en ligne, un même format de paille et d'étui pour les 4 gammes.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5</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facilitez-vous la vie de vos clients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C'est la promesse : rien à avaler, de 4 à 104 ans, une paille par jour dans la boisson habituelle.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le mobile peut vous aider à proposer un nouveau service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application de rappels et de suivi pour toute la famille (enfants, cycle, parents âgés) : après le lancement.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Quelle partie de votre business model pouvez-vous faire faire par les autres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Cœur du modèle : 16 formules fabriquées par un partenaire (CDMO), logistique, communication par les créatrices, pharmacies pour silver.</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gains créez-vous pour ceux qui font le travail à votre place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Pour le fabricant, une marque en 4 gammes et un accès au marché français ; pour les créatrices et pharmacies, une commission ou une marge.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gains créez-vous pour vos clients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Pour chaque âge : un geste ludique (mini), une routine simple (active), un suivi du cycle (luna), une prise facilitée et une meilleure hydratation (silver).</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 produit de votre entreprise pouvez-vous transformer en service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L'abonnement par gamme, ou une box famille qui regroupe plusieurs gammes, livrée chaque mois.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problèmes du client soulagez-vous avec ce produit ou service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Les enfants refusent sirops et gélules, les seniors avalent difficilement, les femmes oublient leurs compléments.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Quelle expérience client mémorable pouvez-vous faire vivre aux utilisateurs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 rituel adapté à chaque âge : stickers pour les enfants, journée en 4 moments, roue du cycle, compteur d'eau pour les seniors.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Pouvez-vous proposer une offre low-cost (au moins 50 % moins chère que la concurrence) ?</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Positionnement premium et innovant ; le coût par paille sera élevé.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Votre marge est-elle suffisante pour baisser le prix et créer un avantage compétitif ?</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 marge est critique, mais pas pour mener une guerre des prix.</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Options supplémentaires facturées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Box famille, coffret découverte des 4 gammes, coffret cadeau : revenus complémentaires.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Affiliation</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Codes des créatrices pour chaque univers (parentalité, sport, santé féminine) : le levier d'acquisition.</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Aïkido : transformer les forces de vos adversaires en faiblesses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Déjà dans le positionnement : les gélules sont partout, mais on les oublie et elles s'avalent mal, surtout chez les enfants et les seniors.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Enchères pour augmenter vos prix</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Ne s'applique pas à un complément alimentaire.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BFR négatif : encaisser avant de payer</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Modèle mixte : produire après encaissement pour les précommandes et les cures en abonnement, et garder un stock pour les pharmacies et les ventes classiques sur le site.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Ventes croisées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Tout l'intérêt des 4 gammes : une cliente luna achète mini pour ses enfants, silver pour ses parents, active pour elle.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Crowdfunding</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campagne présentant les 4 gammes sert de test (quelle gamme attire le plus ?), de financement et de précommandes.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Crowdsourcing : déporter le travail aux clients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Faire voter la communauté sur les saveurs ou la prochaine gamme à lancer : bon pour l'engagement.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Fidélisation</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 rentabilité repose sur le réachat chaque mois, dans chaque gamme, et sur le passage d'une gamme à l'autre.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25</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Digitalisation de votre offre</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L'offre est déjà en ligne ; contenus et application à développer ensuite.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Vente directe : court-circuiter les intermédiaires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Vente en ligne directe pour toutes les gammes au lancement ; la pharmacie viendra ensuite, surtout pour silver et mini.</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E-commerce et marketplaces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site d'abord ; marketplaces de parapharmacie plus tard.</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Expérience clients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même marque, mais un univers par âge : packaging, conseils et suivi comptent autant que le produit.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Prix fixe, consommation illimitée</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Impossible avec un complément : la dose est limitée, c'est une question de sécurité.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30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Propriété à temps partagé</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Ne s'applique pas à un produit consommable.</w:t>
            </w:r>
          </w:p>
        </w:tc>
      </w:tr>
    </w:tbl>
    <w:p>
      <w:pPr>
        <w:spacing w:after="160" w:before="60"/>
      </w:pPr>
      <w:r>
        <w:rPr>
          <w:rFonts w:ascii="Calibri" w:cs="Calibri" w:eastAsia="Calibri" w:hAnsi="Calibri"/>
          <w:i/>
          <w:iCs/>
          <w:color w:val="6E5F65"/>
          <w:sz w:val="16"/>
          <w:szCs w:val="16"/>
        </w:rPr>
        <w:t xml:space="preserve">La question 15 ne figure pas dans la grille fournie.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Bilan</w:t>
            </w:r>
          </w:p>
          <w:p>
            <w:pPr>
              <w:spacing w:after="70" w:line="280"/>
            </w:pPr>
            <w:r>
              <w:rPr>
                <w:rFonts w:ascii="Calibri" w:cs="Calibri" w:eastAsia="Calibri" w:hAnsi="Calibri"/>
                <w:b/>
                <w:bCs/>
                <w:color w:val="2A1A20"/>
                <w:sz w:val="20"/>
                <w:szCs w:val="20"/>
              </w:rPr>
              <w:t xml:space="preserve">15 questions vertes</w:t>
            </w:r>
            <w:r>
              <w:rPr>
                <w:rFonts w:ascii="Calibri" w:cs="Calibri" w:eastAsia="Calibri" w:hAnsi="Calibri"/>
                <w:color w:val="2A1A20"/>
                <w:sz w:val="20"/>
                <w:szCs w:val="20"/>
              </w:rPr>
              <w:t xml:space="preserve">, 9 orange et 5 rouges. Les questions essentielles portent sur trois sujets : les partenaires (fabricant, comité santé, créatrices), le financement du stock et du lancement (précommandes, abonnements, crowdfunding) et la relation avec toute la famille (rituel, abonnement, ventes croisées entre les gammes).</w:t>
            </w:r>
          </w:p>
        </w:tc>
      </w:tr>
    </w:tbl>
    <w:p>
      <w:pPr>
        <w:spacing w:after="120"/>
      </w:pPr>
    </w:p>
    <w:p>
      <w:pPr>
        <w:keepNext/>
        <w:spacing w:after="60"/>
      </w:pPr>
      <w:r>
        <w:rPr>
          <w:rFonts w:ascii="Calibri" w:cs="Calibri" w:eastAsia="Calibri" w:hAnsi="Calibri"/>
          <w:b/>
          <w:bCs/>
          <w:color w:val="C8475A"/>
          <w:spacing w:val="40"/>
          <w:sz w:val="18"/>
          <w:szCs w:val="18"/>
        </w:rPr>
        <w:t xml:space="preserve">À APPROFONDIR</w:t>
      </w:r>
    </w:p>
    <w:p>
      <w:pPr>
        <w:pStyle w:val="Heading1"/>
        <w:spacing w:after="160"/>
      </w:pPr>
      <w:r>
        <w:rPr>
          <w:rFonts w:ascii="Cambria" w:cs="Cambria" w:eastAsia="Cambria" w:hAnsi="Cambria"/>
          <w:color w:val="2A1A20"/>
          <w:sz w:val="34"/>
          <w:szCs w:val="34"/>
        </w:rPr>
        <w:t xml:space="preserve">Les trois questions essentielles</w:t>
      </w:r>
    </w:p>
    <w:p>
      <w:pPr>
        <w:spacing w:after="120" w:line="288"/>
        <w:jc w:val="both"/>
      </w:pPr>
      <w:r>
        <w:rPr>
          <w:rFonts w:ascii="Calibri" w:cs="Calibri" w:eastAsia="Calibri" w:hAnsi="Calibri"/>
          <w:color w:val="2A1A20"/>
          <w:sz w:val="21"/>
          <w:szCs w:val="21"/>
        </w:rPr>
        <w:t xml:space="preserve">Parmi les questions vertes, trois sont particulièrement structurantes pour une marque en 4 gammes : elles répondent à la manière de </w:t>
      </w:r>
      <w:r>
        <w:rPr>
          <w:rFonts w:ascii="Calibri" w:cs="Calibri" w:eastAsia="Calibri" w:hAnsi="Calibri"/>
          <w:b/>
          <w:bCs/>
          <w:color w:val="2A1A20"/>
          <w:sz w:val="21"/>
          <w:szCs w:val="21"/>
        </w:rPr>
        <w:t xml:space="preserve">produire</w:t>
      </w:r>
      <w:r>
        <w:rPr>
          <w:rFonts w:ascii="Calibri" w:cs="Calibri" w:eastAsia="Calibri" w:hAnsi="Calibri"/>
          <w:color w:val="2A1A20"/>
          <w:sz w:val="21"/>
          <w:szCs w:val="21"/>
        </w:rPr>
        <w:t xml:space="preserve">, de </w:t>
      </w:r>
      <w:r>
        <w:rPr>
          <w:rFonts w:ascii="Calibri" w:cs="Calibri" w:eastAsia="Calibri" w:hAnsi="Calibri"/>
          <w:b/>
          <w:bCs/>
          <w:color w:val="2A1A20"/>
          <w:sz w:val="21"/>
          <w:szCs w:val="21"/>
        </w:rPr>
        <w:t xml:space="preserve">financer le stock et le lancement</w:t>
      </w:r>
      <w:r>
        <w:rPr>
          <w:rFonts w:ascii="Calibri" w:cs="Calibri" w:eastAsia="Calibri" w:hAnsi="Calibri"/>
          <w:color w:val="2A1A20"/>
          <w:sz w:val="21"/>
          <w:szCs w:val="21"/>
        </w:rPr>
        <w:t xml:space="preserve"> et de </w:t>
      </w:r>
      <w:r>
        <w:rPr>
          <w:rFonts w:ascii="Calibri" w:cs="Calibri" w:eastAsia="Calibri" w:hAnsi="Calibri"/>
          <w:b/>
          <w:bCs/>
          <w:color w:val="2A1A20"/>
          <w:sz w:val="21"/>
          <w:szCs w:val="21"/>
        </w:rPr>
        <w:t xml:space="preserve">faire grandir la marque</w:t>
      </w:r>
      <w:r>
        <w:rPr>
          <w:rFonts w:ascii="Calibri" w:cs="Calibri" w:eastAsia="Calibri" w:hAnsi="Calibri"/>
          <w:color w:val="2A1A20"/>
          <w:sz w:val="21"/>
          <w:szCs w:val="21"/>
        </w:rPr>
        <w:t xml:space="preserve"> avec toute la famille.</w:t>
      </w:r>
    </w:p>
    <w:p>
      <w:pPr>
        <w:keepNext/>
        <w:spacing w:after="40" w:before="200"/>
      </w:pPr>
      <w:r>
        <w:rPr>
          <w:rFonts w:ascii="Calibri" w:cs="Calibri" w:eastAsia="Calibri" w:hAnsi="Calibri"/>
          <w:b/>
          <w:bCs/>
          <w:color w:val="C8475A"/>
          <w:spacing w:val="20"/>
          <w:sz w:val="18"/>
          <w:szCs w:val="18"/>
        </w:rPr>
        <w:t xml:space="preserve">1. Question 7</w:t>
      </w:r>
    </w:p>
    <w:p>
      <w:pPr>
        <w:keepNext/>
        <w:spacing w:after="100"/>
      </w:pPr>
      <w:r>
        <w:rPr>
          <w:rFonts w:ascii="Cambria" w:cs="Cambria" w:eastAsia="Cambria" w:hAnsi="Cambria"/>
          <w:color w:val="2A1A20"/>
          <w:sz w:val="26"/>
          <w:szCs w:val="26"/>
        </w:rPr>
        <w:t xml:space="preserve">Quelle partie de votre business model pouvez-vous faire faire par les autres ?</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C'est la question la plus structurante : sip lab ne fabrique pas elle-même. Les 4 gammes et leurs 16 formules dépendent d'un partenaire technologique (Unistraw ou un autre fournisseur), qui détient les brevets et le savoir-faire industriel.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Répartir les rôles avec le fabricant : pré-formulation, stabilité, production, packaging, pour chaque gamme.</w:t>
            </w:r>
          </w:p>
          <w:p>
            <w:pPr>
              <w:spacing w:after="70" w:line="280"/>
            </w:pPr>
            <w:r>
              <w:rPr>
                <w:rFonts w:ascii="Calibri" w:cs="Calibri" w:eastAsia="Calibri" w:hAnsi="Calibri"/>
                <w:color w:val="2A1A20"/>
                <w:sz w:val="20"/>
                <w:szCs w:val="20"/>
              </w:rPr>
              <w:t xml:space="preserve">•  Mutualiser : un même format de paille et d'étui pour les 4 gammes, seules les formules changent.</w:t>
            </w:r>
          </w:p>
          <w:p>
            <w:pPr>
              <w:spacing w:after="70" w:line="280"/>
            </w:pPr>
            <w:r>
              <w:rPr>
                <w:rFonts w:ascii="Calibri" w:cs="Calibri" w:eastAsia="Calibri" w:hAnsi="Calibri"/>
                <w:color w:val="2A1A20"/>
                <w:sz w:val="20"/>
                <w:szCs w:val="20"/>
              </w:rPr>
              <w:t xml:space="preserve">•  Mesurer la dépendance : exclusivité possible sur la France, solution de repli (autres fournisseurs, piste au Brésil).</w:t>
            </w:r>
          </w:p>
          <w:p>
            <w:pPr>
              <w:spacing w:after="70" w:line="280"/>
            </w:pPr>
            <w:r>
              <w:rPr>
                <w:rFonts w:ascii="Calibri" w:cs="Calibri" w:eastAsia="Calibri" w:hAnsi="Calibri"/>
                <w:color w:val="2A1A20"/>
                <w:sz w:val="20"/>
                <w:szCs w:val="20"/>
              </w:rPr>
              <w:t xml:space="preserve">•  Déléguer le reste : logistique, communication via les créatrices, distribution en pharmacie pour silver.</w:t>
            </w:r>
          </w:p>
        </w:tc>
      </w:tr>
    </w:tbl>
    <w:p>
      <w:pPr>
        <w:spacing w:after="120"/>
      </w:pPr>
    </w:p>
    <w:p>
      <w:pPr>
        <w:keepNext/>
        <w:spacing w:after="40" w:before="200"/>
      </w:pPr>
      <w:r>
        <w:rPr>
          <w:rFonts w:ascii="Calibri" w:cs="Calibri" w:eastAsia="Calibri" w:hAnsi="Calibri"/>
          <w:b/>
          <w:bCs/>
          <w:color w:val="C8475A"/>
          <w:spacing w:val="20"/>
          <w:sz w:val="18"/>
          <w:szCs w:val="18"/>
        </w:rPr>
        <w:t xml:space="preserve">2. Question 20</w:t>
      </w:r>
    </w:p>
    <w:p>
      <w:pPr>
        <w:keepNext/>
        <w:spacing w:after="100"/>
      </w:pPr>
      <w:r>
        <w:rPr>
          <w:rFonts w:ascii="Cambria" w:cs="Cambria" w:eastAsia="Cambria" w:hAnsi="Cambria"/>
          <w:color w:val="2A1A20"/>
          <w:sz w:val="26"/>
          <w:szCs w:val="26"/>
        </w:rPr>
        <w:t xml:space="preserve">BFR négatif : encaisser avant de payer</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Comme tout commerce de produits, sip lab devra avoir du stock avant de vendre. Mais une partie des ventes peut être encaissée avant d'être produite. L'idée est de jouer sur les deux modèles pour limiter l'argent immobilisé dans le stock.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Produire après encaissement : précommandes, crowdfunding et cures en abonnement payées d'avance. La production suit les commandes réelles.</w:t>
            </w:r>
          </w:p>
          <w:p>
            <w:pPr>
              <w:spacing w:after="70" w:line="280"/>
            </w:pPr>
            <w:r>
              <w:rPr>
                <w:rFonts w:ascii="Calibri" w:cs="Calibri" w:eastAsia="Calibri" w:hAnsi="Calibri"/>
                <w:color w:val="2A1A20"/>
                <w:sz w:val="20"/>
                <w:szCs w:val="20"/>
              </w:rPr>
              <w:t xml:space="preserve">•  Garder un stock pour le reste : les pharmacies et distributeurs, et les ventes classiques sur le site, ouvertes à tous.</w:t>
            </w:r>
          </w:p>
          <w:p>
            <w:pPr>
              <w:spacing w:after="70" w:line="280"/>
            </w:pPr>
            <w:r>
              <w:rPr>
                <w:rFonts w:ascii="Calibri" w:cs="Calibri" w:eastAsia="Calibri" w:hAnsi="Calibri"/>
                <w:color w:val="2A1A20"/>
                <w:sz w:val="20"/>
                <w:szCs w:val="20"/>
              </w:rPr>
              <w:t xml:space="preserve">•  Équilibrer les deux : plus la part d'abonnements et de précommandes est grande, plus le stock à financer est faible. Négocier aussi des délais de paiement avec le fournisseur.</w:t>
            </w:r>
          </w:p>
          <w:p>
            <w:pPr>
              <w:spacing w:after="70" w:line="280"/>
            </w:pPr>
            <w:r>
              <w:rPr>
                <w:rFonts w:ascii="Calibri" w:cs="Calibri" w:eastAsia="Calibri" w:hAnsi="Calibri"/>
                <w:color w:val="2A1A20"/>
                <w:sz w:val="20"/>
                <w:szCs w:val="20"/>
              </w:rPr>
              <w:t xml:space="preserve">•  Lancer les gammes une par une (luna, puis active, mini, silver) pour étaler les besoins de stock.</w:t>
            </w:r>
          </w:p>
        </w:tc>
      </w:tr>
    </w:tbl>
    <w:p>
      <w:pPr>
        <w:spacing w:after="120"/>
      </w:pPr>
    </w:p>
    <w:p>
      <w:pPr>
        <w:keepNext/>
        <w:spacing w:after="40" w:before="200"/>
      </w:pPr>
      <w:r>
        <w:rPr>
          <w:rFonts w:ascii="Calibri" w:cs="Calibri" w:eastAsia="Calibri" w:hAnsi="Calibri"/>
          <w:b/>
          <w:bCs/>
          <w:color w:val="C8475A"/>
          <w:spacing w:val="20"/>
          <w:sz w:val="18"/>
          <w:szCs w:val="18"/>
        </w:rPr>
        <w:t xml:space="preserve">3. Question 21</w:t>
      </w:r>
    </w:p>
    <w:p>
      <w:pPr>
        <w:keepNext/>
        <w:spacing w:after="100"/>
      </w:pPr>
      <w:r>
        <w:rPr>
          <w:rFonts w:ascii="Cambria" w:cs="Cambria" w:eastAsia="Cambria" w:hAnsi="Cambria"/>
          <w:color w:val="2A1A20"/>
          <w:sz w:val="26"/>
          <w:szCs w:val="26"/>
        </w:rPr>
        <w:t xml:space="preserve">Ventes croisées</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C'est ce qui donne tout son sens à une marque en 4 gammes : une même cliente peut acheter pour elle, pour ses enfants et pour ses parents. Chaque nouvelle gamme, je la propose d'abord à mes clientes fidèles : c'est bien moins cher que d'en trouver de nouvelles.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Proposer une box famille et un coffret découverte des 4 gammes.</w:t>
            </w:r>
          </w:p>
          <w:p>
            <w:pPr>
              <w:spacing w:after="70" w:line="280"/>
            </w:pPr>
            <w:r>
              <w:rPr>
                <w:rFonts w:ascii="Calibri" w:cs="Calibri" w:eastAsia="Calibri" w:hAnsi="Calibri"/>
                <w:color w:val="2A1A20"/>
                <w:sz w:val="20"/>
                <w:szCs w:val="20"/>
              </w:rPr>
              <w:t xml:space="preserve">•  Recommander la gamme suivante au bon moment : mini aux clientes mères, silver à celles qui ont des parents âgés.</w:t>
            </w:r>
          </w:p>
          <w:p>
            <w:pPr>
              <w:spacing w:after="70" w:line="280"/>
            </w:pPr>
            <w:r>
              <w:rPr>
                <w:rFonts w:ascii="Calibri" w:cs="Calibri" w:eastAsia="Calibri" w:hAnsi="Calibri"/>
                <w:color w:val="2A1A20"/>
                <w:sz w:val="20"/>
                <w:szCs w:val="20"/>
              </w:rPr>
              <w:t xml:space="preserve">•  Suivre le nombre de gammes achetées par cliente et le réachat dans chaque gamme.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475A" w:sz="24"/>
              <w:bottom w:val="none" w:color="FFFFFF" w:sz="0"/>
              <w:right w:val="none" w:color="FFFFFF" w:sz="0"/>
            </w:tcBorders>
            <w:shd w:fill="F3EFEC"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En résumé</w:t>
            </w:r>
          </w:p>
          <w:p>
            <w:pPr>
              <w:spacing w:after="70" w:line="280"/>
            </w:pPr>
            <w:r>
              <w:rPr>
                <w:rFonts w:ascii="Calibri" w:cs="Calibri" w:eastAsia="Calibri" w:hAnsi="Calibri"/>
                <w:color w:val="2A1A20"/>
                <w:sz w:val="20"/>
                <w:szCs w:val="20"/>
              </w:rPr>
              <w:t xml:space="preserve">Ces trois questions couvrent </w:t>
            </w:r>
            <w:r>
              <w:rPr>
                <w:rFonts w:ascii="Calibri" w:cs="Calibri" w:eastAsia="Calibri" w:hAnsi="Calibri"/>
                <w:b/>
                <w:bCs/>
                <w:color w:val="2A1A20"/>
                <w:sz w:val="20"/>
                <w:szCs w:val="20"/>
              </w:rPr>
              <w:t xml:space="preserve">comment je produis</w:t>
            </w:r>
            <w:r>
              <w:rPr>
                <w:rFonts w:ascii="Calibri" w:cs="Calibri" w:eastAsia="Calibri" w:hAnsi="Calibri"/>
                <w:color w:val="2A1A20"/>
                <w:sz w:val="20"/>
                <w:szCs w:val="20"/>
              </w:rPr>
              <w:t xml:space="preserve"> les 4 gammes (7), </w:t>
            </w:r>
            <w:r>
              <w:rPr>
                <w:rFonts w:ascii="Calibri" w:cs="Calibri" w:eastAsia="Calibri" w:hAnsi="Calibri"/>
                <w:b/>
                <w:bCs/>
                <w:color w:val="2A1A20"/>
                <w:sz w:val="20"/>
                <w:szCs w:val="20"/>
              </w:rPr>
              <w:t xml:space="preserve">comment je finance</w:t>
            </w:r>
            <w:r>
              <w:rPr>
                <w:rFonts w:ascii="Calibri" w:cs="Calibri" w:eastAsia="Calibri" w:hAnsi="Calibri"/>
                <w:color w:val="2A1A20"/>
                <w:sz w:val="20"/>
                <w:szCs w:val="20"/>
              </w:rPr>
              <w:t xml:space="preserve"> mon stock et mon lancement (20) et </w:t>
            </w:r>
            <w:r>
              <w:rPr>
                <w:rFonts w:ascii="Calibri" w:cs="Calibri" w:eastAsia="Calibri" w:hAnsi="Calibri"/>
                <w:b/>
                <w:bCs/>
                <w:color w:val="2A1A20"/>
                <w:sz w:val="20"/>
                <w:szCs w:val="20"/>
              </w:rPr>
              <w:t xml:space="preserve">comment je fais grandir la marque</w:t>
            </w:r>
            <w:r>
              <w:rPr>
                <w:rFonts w:ascii="Calibri" w:cs="Calibri" w:eastAsia="Calibri" w:hAnsi="Calibri"/>
                <w:color w:val="2A1A20"/>
                <w:sz w:val="20"/>
                <w:szCs w:val="20"/>
              </w:rPr>
              <w:t xml:space="preserve"> avec toute la famille (21).</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Business model · Nisrine Margoum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49bf72770973eccceaf5554c975b974cce36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business model : sip lab</dc:title>
  <dc:creator>Nisrine Margoum</dc:creator>
  <cp:lastModifiedBy>Un-named</cp:lastModifiedBy>
  <cp:revision>1</cp:revision>
  <dcterms:created xsi:type="dcterms:W3CDTF">2026-10-13T12:06:00.838Z</dcterms:created>
  <dcterms:modified xsi:type="dcterms:W3CDTF">2026-10-13T12:06:00.839Z</dcterms:modified>
</cp:coreProperties>
</file>

<file path=docProps/custom.xml><?xml version="1.0" encoding="utf-8"?>
<Properties xmlns="http://schemas.openxmlformats.org/officeDocument/2006/custom-properties" xmlns:vt="http://schemas.openxmlformats.org/officeDocument/2006/docPropsVTypes"/>
</file>