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Doser précisément, sans mesurer (1 paille = 1 dose)</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de 7 pailles en sachets individuels datés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313"/>
        <w:gridCol w:w="1157"/>
        <w:gridCol w:w="1060"/>
        <w:gridCol w:w="1253"/>
        <w:gridCol w:w="1831"/>
        <w:gridCol w:w="867"/>
      </w:tblGrid>
      <w:tr>
        <w:trPr>
          <w:tblHeader/>
        </w:trPr>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106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(5,95/10)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 (7,70/10)</w:t>
            </w:r>
          </w:p>
        </w:tc>
      </w:tr>
      <w:tr>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106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(7,30/10)</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(6,30/10)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(4,85/10)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(3,00/10)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(2,70/10)</w:t>
            </w:r>
          </w:p>
        </w:tc>
      </w:tr>
    </w:tbl>
    <w:p>
      <w:pPr>
        <w:spacing w:after="80"/>
      </w:pPr>
    </w:p>
    <w:p>
      <w:pPr>
        <w:pStyle w:val="Heading2"/>
        <w:spacing w:after="100" w:before="240"/>
      </w:pPr>
      <w:r>
        <w:rPr>
          <w:rFonts w:ascii="Cambria" w:cs="Cambria" w:eastAsia="Cambria" w:hAnsi="Cambria"/>
          <w:color w:val="C8475A"/>
          <w:sz w:val="25"/>
          <w:szCs w:val="25"/>
        </w:rPr>
        <w:t xml:space="preserve">Notation pondérée (notes sur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964"/>
        <w:gridCol w:w="1205"/>
        <w:gridCol w:w="1205"/>
        <w:gridCol w:w="1205"/>
        <w:gridCol w:w="1204"/>
      </w:tblGrid>
      <w:tr>
        <w:trPr>
          <w:tblHeader/>
        </w:trPr>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Critère</w:t>
            </w:r>
          </w:p>
        </w:tc>
        <w:tc>
          <w:tcPr>
            <w:tcW w:type="dxa" w:w="96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Poids</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active</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luna</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mini</w:t>
            </w:r>
          </w:p>
        </w:tc>
        <w:tc>
          <w:tcPr>
            <w:tcW w:type="dxa" w:w="120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silver</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Attractivité du DAS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Taille du marché</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Croissance de la demande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Intensité concurrentielle (10 = faible)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Barrières réglementaires et sécurité (10 = faibles)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d'attractivité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5,95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4,85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5,85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Atouts du projet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Compétences (actifs, allégations, marketing digital)</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Accès au canal sans prescripteur</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Crédibilité / légitimité auprès de la cible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Adéquation avec les ressources de départ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d'atouts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7,70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6,30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3,00</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2,70</w:t>
            </w:r>
          </w:p>
        </w:tc>
      </w:tr>
    </w:tbl>
    <w:p>
      <w:pPr>
        <w:spacing w:after="80"/>
      </w:pPr>
    </w:p>
    <w:p>
      <w:pPr>
        <w:spacing w:after="200" w:before="60"/>
        <w:jc w:val="center"/>
      </w:pPr>
      <w:r>
        <w:rPr>
          <w:rFonts w:ascii="Calibri" w:cs="Calibri" w:eastAsia="Calibri" w:hAnsi="Calibri"/>
          <w:i/>
          <w:iCs/>
          <w:color w:val="6E5F65"/>
          <w:sz w:val="17"/>
          <w:szCs w:val="17"/>
        </w:rPr>
        <w:t xml:space="preserve">Note = somme des (note × poids). Lecture : 0 à 3,3 faible ; 3,3 à 6,7 moyenne ; 6,7 à 10 forte. Notes estimées à partir des données de marché citées et de mon diagnostic interne.</w:t>
      </w: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Style w:val="Heading2"/>
        <w:spacing w:after="100" w:before="240"/>
      </w:pPr>
      <w:r>
        <w:rPr>
          <w:rFonts w:ascii="Cambria" w:cs="Cambria" w:eastAsia="Cambria" w:hAnsi="Cambria"/>
          <w:color w:val="C8475A"/>
          <w:sz w:val="25"/>
          <w:szCs w:val="25"/>
        </w:rPr>
        <w:t xml:space="preserve">La page gamme luna du site</w:t>
      </w:r>
    </w:p>
    <w:p>
      <w:pPr>
        <w:spacing w:after="120" w:line="288"/>
        <w:jc w:val="both"/>
      </w:pPr>
      <w:r>
        <w:rPr>
          <w:rFonts w:ascii="Calibri" w:cs="Calibri" w:eastAsia="Calibri" w:hAnsi="Calibri"/>
          <w:color w:val="2A1A20"/>
          <w:sz w:val="21"/>
          <w:szCs w:val="21"/>
        </w:rPr>
        <w:t xml:space="preserve">La page luna du site sip lab sert de support au MVP : c'est sur elle qu'arrivent les visiteuses envoyées par les créatrices, et c'est elle qui transforme l'intérêt en précommande. Elle traduit directement la proposition de valeur : la promesse « ton cycle, à chaque gorgée », la roue du cycle qui associe chaque phase à sa paille, les quatre références avec leur composition affichée et les formules de prix, dont la box cycle à 26 € mise en avant.</w:t>
      </w:r>
    </w:p>
    <w:p>
      <w:pPr>
        <w:spacing w:before="120"/>
        <w:jc w:val="center"/>
      </w:pPr>
      <w:r>
        <w:drawing>
          <wp:inline distT="0" distB="0" distL="0" distR="0">
            <wp:extent cx="5334000" cy="4076700"/>
            <wp:effectExtent t="0" r="0" b="0" l="0"/>
            <wp:docPr id="1" name="fig7_site_hero.png" descr="Figure 6 : Page gamme luna du site sip lab, haut de page (maquette)" title="Figure 6 : Page gamme luna du site sip lab, haut de page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0767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Page gamme luna du site sip lab, haut de page (maquette)</w:t>
      </w:r>
    </w:p>
    <w:p>
      <w:pPr>
        <w:spacing w:before="120"/>
        <w:jc w:val="center"/>
      </w:pPr>
      <w:r>
        <w:drawing>
          <wp:inline distT="0" distB="0" distL="0" distR="0">
            <wp:extent cx="5715000" cy="3905250"/>
            <wp:effectExtent t="0" r="0" b="0" l="0"/>
            <wp:docPr id="1" name="fig8_site_sections.png" descr="Figure 7 : Page luna : roue du cycle, les 4 pailles, fiche produit et formules (maquette)" title="Figure 7 : Page luna : roue du cycle, les 4 pailles, fiche produit et formules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05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7 : Page luna : roue du cycle, les 4 pailles, fiche produit et formules (maquette)</w:t>
      </w:r>
    </w:p>
    <w:p>
      <w:pPr>
        <w:spacing w:after="120" w:line="288"/>
        <w:jc w:val="both"/>
      </w:pPr>
      <w:r>
        <w:rPr>
          <w:rFonts w:ascii="Calibri" w:cs="Calibri" w:eastAsia="Calibri" w:hAnsi="Calibri"/>
          <w:b/>
          <w:bCs/>
          <w:color w:val="2A1A20"/>
          <w:sz w:val="21"/>
          <w:szCs w:val="21"/>
        </w:rPr>
        <w:t xml:space="preserve">Ce que la page permet de mesurer</w:t>
      </w:r>
      <w:r>
        <w:rPr>
          <w:rFonts w:ascii="Calibri" w:cs="Calibri" w:eastAsia="Calibri" w:hAnsi="Calibri"/>
          <w:color w:val="2A1A20"/>
          <w:sz w:val="21"/>
          <w:szCs w:val="21"/>
        </w:rPr>
        <w:t xml:space="preserve"> : le taux de clic depuis les contenus des créatrices, la conversion visite → précommande (H1), et grâce à deux versions de la page, l'effet de la caution sage-femme (H4). Prix, avis et compositions sont illustratifs à ce stade.</w:t>
      </w: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8 : Entonnoir de test et objectifs de conversion" title="Figure 8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8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Au cœur du concept : un rituel, pas seulement un complément</w:t>
            </w:r>
          </w:p>
          <w:p>
            <w:pPr>
              <w:spacing w:after="70" w:line="280"/>
            </w:pPr>
            <w:r>
              <w:rPr>
                <w:rFonts w:ascii="Calibri" w:cs="Calibri" w:eastAsia="Calibri" w:hAnsi="Calibri"/>
                <w:color w:val="2A1A20"/>
                <w:sz w:val="20"/>
                <w:szCs w:val="20"/>
              </w:rPr>
              <w:t xml:space="preserve">Des gélules et des gummies pour le cycle existent déjà : l'actif seul ne suffit pas à se différencier. Ce que sip lab apporte en plus, c'est un </w:t>
            </w:r>
            <w:r>
              <w:rPr>
                <w:rFonts w:ascii="Calibri" w:cs="Calibri" w:eastAsia="Calibri" w:hAnsi="Calibri"/>
                <w:b/>
                <w:bCs/>
                <w:color w:val="2A1A20"/>
                <w:sz w:val="20"/>
                <w:szCs w:val="20"/>
              </w:rPr>
              <w:t xml:space="preserve">rituel</w:t>
            </w:r>
            <w:r>
              <w:rPr>
                <w:rFonts w:ascii="Calibri" w:cs="Calibri" w:eastAsia="Calibri" w:hAnsi="Calibri"/>
                <w:color w:val="2A1A20"/>
                <w:sz w:val="20"/>
                <w:szCs w:val="20"/>
              </w:rPr>
              <w:t xml:space="preserve"> : un geste simple et agréable, une paille datée qui correspond au jour du cycle, un petit moment à soi plutôt qu'une pilule de plus. L'objectif est de donner </w:t>
            </w:r>
            <w:r>
              <w:rPr>
                <w:rFonts w:ascii="Calibri" w:cs="Calibri" w:eastAsia="Calibri" w:hAnsi="Calibri"/>
                <w:b/>
                <w:bCs/>
                <w:color w:val="2A1A20"/>
                <w:sz w:val="20"/>
                <w:szCs w:val="20"/>
              </w:rPr>
              <w:t xml:space="preserve">envie</w:t>
            </w:r>
            <w:r>
              <w:rPr>
                <w:rFonts w:ascii="Calibri" w:cs="Calibri" w:eastAsia="Calibri" w:hAnsi="Calibri"/>
                <w:color w:val="2A1A20"/>
                <w:sz w:val="20"/>
                <w:szCs w:val="20"/>
              </w:rPr>
              <w:t xml:space="preserve"> de prendre sa paille : le goût, le packaging, la roue du cycle et l'univers luna en font une habitude que l'on attend, pas une contrainte.</w:t>
            </w:r>
          </w:p>
          <w:p>
            <w:pPr>
              <w:spacing w:after="70" w:line="280"/>
            </w:pPr>
            <w:r>
              <w:rPr>
                <w:rFonts w:ascii="Calibri" w:cs="Calibri" w:eastAsia="Calibri" w:hAnsi="Calibri"/>
                <w:color w:val="2A1A20"/>
                <w:sz w:val="20"/>
                <w:szCs w:val="20"/>
              </w:rPr>
              <w:t xml:space="preserve">Ce rituel est aussi un levier stratégique : il soutient la </w:t>
            </w:r>
            <w:r>
              <w:rPr>
                <w:rFonts w:ascii="Calibri" w:cs="Calibri" w:eastAsia="Calibri" w:hAnsi="Calibri"/>
                <w:b/>
                <w:bCs/>
                <w:color w:val="2A1A20"/>
                <w:sz w:val="20"/>
                <w:szCs w:val="20"/>
              </w:rPr>
              <w:t xml:space="preserve">régularité</w:t>
            </w:r>
            <w:r>
              <w:rPr>
                <w:rFonts w:ascii="Calibri" w:cs="Calibri" w:eastAsia="Calibri" w:hAnsi="Calibri"/>
                <w:color w:val="2A1A20"/>
                <w:sz w:val="20"/>
                <w:szCs w:val="20"/>
              </w:rPr>
              <w:t xml:space="preserve"> (H2) et le </w:t>
            </w:r>
            <w:r>
              <w:rPr>
                <w:rFonts w:ascii="Calibri" w:cs="Calibri" w:eastAsia="Calibri" w:hAnsi="Calibri"/>
                <w:b/>
                <w:bCs/>
                <w:color w:val="2A1A20"/>
                <w:sz w:val="20"/>
                <w:szCs w:val="20"/>
              </w:rPr>
              <w:t xml:space="preserve">réachat</w:t>
            </w:r>
            <w:r>
              <w:rPr>
                <w:rFonts w:ascii="Calibri" w:cs="Calibri" w:eastAsia="Calibri" w:hAnsi="Calibri"/>
                <w:color w:val="2A1A20"/>
                <w:sz w:val="20"/>
                <w:szCs w:val="20"/>
              </w:rPr>
              <w:t xml:space="preserve"> (H3), et il est bien plus difficile à copier qu'une formule, car il repose sur la marque, l'expérience et la communauté (#mysiplabroutine).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7f0c8b60634b76f88bf3a9817453dbe274063.png"/><Relationship Id="rId10" Type="http://schemas.openxmlformats.org/officeDocument/2006/relationships/image" Target="media/7a7e1cc2792f7929688d38b86541ff0f52a76251.png"/><Relationship Id="rId11" Type="http://schemas.openxmlformats.org/officeDocument/2006/relationships/image" Target="media/b5cbb0c9a1ee3c4024f83ff0488695a4368011d8.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41df6a56567b46ea4bff805fe0bed76cb4dba3e3.png"/><Relationship Id="rId16" Type="http://schemas.openxmlformats.org/officeDocument/2006/relationships/image" Target="media/82c2abbe8782f4a6480290a1f07b0b13a9dc293a.png"/><Relationship Id="rId17" Type="http://schemas.openxmlformats.org/officeDocument/2006/relationships/image" Target="media/f2d88a56a0e2cc8f4b039d4d68afed2c2994577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2026-10-13T09:03:34.907Z</dcterms:created>
  <dcterms:modified xsi:type="dcterms:W3CDTF">2026-10-13T09:03:34.907Z</dcterms:modified>
</cp:coreProperties>
</file>

<file path=docProps/custom.xml><?xml version="1.0" encoding="utf-8"?>
<Properties xmlns="http://schemas.openxmlformats.org/officeDocument/2006/custom-properties" xmlns:vt="http://schemas.openxmlformats.org/officeDocument/2006/docPropsVTypes"/>
</file>