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Étude sur le développement de l'aquaculture marine</w:t>
      </w:r>
    </w:p>
    <w:p>
      <w:r>
        <w:t>Le développement de l'aquaculture représente un axe stratégique pour diversifier la</w:t>
        <w:br/>
        <w:t>production halieutique nationale face à la pression croissante sur les stocks sauvages.</w:t>
        <w:br/>
        <w:t>Cette étude évalue le potentiel d'élevage de daurade et de loup de mer dans les fermes</w:t>
        <w:br/>
        <w:t>aquacoles situées sur la côte méditerranéenne.</w:t>
      </w:r>
    </w:p>
    <w:p>
      <w:r>
        <w:t>Les paramètres analysés incluent la qualité de l'eau, la densité d'élevage optimale, et</w:t>
        <w:br/>
        <w:t>l'impact environnemental des installations sur les écosystèmes marins avoisinants. Les</w:t>
        <w:br/>
        <w:t>résultats préliminaires indiquent un taux de croissance satisfaisant des espèces élevées,</w:t>
        <w:br/>
        <w:t>avec un impact environnemental maîtrisé lorsque les normes de densité sont respectées.</w:t>
      </w:r>
    </w:p>
    <w:p>
      <w:r>
        <w:t>Le rapport souligne également l'importance de la recherche sur les aliments destinés à</w:t>
        <w:br/>
        <w:t>l'aquaculture, afin de réduire la dépendance aux farines de poisson issues de la pêche</w:t>
        <w:br/>
        <w:t>sauvage. Des pistes basées sur des sources protéiques alternatives sont actuellement à</w:t>
        <w:br/>
        <w:t>l'étude au sein du laboratoire de nutrition aquacole.</w:t>
      </w:r>
    </w:p>
    <w:p>
      <w:r>
        <w:t>Ces travaux contribuent directement aux objectifs de sécurité alimentaire et de</w:t>
        <w:br/>
        <w:t>développement durable du secteur de la pêche.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