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Part II: a small paragraph summarizing finding + GPT statement + Python Notebook </w:t>
      </w:r>
    </w:p>
    <w:p w:rsidR="00000000" w:rsidDel="00000000" w:rsidP="00000000" w:rsidRDefault="00000000" w:rsidRPr="00000000" w14:paraId="00000002">
      <w:pPr>
        <w:spacing w:after="240" w:before="240" w:lineRule="auto"/>
        <w:rPr/>
      </w:pPr>
      <w:r w:rsidDel="00000000" w:rsidR="00000000" w:rsidRPr="00000000">
        <w:rPr>
          <w:rFonts w:ascii="Times New Roman" w:cs="Times New Roman" w:eastAsia="Times New Roman" w:hAnsi="Times New Roman"/>
          <w:b w:val="1"/>
          <w:sz w:val="32"/>
          <w:szCs w:val="32"/>
          <w:rtl w:val="0"/>
        </w:rPr>
        <w:t xml:space="preserve">A small paragraph summarizing finding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590"/>
        <w:gridCol w:w="1425"/>
        <w:gridCol w:w="1920"/>
        <w:gridCol w:w="1845"/>
        <w:gridCol w:w="1665"/>
        <w:tblGridChange w:id="0">
          <w:tblGrid>
            <w:gridCol w:w="915"/>
            <w:gridCol w:w="1590"/>
            <w:gridCol w:w="1425"/>
            <w:gridCol w:w="1920"/>
            <w:gridCol w:w="1845"/>
            <w:gridCol w:w="1665"/>
          </w:tblGrid>
        </w:tblGridChange>
      </w:tblGrid>
      <w:tr>
        <w:trPr>
          <w:cantSplit w:val="0"/>
          <w:trHeight w:val="725" w:hRule="atLeast"/>
          <w:tblHeader w:val="0"/>
        </w:trPr>
        <w:tc>
          <w:tcPr>
            <w:tcBorders>
              <w:top w:color="44b3e1" w:space="0" w:sz="4" w:val="single"/>
              <w:left w:color="44b3e1" w:space="0" w:sz="4" w:val="single"/>
              <w:bottom w:color="44b3e1" w:space="0" w:sz="4" w:val="single"/>
              <w:right w:color="000000" w:space="0" w:sz="0" w:val="nil"/>
            </w:tcBorders>
            <w:shd w:fill="156082"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r>
          </w:p>
        </w:tc>
        <w:tc>
          <w:tcPr>
            <w:tcBorders>
              <w:top w:color="44b3e1" w:space="0" w:sz="4" w:val="single"/>
              <w:left w:color="000000" w:space="0" w:sz="0" w:val="nil"/>
              <w:bottom w:color="44b3e1" w:space="0" w:sz="4" w:val="single"/>
              <w:right w:color="000000" w:space="0" w:sz="0" w:val="nil"/>
            </w:tcBorders>
            <w:shd w:fill="156082"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color w:val="ffffff"/>
                <w:rtl w:val="0"/>
              </w:rPr>
              <w:t xml:space="preserve">Model</w:t>
            </w:r>
            <w:r w:rsidDel="00000000" w:rsidR="00000000" w:rsidRPr="00000000">
              <w:rPr>
                <w:rtl w:val="0"/>
              </w:rPr>
            </w:r>
          </w:p>
        </w:tc>
        <w:tc>
          <w:tcPr>
            <w:tcBorders>
              <w:top w:color="44b3e1" w:space="0" w:sz="4" w:val="single"/>
              <w:left w:color="000000" w:space="0" w:sz="0" w:val="nil"/>
              <w:bottom w:color="44b3e1" w:space="0" w:sz="4" w:val="single"/>
              <w:right w:color="000000" w:space="0" w:sz="0" w:val="nil"/>
            </w:tcBorders>
            <w:shd w:fill="156082"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color w:val="ffffff"/>
                <w:rtl w:val="0"/>
              </w:rPr>
              <w:t xml:space="preserve">AUC (Cross Validation, Paper)</w:t>
            </w:r>
            <w:r w:rsidDel="00000000" w:rsidR="00000000" w:rsidRPr="00000000">
              <w:rPr>
                <w:rtl w:val="0"/>
              </w:rPr>
            </w:r>
          </w:p>
        </w:tc>
        <w:tc>
          <w:tcPr>
            <w:tcBorders>
              <w:top w:color="44b3e1" w:space="0" w:sz="4" w:val="single"/>
              <w:left w:color="000000" w:space="0" w:sz="0" w:val="nil"/>
              <w:bottom w:color="44b3e1" w:space="0" w:sz="4" w:val="single"/>
              <w:right w:color="000000" w:space="0" w:sz="0" w:val="nil"/>
            </w:tcBorders>
            <w:shd w:fill="156082"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color w:val="ffffff"/>
                <w:rtl w:val="0"/>
              </w:rPr>
              <w:t xml:space="preserve">AUC (LOGO, Paper)</w:t>
            </w:r>
            <w:r w:rsidDel="00000000" w:rsidR="00000000" w:rsidRPr="00000000">
              <w:rPr>
                <w:rtl w:val="0"/>
              </w:rPr>
            </w:r>
          </w:p>
        </w:tc>
        <w:tc>
          <w:tcPr>
            <w:tcBorders>
              <w:top w:color="44b3e1" w:space="0" w:sz="4" w:val="single"/>
              <w:left w:color="000000" w:space="0" w:sz="0" w:val="nil"/>
              <w:bottom w:color="44b3e1" w:space="0" w:sz="4" w:val="single"/>
              <w:right w:color="000000" w:space="0" w:sz="0" w:val="nil"/>
            </w:tcBorders>
            <w:shd w:fill="156082"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color w:val="ffffff"/>
                <w:rtl w:val="0"/>
              </w:rPr>
              <w:t xml:space="preserve">AUC (5-Fold CV, Our Results)</w:t>
            </w:r>
            <w:r w:rsidDel="00000000" w:rsidR="00000000" w:rsidRPr="00000000">
              <w:rPr>
                <w:rtl w:val="0"/>
              </w:rPr>
            </w:r>
          </w:p>
        </w:tc>
        <w:tc>
          <w:tcPr>
            <w:tcBorders>
              <w:top w:color="44b3e1" w:space="0" w:sz="4" w:val="single"/>
              <w:left w:color="000000" w:space="0" w:sz="0" w:val="nil"/>
              <w:bottom w:color="44b3e1" w:space="0" w:sz="4" w:val="single"/>
              <w:right w:color="44b3e1" w:space="0" w:sz="4" w:val="single"/>
            </w:tcBorders>
            <w:shd w:fill="156082"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color w:val="ffffff"/>
                <w:rtl w:val="0"/>
              </w:rPr>
              <w:t xml:space="preserve">AUC (LOGO, Our Results)</w:t>
            </w:r>
            <w:r w:rsidDel="00000000" w:rsidR="00000000" w:rsidRPr="00000000">
              <w:rPr>
                <w:rtl w:val="0"/>
              </w:rPr>
            </w:r>
          </w:p>
        </w:tc>
      </w:tr>
      <w:tr>
        <w:trPr>
          <w:cantSplit w:val="0"/>
          <w:trHeight w:val="725" w:hRule="atLeast"/>
          <w:tblHeader w:val="0"/>
        </w:trPr>
        <w:tc>
          <w:tcPr>
            <w:tcBorders>
              <w:top w:color="44b3e1" w:space="0" w:sz="4" w:val="single"/>
              <w:left w:color="44b3e1" w:space="0" w:sz="4" w:val="single"/>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0</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Logistic Regression</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0.79</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0.92</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0.908902</w:t>
            </w:r>
          </w:p>
        </w:tc>
        <w:tc>
          <w:tcPr>
            <w:tcBorders>
              <w:top w:color="44b3e1" w:space="0" w:sz="4" w:val="single"/>
              <w:left w:color="000000" w:space="0" w:sz="0" w:val="nil"/>
              <w:bottom w:color="44b3e1" w:space="0" w:sz="4" w:val="single"/>
              <w:right w:color="44b3e1"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0.848349</w:t>
            </w:r>
          </w:p>
        </w:tc>
      </w:tr>
      <w:tr>
        <w:trPr>
          <w:cantSplit w:val="0"/>
          <w:trHeight w:val="485" w:hRule="atLeast"/>
          <w:tblHeader w:val="0"/>
        </w:trPr>
        <w:tc>
          <w:tcPr>
            <w:tcBorders>
              <w:top w:color="44b3e1" w:space="0" w:sz="4" w:val="single"/>
              <w:left w:color="44b3e1" w:space="0" w:sz="4" w:val="single"/>
              <w:bottom w:color="44b3e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1</w:t>
            </w:r>
          </w:p>
        </w:tc>
        <w:tc>
          <w:tcPr>
            <w:tcBorders>
              <w:top w:color="44b3e1" w:space="0" w:sz="4" w:val="single"/>
              <w:left w:color="000000" w:space="0" w:sz="0" w:val="nil"/>
              <w:bottom w:color="44b3e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SVM</w:t>
            </w:r>
          </w:p>
        </w:tc>
        <w:tc>
          <w:tcPr>
            <w:tcBorders>
              <w:top w:color="44b3e1" w:space="0" w:sz="4" w:val="single"/>
              <w:left w:color="000000" w:space="0" w:sz="0" w:val="nil"/>
              <w:bottom w:color="44b3e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0.78</w:t>
            </w:r>
          </w:p>
        </w:tc>
        <w:tc>
          <w:tcPr>
            <w:tcBorders>
              <w:top w:color="44b3e1" w:space="0" w:sz="4" w:val="single"/>
              <w:left w:color="000000" w:space="0" w:sz="0" w:val="nil"/>
              <w:bottom w:color="44b3e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0.93</w:t>
            </w:r>
          </w:p>
        </w:tc>
        <w:tc>
          <w:tcPr>
            <w:tcBorders>
              <w:top w:color="44b3e1" w:space="0" w:sz="4" w:val="single"/>
              <w:left w:color="000000" w:space="0" w:sz="0" w:val="nil"/>
              <w:bottom w:color="44b3e1"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0.900227</w:t>
            </w:r>
          </w:p>
        </w:tc>
        <w:tc>
          <w:tcPr>
            <w:tcBorders>
              <w:top w:color="44b3e1" w:space="0" w:sz="4" w:val="single"/>
              <w:left w:color="000000" w:space="0" w:sz="0" w:val="nil"/>
              <w:bottom w:color="44b3e1" w:space="0" w:sz="4" w:val="single"/>
              <w:right w:color="44b3e1"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0.901961</w:t>
            </w:r>
          </w:p>
        </w:tc>
      </w:tr>
      <w:tr>
        <w:trPr>
          <w:cantSplit w:val="0"/>
          <w:trHeight w:val="725" w:hRule="atLeast"/>
          <w:tblHeader w:val="0"/>
        </w:trPr>
        <w:tc>
          <w:tcPr>
            <w:tcBorders>
              <w:top w:color="44b3e1" w:space="0" w:sz="4" w:val="single"/>
              <w:left w:color="44b3e1" w:space="0" w:sz="4" w:val="single"/>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2</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Naive Bayes</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0.79</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0.94</w:t>
            </w:r>
          </w:p>
        </w:tc>
        <w:tc>
          <w:tcPr>
            <w:tcBorders>
              <w:top w:color="44b3e1" w:space="0" w:sz="4" w:val="single"/>
              <w:left w:color="000000" w:space="0" w:sz="0" w:val="nil"/>
              <w:bottom w:color="44b3e1" w:space="0" w:sz="4" w:val="single"/>
              <w:right w:color="000000" w:space="0" w:sz="0" w:val="nil"/>
            </w:tcBorders>
            <w:shd w:fill="c0e6f5"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0.906326</w:t>
            </w:r>
          </w:p>
        </w:tc>
        <w:tc>
          <w:tcPr>
            <w:tcBorders>
              <w:top w:color="44b3e1" w:space="0" w:sz="4" w:val="single"/>
              <w:left w:color="000000" w:space="0" w:sz="0" w:val="nil"/>
              <w:bottom w:color="44b3e1" w:space="0" w:sz="4" w:val="single"/>
              <w:right w:color="44b3e1" w:space="0" w:sz="4" w:val="single"/>
            </w:tcBorders>
            <w:shd w:fill="c0e6f5"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0.906925</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The analysis compared AUC scores from the paper's Cross Validation and Leave-One-Plot-Out (LOGO) methods with calculated 5-Fold CV and LOGO results. Across all models, the 5-Fold CV scores were significantly higher than the paper's Cross Validation results, suggesting that the implementation, preprocessing, or hyperparameter tuning might better leverage the data. However, the LOGO scores were generally lower than the paper's LOGO results, indicating that the paper's models may generalize better to unseen plots. SVM emerged as the most robust model in the analysis, with consistent performance across both validation methods, closely aligning with the paper's LOGO results. Logistic Regression showed the largest discrepancy, with a notable drop in AUC under LOGO compared to 5-Fold CV, highlighting potential overfitting. Naive Bayes demonstrated strong performance but fell slightly short of the paper's LOGO score. These findings emphasize the importance of robust validation methods like LOGO to ensure reliable evaluation, especially for grouped datasets.</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GPT statement</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GPT  for learning new code and debugging purpose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https://chatgpt.com/share/67453268-d19c-8005-899a-fe91b7915880</w:t>
        </w:r>
      </w:hyperlink>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Python Notebook</w:t>
      </w:r>
    </w:p>
    <w:p w:rsidR="00000000" w:rsidDel="00000000" w:rsidP="00000000" w:rsidRDefault="00000000" w:rsidRPr="00000000" w14:paraId="00000021">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https://github.com/niss10/IS-733-Data-Mining/blob/IS-733-Lab11/Lab11/Nisarg_Patel_lab11.ipynb</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hare/67453268-d19c-8005-899a-fe91b7915880"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