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4E3D"/>
          <w:sz w:val="22"/>
          <w:szCs w:val="22"/>
        </w:rPr>
        <w:t xml:space="preserve">FinTechathon 2026 · Topic A</w:t>
      </w:r>
    </w:p>
    <w:p>
      <w:pPr>
        <w:spacing w:after="200"/>
      </w:pPr>
      <w:r>
        <w:rPr>
          <w:rFonts w:ascii="Arial" w:cs="Arial" w:eastAsia="Arial" w:hAnsi="Arial"/>
          <w:b/>
          <w:bCs/>
          <w:sz w:val="52"/>
          <w:szCs w:val="52"/>
        </w:rPr>
        <w:t xml:space="preserve">Security Self-Assessment Report</w:t>
      </w:r>
    </w:p>
    <w:p>
      <w:pPr>
        <w:spacing w:after="600"/>
      </w:pPr>
      <w:r>
        <w:rPr>
          <w:rFonts w:ascii="Arial" w:cs="Arial" w:eastAsia="Arial" w:hAnsi="Arial"/>
          <w:color w:val="404040"/>
          <w:sz w:val="32"/>
          <w:szCs w:val="32"/>
        </w:rPr>
        <w:t xml:space="preserve">Finwise · Personal Finance Assistant</w:t>
      </w:r>
    </w:p>
    <w:p>
      <w:pPr>
        <w:spacing w:after="120" w:line="276"/>
      </w:pPr>
      <w:r>
        <w:rPr>
          <w:rFonts w:ascii="Arial" w:cs="Arial" w:eastAsia="Arial" w:hAnsi="Arial"/>
          <w:b/>
          <w:bCs/>
          <w:sz w:val="20"/>
          <w:szCs w:val="20"/>
        </w:rPr>
        <w:t xml:space="preserve">Team: </w:t>
      </w:r>
      <w:r>
        <w:rPr>
          <w:rFonts w:ascii="Arial" w:cs="Arial" w:eastAsia="Arial" w:hAnsi="Arial"/>
          <w:sz w:val="20"/>
          <w:szCs w:val="20"/>
        </w:rPr>
        <w:t xml:space="preserve">[Team Name]</w:t>
      </w:r>
    </w:p>
    <w:p>
      <w:pPr>
        <w:spacing w:after="120" w:line="276"/>
      </w:pPr>
      <w:r>
        <w:rPr>
          <w:rFonts w:ascii="Arial" w:cs="Arial" w:eastAsia="Arial" w:hAnsi="Arial"/>
          <w:b/>
          <w:bCs/>
          <w:sz w:val="20"/>
          <w:szCs w:val="20"/>
        </w:rPr>
        <w:t xml:space="preserve">Version: </w:t>
      </w:r>
      <w:r>
        <w:rPr>
          <w:rFonts w:ascii="Arial" w:cs="Arial" w:eastAsia="Arial" w:hAnsi="Arial"/>
          <w:sz w:val="20"/>
          <w:szCs w:val="20"/>
        </w:rPr>
        <w:t xml:space="preserve">1.0 · October 2026</w:t>
      </w:r>
    </w:p>
    <w:p>
      <w:pPr>
        <w:spacing w:after="120" w:line="276"/>
      </w:pPr>
      <w:r>
        <w:rPr>
          <w:rFonts w:ascii="Arial" w:cs="Arial" w:eastAsia="Arial" w:hAnsi="Arial"/>
          <w:b/>
          <w:bCs/>
          <w:sz w:val="20"/>
          <w:szCs w:val="20"/>
        </w:rPr>
        <w:t xml:space="preserve">Repository: </w:t>
      </w:r>
      <w:r>
        <w:rPr>
          <w:rFonts w:ascii="Arial" w:cs="Arial" w:eastAsia="Arial" w:hAnsi="Arial"/>
          <w:sz w:val="20"/>
          <w:szCs w:val="20"/>
        </w:rPr>
        <w:t xml:space="preserve">[REPO_URL]</w:t>
      </w:r>
    </w:p>
    <w:p>
      <w:pPr>
        <w:spacing w:after="120" w:line="276"/>
      </w:pPr>
      <w:r>
        <w:rPr>
          <w:rFonts w:ascii="Arial" w:cs="Arial" w:eastAsia="Arial" w:hAnsi="Arial"/>
          <w:b/>
          <w:bCs/>
          <w:sz w:val="20"/>
          <w:szCs w:val="20"/>
        </w:rPr>
        <w:t xml:space="preserve">Deployment: </w:t>
      </w:r>
      <w:r>
        <w:rPr>
          <w:rFonts w:ascii="Arial" w:cs="Arial" w:eastAsia="Arial" w:hAnsi="Arial"/>
          <w:sz w:val="20"/>
          <w:szCs w:val="20"/>
        </w:rPr>
        <w:t xml:space="preserve">[DEPLOY_URL] (Render web service + Neon PostgreSQL)</w:t>
      </w:r>
    </w:p>
    <w:p>
      <w:pPr>
        <w:spacing w:after="120" w:line="276"/>
      </w:pPr>
      <w:r>
        <w:rPr>
          <w:rFonts w:ascii="Arial" w:cs="Arial" w:eastAsia="Arial" w:hAnsi="Arial"/>
          <w:b/>
          <w:bCs/>
          <w:sz w:val="20"/>
          <w:szCs w:val="20"/>
        </w:rPr>
        <w:t xml:space="preserve">Companion documents: </w:t>
      </w:r>
      <w:r>
        <w:rPr>
          <w:rFonts w:ascii="Arial" w:cs="Arial" w:eastAsia="Arial" w:hAnsi="Arial"/>
          <w:sz w:val="20"/>
          <w:szCs w:val="20"/>
        </w:rPr>
        <w:t xml:space="preserve">Technical Documentation; README; evidence/README.md</w:t>
      </w:r>
    </w:p>
    <w:p>
      <w:pPr>
        <w:spacing w:before="600"/>
      </w:pPr>
      <w:r>
        <w:rPr>
          <w:rFonts w:ascii="Arial" w:cs="Arial" w:eastAsia="Arial" w:hAnsi="Arial"/>
          <w:i/>
          <w:iCs/>
          <w:color w:val="595959"/>
          <w:sz w:val="20"/>
          <w:szCs w:val="20"/>
        </w:rPr>
        <w:t xml:space="preserve">This report states only what the code does and what automated tests have shown. Items that depend on a live deployment are marked “Configured — verify after deploy” and are not claimed as verified.</w:t>
      </w:r>
    </w:p>
    <w:p>
      <w:r>
        <w:br w:type="page"/>
      </w:r>
    </w:p>
    <w:p>
      <w:pPr>
        <w:pStyle w:val="Heading1"/>
      </w:pPr>
      <w:r>
        <w:rPr>
          <w:rFonts w:ascii="Arial" w:cs="Arial" w:eastAsia="Arial" w:hAnsi="Arial"/>
        </w:rPr>
        <w:t xml:space="preserve">1. Executive summary</w:t>
      </w:r>
    </w:p>
    <w:p>
      <w:pPr>
        <w:spacing w:after="120" w:line="276"/>
      </w:pPr>
      <w:r>
        <w:rPr>
          <w:rFonts w:ascii="Arial" w:cs="Arial" w:eastAsia="Arial" w:hAnsi="Arial"/>
          <w:sz w:val="20"/>
          <w:szCs w:val="20"/>
        </w:rPr>
        <w:t xml:space="preserve">Finwise lets an individual record income, bills and spending (by form, chat or receipt), track budgets, see how much is safe to spend today and receive recommendations whose numbers are computed by deterministic Python. Because it handles personal financial data, security was designed in four layers that must all fail before one user can see another user’s data: role-based permissions, object ownership checks, PostgreSQL Row Level Security under least-privilege database roles, and per-user field encryption.</w:t>
      </w:r>
    </w:p>
    <w:p>
      <w:pPr>
        <w:spacing w:after="120" w:line="276"/>
      </w:pPr>
      <w:r>
        <w:rPr>
          <w:rFonts w:ascii="Arial" w:cs="Arial" w:eastAsia="Arial" w:hAnsi="Arial"/>
          <w:b/>
          <w:bCs/>
          <w:sz w:val="20"/>
          <w:szCs w:val="20"/>
        </w:rPr>
        <w:t xml:space="preserve">Overall position. </w:t>
      </w:r>
      <w:r>
        <w:rPr>
          <w:rFonts w:ascii="Arial" w:cs="Arial" w:eastAsia="Arial" w:hAnsi="Arial"/>
          <w:sz w:val="20"/>
          <w:szCs w:val="20"/>
        </w:rPr>
        <w:t xml:space="preserve">All 26 security and functional tests in the specification’s test matrix (T01–T26) pass, together with 40 extended tests (T27–T66) and untagged unit tests: 117 backend tests against a real PostgreSQL 16 database using the production role layout, and 44 frontend tests. The tests run on every push through GitHub Actions. The main residual risks are architectural and disclosed in Section 7: a fully compromised backend process, the master secret living in the host’s secret store rather than a hardware key manager, and the absence of an independent penetration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707"/>
        <w:gridCol w:w="3612"/>
      </w:tblGrid>
      <w:tr>
        <w:trPr>
          <w:tblHeader/>
        </w:trPr>
        <w:tc>
          <w:tcPr>
            <w:tcW w:type="dxa" w:w="2707"/>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Area</w:t>
            </w:r>
          </w:p>
        </w:tc>
        <w:tc>
          <w:tcPr>
            <w:tcW w:type="dxa" w:w="2707"/>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Assessment</w:t>
            </w:r>
          </w:p>
        </w:tc>
        <w:tc>
          <w:tcPr>
            <w:tcW w:type="dxa" w:w="3612"/>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Basis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Permission tiers (RBAC + ownership + RLS)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Implemented and verified</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T03–T08, T21, T40, T45, T62</w:t>
            </w:r>
          </w:p>
        </w:tc>
      </w:tr>
      <w:tr>
        <w:tc>
          <w:tcPr>
            <w:tcW w:type="dxa" w:w="27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Authentication, MFA and sessions</w:t>
            </w:r>
          </w:p>
        </w:tc>
        <w:tc>
          <w:tcPr>
            <w:tcW w:type="dxa" w:w="27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Implemented and verified</w:t>
            </w:r>
          </w:p>
        </w:tc>
        <w:tc>
          <w:tcPr>
            <w:tcW w:type="dxa" w:w="361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T07, T09, T12–T14, T27–T34, T54, T55, T63</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Brute-force and abuse limits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Implemented and verified (database-backed)</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T32, T52–T55, T66</w:t>
            </w:r>
          </w:p>
        </w:tc>
      </w:tr>
      <w:tr>
        <w:tc>
          <w:tcPr>
            <w:tcW w:type="dxa" w:w="27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Encryption and key management</w:t>
            </w:r>
          </w:p>
        </w:tc>
        <w:tc>
          <w:tcPr>
            <w:tcW w:type="dxa" w:w="27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Implemented and verified; master-secret rotation not supported</w:t>
            </w:r>
          </w:p>
        </w:tc>
        <w:tc>
          <w:tcPr>
            <w:tcW w:type="dxa" w:w="361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T10, T11, T25, T64</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Audit logging and log hygiene</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Implemented and verified</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T24, T26, T30, T65</w:t>
            </w:r>
          </w:p>
        </w:tc>
      </w:tr>
      <w:tr>
        <w:tc>
          <w:tcPr>
            <w:tcW w:type="dxa" w:w="27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AI safety</w:t>
            </w:r>
          </w:p>
        </w:tc>
        <w:tc>
          <w:tcPr>
            <w:tcW w:type="dxa" w:w="27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Implemented and verified (works with AI off)</w:t>
            </w:r>
          </w:p>
        </w:tc>
        <w:tc>
          <w:tcPr>
            <w:tcW w:type="dxa" w:w="361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T15, T20, AI masking tests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Exchange-rate integrity</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Implemented and verified</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T19, T59–T61</w:t>
            </w:r>
          </w:p>
        </w:tc>
      </w:tr>
      <w:tr>
        <w:tc>
          <w:tcPr>
            <w:tcW w:type="dxa" w:w="27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Transport security (TLS, HSTS)</w:t>
            </w:r>
          </w:p>
        </w:tc>
        <w:tc>
          <w:tcPr>
            <w:tcW w:type="dxa" w:w="27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Configured — verify after deploy</w:t>
            </w:r>
          </w:p>
        </w:tc>
        <w:tc>
          <w:tcPr>
            <w:tcW w:type="dxa" w:w="361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Platform TLS; HSTS header when secure cookies are 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Independent testing</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Not performed</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Risk R10</w:t>
            </w:r>
          </w:p>
        </w:tc>
      </w:tr>
    </w:tbl>
    <w:p>
      <w:pPr>
        <w:pStyle w:val="Heading1"/>
      </w:pPr>
      <w:r>
        <w:rPr>
          <w:rFonts w:ascii="Arial" w:cs="Arial" w:eastAsia="Arial" w:hAnsi="Arial"/>
        </w:rPr>
        <w:t xml:space="preserve">2. Scope and method</w:t>
      </w:r>
    </w:p>
    <w:p>
      <w:pPr>
        <w:pStyle w:val="Heading2"/>
      </w:pPr>
      <w:r>
        <w:rPr>
          <w:rFonts w:ascii="Arial" w:cs="Arial" w:eastAsia="Arial" w:hAnsi="Arial"/>
        </w:rPr>
        <w:t xml:space="preserve">2.1 In scope</w:t>
      </w:r>
    </w:p>
    <w:p>
      <w:pPr>
        <w:pStyle w:val="ListParagraph"/>
        <w:numPr>
          <w:ilvl w:val="0"/>
          <w:numId w:val="2"/>
        </w:numPr>
        <w:spacing w:after="80"/>
      </w:pPr>
      <w:r>
        <w:rPr>
          <w:rFonts w:ascii="Arial" w:cs="Arial" w:eastAsia="Arial" w:hAnsi="Arial"/>
          <w:sz w:val="20"/>
          <w:szCs w:val="20"/>
        </w:rPr>
        <w:t xml:space="preserve">Backend API (FastAPI, Python 3.12), React frontend, PostgreSQL 16 schema, roles, policies and migrations.</w:t>
      </w:r>
    </w:p>
    <w:p>
      <w:pPr>
        <w:pStyle w:val="ListParagraph"/>
        <w:numPr>
          <w:ilvl w:val="0"/>
          <w:numId w:val="2"/>
        </w:numPr>
        <w:spacing w:after="80"/>
      </w:pPr>
      <w:r>
        <w:rPr>
          <w:rFonts w:ascii="Arial" w:cs="Arial" w:eastAsia="Arial" w:hAnsi="Arial"/>
          <w:sz w:val="20"/>
          <w:szCs w:val="20"/>
        </w:rPr>
        <w:t xml:space="preserve">Deployment artefacts: Dockerfile, Docker Compose stack, Render blueprint, GitHub Actions workflows.</w:t>
      </w:r>
    </w:p>
    <w:p>
      <w:pPr>
        <w:pStyle w:val="ListParagraph"/>
        <w:numPr>
          <w:ilvl w:val="0"/>
          <w:numId w:val="2"/>
        </w:numPr>
        <w:spacing w:after="80"/>
      </w:pPr>
      <w:r>
        <w:rPr>
          <w:rFonts w:ascii="Arial" w:cs="Arial" w:eastAsia="Arial" w:hAnsi="Arial"/>
          <w:sz w:val="20"/>
          <w:szCs w:val="20"/>
        </w:rPr>
        <w:t xml:space="preserve">Optional integrations: OpenAI-compatible model, Brevo/Resend email, open.er-api.com exchange rates.</w:t>
      </w:r>
    </w:p>
    <w:p>
      <w:pPr>
        <w:pStyle w:val="Heading2"/>
      </w:pPr>
      <w:r>
        <w:rPr>
          <w:rFonts w:ascii="Arial" w:cs="Arial" w:eastAsia="Arial" w:hAnsi="Arial"/>
        </w:rPr>
        <w:t xml:space="preserve">2.2 Out of scope</w:t>
      </w:r>
    </w:p>
    <w:p>
      <w:pPr>
        <w:pStyle w:val="ListParagraph"/>
        <w:numPr>
          <w:ilvl w:val="0"/>
          <w:numId w:val="2"/>
        </w:numPr>
        <w:spacing w:after="80"/>
      </w:pPr>
      <w:r>
        <w:rPr>
          <w:rFonts w:ascii="Arial" w:cs="Arial" w:eastAsia="Arial" w:hAnsi="Arial"/>
          <w:sz w:val="20"/>
          <w:szCs w:val="20"/>
        </w:rPr>
        <w:t xml:space="preserve">Hosting providers’ infrastructure (Render, Neon, GitHub), email providers and the AI provider.</w:t>
      </w:r>
    </w:p>
    <w:p>
      <w:pPr>
        <w:pStyle w:val="ListParagraph"/>
        <w:numPr>
          <w:ilvl w:val="0"/>
          <w:numId w:val="2"/>
        </w:numPr>
        <w:spacing w:after="80"/>
      </w:pPr>
      <w:r>
        <w:rPr>
          <w:rFonts w:ascii="Arial" w:cs="Arial" w:eastAsia="Arial" w:hAnsi="Arial"/>
          <w:sz w:val="20"/>
          <w:szCs w:val="20"/>
        </w:rPr>
        <w:t xml:space="preserve">Bank integrations, payments and mobile apps, which the product does not include.</w:t>
      </w:r>
    </w:p>
    <w:p>
      <w:pPr>
        <w:pStyle w:val="Heading2"/>
      </w:pPr>
      <w:r>
        <w:rPr>
          <w:rFonts w:ascii="Arial" w:cs="Arial" w:eastAsia="Arial" w:hAnsi="Arial"/>
        </w:rPr>
        <w:t xml:space="preserve">2.3 Method</w:t>
      </w:r>
    </w:p>
    <w:p>
      <w:pPr>
        <w:pStyle w:val="ListParagraph"/>
        <w:numPr>
          <w:ilvl w:val="0"/>
          <w:numId w:val="2"/>
        </w:numPr>
        <w:spacing w:after="80"/>
      </w:pPr>
      <w:r>
        <w:rPr>
          <w:rFonts w:ascii="Arial" w:cs="Arial" w:eastAsia="Arial" w:hAnsi="Arial"/>
          <w:b/>
          <w:bCs/>
          <w:sz w:val="20"/>
          <w:szCs w:val="20"/>
        </w:rPr>
        <w:t xml:space="preserve">Code review </w:t>
      </w:r>
      <w:r>
        <w:rPr>
          <w:rFonts w:ascii="Arial" w:cs="Arial" w:eastAsia="Arial" w:hAnsi="Arial"/>
          <w:sz w:val="20"/>
          <w:szCs w:val="20"/>
        </w:rPr>
        <w:t xml:space="preserve">of every endpoint against the central permission table, every SQL statement for bound parameters, and every place a secret or personal value could be logged.</w:t>
      </w:r>
    </w:p>
    <w:p>
      <w:pPr>
        <w:pStyle w:val="ListParagraph"/>
        <w:numPr>
          <w:ilvl w:val="0"/>
          <w:numId w:val="2"/>
        </w:numPr>
        <w:spacing w:after="80"/>
      </w:pPr>
      <w:r>
        <w:rPr>
          <w:rFonts w:ascii="Arial" w:cs="Arial" w:eastAsia="Arial" w:hAnsi="Arial"/>
          <w:b/>
          <w:bCs/>
          <w:sz w:val="20"/>
          <w:szCs w:val="20"/>
        </w:rPr>
        <w:t xml:space="preserve">Automated tests </w:t>
      </w:r>
      <w:r>
        <w:rPr>
          <w:rFonts w:ascii="Arial" w:cs="Arial" w:eastAsia="Arial" w:hAnsi="Arial"/>
          <w:sz w:val="20"/>
          <w:szCs w:val="20"/>
        </w:rPr>
        <w:t xml:space="preserve">on a real database with the six production roles; no database mocking in security tests. Tests are tagged with the specification’s IDs (T01–T26) and extended IDs (T27–T66).</w:t>
      </w:r>
    </w:p>
    <w:p>
      <w:pPr>
        <w:pStyle w:val="ListParagraph"/>
        <w:numPr>
          <w:ilvl w:val="0"/>
          <w:numId w:val="2"/>
        </w:numPr>
        <w:spacing w:after="80"/>
      </w:pPr>
      <w:r>
        <w:rPr>
          <w:rFonts w:ascii="Arial" w:cs="Arial" w:eastAsia="Arial" w:hAnsi="Arial"/>
          <w:b/>
          <w:bCs/>
          <w:sz w:val="20"/>
          <w:szCs w:val="20"/>
        </w:rPr>
        <w:t xml:space="preserve">Continuous integration: </w:t>
      </w:r>
      <w:r>
        <w:rPr>
          <w:rFonts w:ascii="Arial" w:cs="Arial" w:eastAsia="Arial" w:hAnsi="Arial"/>
          <w:sz w:val="20"/>
          <w:szCs w:val="20"/>
        </w:rPr>
        <w:t xml:space="preserve">every push runs the backend and frontend suites, checks that no database role is superuser or can bypass RLS, verifies the audit chain and smoke-tests the Docker Compose stack.</w:t>
      </w:r>
    </w:p>
    <w:p>
      <w:pPr>
        <w:pStyle w:val="ListParagraph"/>
        <w:numPr>
          <w:ilvl w:val="0"/>
          <w:numId w:val="2"/>
        </w:numPr>
        <w:spacing w:after="80"/>
      </w:pPr>
      <w:r>
        <w:rPr>
          <w:rFonts w:ascii="Arial" w:cs="Arial" w:eastAsia="Arial" w:hAnsi="Arial"/>
          <w:b/>
          <w:bCs/>
          <w:sz w:val="20"/>
          <w:szCs w:val="20"/>
        </w:rPr>
        <w:t xml:space="preserve">Evidence </w:t>
      </w:r>
      <w:r>
        <w:rPr>
          <w:rFonts w:ascii="Arial" w:cs="Arial" w:eastAsia="Arial" w:hAnsi="Arial"/>
          <w:sz w:val="20"/>
          <w:szCs w:val="20"/>
        </w:rPr>
        <w:t xml:space="preserve">is generated by scripts/collect_evidence.py from real runs and is never edited by hand.</w:t>
      </w:r>
    </w:p>
    <w:p>
      <w:pPr>
        <w:pStyle w:val="Heading2"/>
      </w:pPr>
      <w:r>
        <w:rPr>
          <w:rFonts w:ascii="Arial" w:cs="Arial" w:eastAsia="Arial" w:hAnsi="Arial"/>
        </w:rPr>
        <w:t xml:space="preserve">2.4 Status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Label</w:t>
            </w:r>
          </w:p>
        </w:tc>
        <w:tc>
          <w:tcPr>
            <w:tcW w:type="dxa" w:w="6499"/>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Meaning</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Covered by an automated test that passed in the evidence run; test ID given.</w:t>
            </w:r>
          </w:p>
        </w:tc>
      </w:tr>
      <w:tr>
        <w:tc>
          <w:tcPr>
            <w:tcW w:type="dxa" w:w="25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Configured — verify after deploy</w:t>
            </w:r>
          </w:p>
        </w:tc>
        <w:tc>
          <w:tcPr>
            <w:tcW w:type="dxa" w:w="64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Implemented in code or configuration, but proof depends on the live platform.</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Partial</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Implemented with a known gap, stated next to it.</w:t>
            </w:r>
          </w:p>
        </w:tc>
      </w:tr>
      <w:tr>
        <w:tc>
          <w:tcPr>
            <w:tcW w:type="dxa" w:w="25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 risk</w:t>
            </w:r>
          </w:p>
        </w:tc>
        <w:tc>
          <w:tcPr>
            <w:tcW w:type="dxa" w:w="64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Known limitation recorded in the risk list (Section 7).</w:t>
            </w:r>
          </w:p>
        </w:tc>
      </w:tr>
    </w:tbl>
    <w:p>
      <w:pPr>
        <w:pStyle w:val="Heading1"/>
      </w:pPr>
      <w:r>
        <w:rPr>
          <w:rFonts w:ascii="Arial" w:cs="Arial" w:eastAsia="Arial" w:hAnsi="Arial"/>
        </w:rPr>
        <w:t xml:space="preserve">3. System and trust boundaries</w:t>
      </w:r>
    </w:p>
    <w:p>
      <w:pPr>
        <w:spacing w:after="120" w:line="276"/>
      </w:pPr>
      <w:r>
        <w:rPr>
          <w:rFonts w:ascii="Arial" w:cs="Arial" w:eastAsia="Arial" w:hAnsi="Arial"/>
          <w:sz w:val="20"/>
          <w:szCs w:val="20"/>
        </w:rPr>
        <w:t xml:space="preserve">The browser loads the React interface from the same origin as the API, so there is no cross-origin access to configure. Each request passes, in order: security headers and CSRF check, session lookup, role permission check, the endpoint’s ownership check, and finally the database, where the request runs as a least-privilege role inside a transaction that carries only the authenticated user’s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346"/>
        <w:gridCol w:w="4695"/>
      </w:tblGrid>
      <w:tr>
        <w:trPr>
          <w:tblHeader/>
        </w:trPr>
        <w:tc>
          <w:tcPr>
            <w:tcW w:type="dxa" w:w="1985"/>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Boundary</w:t>
            </w:r>
          </w:p>
        </w:tc>
        <w:tc>
          <w:tcPr>
            <w:tcW w:type="dxa" w:w="2346"/>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What crosses it</w:t>
            </w:r>
          </w:p>
        </w:tc>
        <w:tc>
          <w:tcPr>
            <w:tcW w:type="dxa" w:w="4695"/>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Protection</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Browser → API</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Session cookie, JSON</w:t>
            </w:r>
          </w:p>
        </w:tc>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TLS at the platform; HttpOnly, Secure, SameSite=Strict cookie; required X-Requested-With header and JSON content type on state changes; strict CSP</w:t>
            </w:r>
          </w:p>
        </w:tc>
      </w:tr>
      <w:tr>
        <w:tc>
          <w:tcPr>
            <w:tcW w:type="dxa" w:w="19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API → database</w:t>
            </w:r>
          </w:p>
        </w:tc>
        <w:tc>
          <w:tcPr>
            <w:tcW w:type="dxa" w:w="23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Ciphertext, IDs, dates</w:t>
            </w:r>
          </w:p>
        </w:tc>
        <w:tc>
          <w:tcPr>
            <w:tcW w:type="dxa" w:w="46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Six least-privilege roles; forced RLS; bound parameters only; transaction-local user context</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API → AI provider (optional)</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Masked text or aggregate facts only</w:t>
            </w:r>
          </w:p>
        </w:tc>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Recorded consent; PII masking; model never sees or writes numbers; strict output schema</w:t>
            </w:r>
          </w:p>
        </w:tc>
      </w:tr>
      <w:tr>
        <w:tc>
          <w:tcPr>
            <w:tcW w:type="dxa" w:w="19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API → email provider</w:t>
            </w:r>
          </w:p>
        </w:tc>
        <w:tc>
          <w:tcPr>
            <w:tcW w:type="dxa" w:w="23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One recipient, subject, short body</w:t>
            </w:r>
          </w:p>
        </w:tc>
        <w:tc>
          <w:tcPr>
            <w:tcW w:type="dxa" w:w="46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HTTPS API key; single stored recipient; header-injection checks; errors never logged with content</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Scheduled job → database</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Exchange-rate snapshots</w:t>
            </w:r>
          </w:p>
        </w:tc>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Only the fx_writer credential; database guard trigger</w:t>
            </w:r>
          </w:p>
        </w:tc>
      </w:tr>
    </w:tbl>
    <w:p>
      <w:pPr>
        <w:pStyle w:val="Heading1"/>
      </w:pPr>
      <w:r>
        <w:rPr>
          <w:rFonts w:ascii="Arial" w:cs="Arial" w:eastAsia="Arial" w:hAnsi="Arial"/>
        </w:rPr>
        <w:t xml:space="preserve">4. Permission-tier implementation</w:t>
      </w:r>
    </w:p>
    <w:p>
      <w:pPr>
        <w:pStyle w:val="Heading2"/>
      </w:pPr>
      <w:r>
        <w:rPr>
          <w:rFonts w:ascii="Arial" w:cs="Arial" w:eastAsia="Arial" w:hAnsi="Arial"/>
        </w:rPr>
        <w:t xml:space="preserve">4.1 Four enforcement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68"/>
        <w:gridCol w:w="2527"/>
        <w:gridCol w:w="1626"/>
      </w:tblGrid>
      <w:tr>
        <w:trPr>
          <w:tblHeader/>
        </w:trPr>
        <w:tc>
          <w:tcPr>
            <w:tcW w:type="dxa" w:w="1805"/>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Layer</w:t>
            </w:r>
          </w:p>
        </w:tc>
        <w:tc>
          <w:tcPr>
            <w:tcW w:type="dxa" w:w="3068"/>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Mechanism</w:t>
            </w:r>
          </w:p>
        </w:tc>
        <w:tc>
          <w:tcPr>
            <w:tcW w:type="dxa" w:w="2527"/>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Failure behaviour</w:t>
            </w:r>
          </w:p>
        </w:tc>
        <w:tc>
          <w:tcPr>
            <w:tcW w:type="dxa" w:w="1626"/>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Evidence</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1. Role permission (RBAC)</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Central table in app/policy.py; every endpoint declares one permission through needs(...)</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403 and a permission_denied audit event; unknown roles get nothing</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T08, T45, T62</w:t>
            </w:r>
          </w:p>
        </w:tc>
      </w:tr>
      <w:tr>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2. Ownership</w:t>
            </w:r>
          </w:p>
        </w:tc>
        <w:tc>
          <w:tcPr>
            <w:tcW w:type="dxa" w:w="30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Identity comes only from the server-side session; object IDs are looked up within the caller’s scope</w:t>
            </w:r>
          </w:p>
        </w:tc>
        <w:tc>
          <w:tcPr>
            <w:tcW w:type="dxa" w:w="25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404 (never reveals that another user’s record exists) and an object_denied audit event</w:t>
            </w:r>
          </w:p>
        </w:tc>
        <w:tc>
          <w:tcPr>
            <w:tcW w:type="dxa" w:w="1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T03, T07, T40, T58</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3. Database (RLS + roles)</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Forced RLS on 11 tables (every table holding user data, plus audit_log and dev_outbox); user context set with set_config(..., true) per transaction</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Zero rows when context is missing; other users’ rows invisible even without a WHERE clause</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T04, T05, T06, T21</w:t>
            </w:r>
          </w:p>
        </w:tc>
      </w:tr>
      <w:tr>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4. Default deny</w:t>
            </w:r>
          </w:p>
        </w:tc>
        <w:tc>
          <w:tcPr>
            <w:tcW w:type="dxa" w:w="30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 new endpoint without a policy entry is unreachable; the database grants nothing by default</w:t>
            </w:r>
          </w:p>
        </w:tc>
        <w:tc>
          <w:tcPr>
            <w:tcW w:type="dxa" w:w="25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Request refused</w:t>
            </w:r>
          </w:p>
        </w:tc>
        <w:tc>
          <w:tcPr>
            <w:tcW w:type="dxa" w:w="1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Code review; T45</w:t>
            </w:r>
          </w:p>
        </w:tc>
      </w:tr>
    </w:tbl>
    <w:p>
      <w:pPr>
        <w:pStyle w:val="Heading2"/>
      </w:pPr>
      <w:r>
        <w:rPr>
          <w:rFonts w:ascii="Arial" w:cs="Arial" w:eastAsia="Arial" w:hAnsi="Arial"/>
        </w:rPr>
        <w:t xml:space="preserve">4.2 Application roles</w:t>
      </w:r>
    </w:p>
    <w:p>
      <w:pPr>
        <w:spacing w:after="120" w:line="276"/>
      </w:pPr>
      <w:r>
        <w:rPr>
          <w:rFonts w:ascii="Arial" w:cs="Arial" w:eastAsia="Arial" w:hAnsi="Arial"/>
          <w:sz w:val="20"/>
          <w:szCs w:val="20"/>
        </w:rPr>
        <w:t xml:space="preserve">There are exactly three roles. Staff roles are deliberately unable to read any personal financial data; they work with counts, status metadata and sanitised audit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353"/>
        <w:gridCol w:w="1805"/>
        <w:gridCol w:w="1173"/>
        <w:gridCol w:w="1807"/>
      </w:tblGrid>
      <w:tr>
        <w:trPr>
          <w:tblHeader/>
        </w:trPr>
        <w:tc>
          <w:tcPr>
            <w:tcW w:type="dxa" w:w="2888"/>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Capability</w:t>
            </w:r>
          </w:p>
        </w:tc>
        <w:tc>
          <w:tcPr>
            <w:tcW w:type="dxa" w:w="1353"/>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user</w:t>
            </w:r>
          </w:p>
        </w:tc>
        <w:tc>
          <w:tcPr>
            <w:tcW w:type="dxa" w:w="1805"/>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security_owner</w:t>
            </w:r>
          </w:p>
        </w:tc>
        <w:tc>
          <w:tcPr>
            <w:tcW w:type="dxa" w:w="1173"/>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admin</w:t>
            </w:r>
          </w:p>
        </w:tc>
        <w:tc>
          <w:tcPr>
            <w:tcW w:type="dxa" w:w="1807"/>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Evidence</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Own transactions, budgets, bills, accounts, insights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Own only</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T03, T08, T58</w:t>
            </w:r>
          </w:p>
        </w:tc>
      </w:tr>
      <w:tr>
        <w:tc>
          <w:tcPr>
            <w:tcW w:type="dxa" w:w="28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Another user’s financial data</w:t>
            </w:r>
          </w:p>
        </w:tc>
        <w:tc>
          <w:tcPr>
            <w:tcW w:type="dxa" w:w="13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T03, T04, T40</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Password hashes, keys, TOTP secrets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T09, T10</w:t>
            </w:r>
          </w:p>
        </w:tc>
      </w:tr>
      <w:tr>
        <w:tc>
          <w:tcPr>
            <w:tcW w:type="dxa" w:w="28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System statistics (counts only)</w:t>
            </w:r>
          </w:p>
        </w:tc>
        <w:tc>
          <w:tcPr>
            <w:tcW w:type="dxa" w:w="13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Read</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Read</w:t>
            </w:r>
          </w:p>
        </w:tc>
        <w:tc>
          <w:tcPr>
            <w:tcW w:type="dxa" w:w="18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T08</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Audit log (IDs and outcomes only)</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Read</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T62</w:t>
            </w:r>
          </w:p>
        </w:tc>
      </w:tr>
      <w:tr>
        <w:tc>
          <w:tcPr>
            <w:tcW w:type="dxa" w:w="28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Account status (masked email, role, lock, MFA)</w:t>
            </w:r>
          </w:p>
        </w:tc>
        <w:tc>
          <w:tcPr>
            <w:tcW w:type="dxa" w:w="13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Own</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Read</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Read</w:t>
            </w:r>
          </w:p>
        </w:tc>
        <w:tc>
          <w:tcPr>
            <w:tcW w:type="dxa" w:w="18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T62</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Lock / unlock accounts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Yes (audited)</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T62</w:t>
            </w:r>
          </w:p>
        </w:tc>
      </w:tr>
      <w:tr>
        <w:tc>
          <w:tcPr>
            <w:tcW w:type="dxa" w:w="28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Force password reset</w:t>
            </w:r>
          </w:p>
        </w:tc>
        <w:tc>
          <w:tcPr>
            <w:tcW w:type="dxa" w:w="13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Own (self-service)</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Yes (audited)</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T62</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Change roles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Yes (re-auth with password and TOTP, audited)</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T62</w:t>
            </w:r>
          </w:p>
        </w:tc>
      </w:tr>
      <w:tr>
        <w:tc>
          <w:tcPr>
            <w:tcW w:type="dxa" w:w="28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Export or delete data</w:t>
            </w:r>
          </w:p>
        </w:tc>
        <w:tc>
          <w:tcPr>
            <w:tcW w:type="dxa" w:w="13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Own only (re-auth)</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No</w:t>
            </w:r>
          </w:p>
        </w:tc>
        <w:tc>
          <w:tcPr>
            <w:tcW w:type="dxa" w:w="18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T25, export tests</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MFA</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Optional; may disable after re-auth</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Mandatory</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Mandatory</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T13, T34, T63</w:t>
            </w:r>
          </w:p>
        </w:tc>
      </w:tr>
    </w:tbl>
    <w:p>
      <w:pPr>
        <w:pStyle w:val="Heading2"/>
      </w:pPr>
      <w:r>
        <w:rPr>
          <w:rFonts w:ascii="Arial" w:cs="Arial" w:eastAsia="Arial" w:hAnsi="Arial"/>
        </w:rPr>
        <w:t xml:space="preserve">4.3 Permission map as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805"/>
        <w:gridCol w:w="3972"/>
      </w:tblGrid>
      <w:tr>
        <w:trPr>
          <w:tblHeader/>
        </w:trPr>
        <w:tc>
          <w:tcPr>
            <w:tcW w:type="dxa" w:w="3249"/>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Permission</w:t>
            </w:r>
          </w:p>
        </w:tc>
        <w:tc>
          <w:tcPr>
            <w:tcW w:type="dxa" w:w="1805"/>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Roles</w:t>
            </w:r>
          </w:p>
        </w:tc>
        <w:tc>
          <w:tcPr>
            <w:tcW w:type="dxa" w:w="3972"/>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Used by</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transaction:create / transaction:read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user</w:t>
            </w:r>
          </w:p>
        </w:tc>
        <w:tc>
          <w:tcPr>
            <w:tcW w:type="dxa" w:w="3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Transactions, receipts, bills, categories, dashboard, accounts list</w:t>
            </w:r>
          </w:p>
        </w:tc>
      </w:tr>
      <w:tr>
        <w:tc>
          <w:tcPr>
            <w:tcW w:type="dxa" w:w="324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account:manage</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user</w:t>
            </w:r>
          </w:p>
        </w:tc>
        <w:tc>
          <w:tcPr>
            <w:tcW w:type="dxa" w:w="39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Create and delete money accounts</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budget:write, insight:read, chat:use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user</w:t>
            </w:r>
          </w:p>
        </w:tc>
        <w:tc>
          <w:tcPr>
            <w:tcW w:type="dxa" w:w="3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Budgets and suggestions, insights, chat entry</w:t>
            </w:r>
          </w:p>
        </w:tc>
      </w:tr>
      <w:tr>
        <w:tc>
          <w:tcPr>
            <w:tcW w:type="dxa" w:w="324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export:own, account:delete</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user</w:t>
            </w:r>
          </w:p>
        </w:tc>
        <w:tc>
          <w:tcPr>
            <w:tcW w:type="dxa" w:w="39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Data export and account deletion (both need re-authentication)</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profile:own, session:revoke, auth:password_change, auth:mfa_manage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all roles</w:t>
            </w:r>
          </w:p>
        </w:tc>
        <w:tc>
          <w:tcPr>
            <w:tcW w:type="dxa" w:w="3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Own profile, sessions, password and MFA</w:t>
            </w:r>
          </w:p>
        </w:tc>
      </w:tr>
      <w:tr>
        <w:tc>
          <w:tcPr>
            <w:tcW w:type="dxa" w:w="324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stats:read, account:status</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security_owner, admin</w:t>
            </w:r>
          </w:p>
        </w:tc>
        <w:tc>
          <w:tcPr>
            <w:tcW w:type="dxa" w:w="39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Aggregate counts; account status list</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audit:read, account:lock, account:force_reset, role:change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security_owner</w:t>
            </w:r>
          </w:p>
        </w:tc>
        <w:tc>
          <w:tcPr>
            <w:tcW w:type="dxa" w:w="3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Audit log and account administration</w:t>
            </w:r>
          </w:p>
        </w:tc>
      </w:tr>
    </w:tbl>
    <w:p>
      <w:pPr>
        <w:pStyle w:val="Heading2"/>
      </w:pPr>
      <w:r>
        <w:rPr>
          <w:rFonts w:ascii="Arial" w:cs="Arial" w:eastAsia="Arial" w:hAnsi="Arial"/>
        </w:rPr>
        <w:t xml:space="preserve">4.4 Database identities</w:t>
      </w:r>
    </w:p>
    <w:p>
      <w:pPr>
        <w:spacing w:after="120" w:line="276"/>
      </w:pPr>
      <w:r>
        <w:rPr>
          <w:rFonts w:ascii="Arial" w:cs="Arial" w:eastAsia="Arial" w:hAnsi="Arial"/>
          <w:sz w:val="20"/>
          <w:szCs w:val="20"/>
        </w:rPr>
        <w:t xml:space="preserve">The running application never connects as the table owner. Roles are created by db/init-roles.sh; migrations refuse to run if any role is a superuser or can bypass RLS, and CI re-checks this on every push.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888"/>
        <w:gridCol w:w="4333"/>
      </w:tblGrid>
      <w:tr>
        <w:trPr>
          <w:tblHeader/>
        </w:trPr>
        <w:tc>
          <w:tcPr>
            <w:tcW w:type="dxa" w:w="1805"/>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Database role</w:t>
            </w:r>
          </w:p>
        </w:tc>
        <w:tc>
          <w:tcPr>
            <w:tcW w:type="dxa" w:w="2888"/>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Used by</w:t>
            </w:r>
          </w:p>
        </w:tc>
        <w:tc>
          <w:tcPr>
            <w:tcW w:type="dxa" w:w="4333"/>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Privileges (summary)</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migration_owner</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Migration job only (never the web service)</w:t>
            </w:r>
          </w:p>
        </w:tc>
        <w:tc>
          <w:tcPr>
            <w:tcW w:type="dxa" w:w="4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Owns the schema; holds no runtime duty</w:t>
            </w:r>
          </w:p>
        </w:tc>
      </w:tr>
      <w:tr>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app_service</w:t>
            </w:r>
          </w:p>
        </w:tc>
        <w:tc>
          <w:tcPr>
            <w:tcW w:type="dxa" w:w="28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Financial endpoints, under RLS</w:t>
            </w:r>
          </w:p>
        </w:tc>
        <w:tc>
          <w:tcPr>
            <w:tcW w:type="dxa" w:w="43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SELECT/INSERT/UPDATE on financial tables; no DELETE (soft delete); SELECT only on fx_rates; limited columns of users</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auth_service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Login, sessions, MFA, reset, staff administration</w:t>
            </w:r>
          </w:p>
        </w:tc>
        <w:tc>
          <w:tcPr>
            <w:tcW w:type="dxa" w:w="4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users, sessions, rate_limits, dev_outbox; no financial tables</w:t>
            </w:r>
          </w:p>
        </w:tc>
      </w:tr>
      <w:tr>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stats_reader</w:t>
            </w:r>
          </w:p>
        </w:tc>
        <w:tc>
          <w:tcPr>
            <w:tcW w:type="dxa" w:w="28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admin statistics</w:t>
            </w:r>
          </w:p>
        </w:tc>
        <w:tc>
          <w:tcPr>
            <w:tcW w:type="dxa" w:w="43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SELECT on one aggregate view only</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audit_reader</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Audit page and verifier</w:t>
            </w:r>
          </w:p>
        </w:tc>
        <w:tc>
          <w:tcPr>
            <w:tcW w:type="dxa" w:w="4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SELECT on audit_log; execute audit_verify()</w:t>
            </w:r>
          </w:p>
        </w:tc>
      </w:tr>
      <w:tr>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fx_writer</w:t>
            </w:r>
          </w:p>
        </w:tc>
        <w:tc>
          <w:tcPr>
            <w:tcW w:type="dxa" w:w="28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Daily exchange-rate job only</w:t>
            </w:r>
          </w:p>
        </w:tc>
        <w:tc>
          <w:tcPr>
            <w:tcW w:type="dxa" w:w="43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INSERT/SELECT on fx_rates; its fetch-claim table</w:t>
            </w:r>
          </w:p>
        </w:tc>
      </w:tr>
    </w:tbl>
    <w:p>
      <w:pPr>
        <w:pStyle w:val="Heading2"/>
      </w:pPr>
      <w:r>
        <w:rPr>
          <w:rFonts w:ascii="Arial" w:cs="Arial" w:eastAsia="Arial" w:hAnsi="Arial"/>
        </w:rPr>
        <w:t xml:space="preserve">4.5 Safeguards on staff actions</w:t>
      </w:r>
    </w:p>
    <w:p>
      <w:pPr>
        <w:pStyle w:val="ListParagraph"/>
        <w:numPr>
          <w:ilvl w:val="0"/>
          <w:numId w:val="2"/>
        </w:numPr>
        <w:spacing w:after="80"/>
      </w:pPr>
      <w:r>
        <w:rPr>
          <w:rFonts w:ascii="Arial" w:cs="Arial" w:eastAsia="Arial" w:hAnsi="Arial"/>
          <w:sz w:val="20"/>
          <w:szCs w:val="20"/>
        </w:rPr>
        <w:t xml:space="preserve">Staff cannot act on their own account (no self-unlock, self-promotion or self-reset).</w:t>
      </w:r>
    </w:p>
    <w:p>
      <w:pPr>
        <w:pStyle w:val="ListParagraph"/>
        <w:numPr>
          <w:ilvl w:val="0"/>
          <w:numId w:val="2"/>
        </w:numPr>
        <w:spacing w:after="80"/>
      </w:pPr>
      <w:r>
        <w:rPr>
          <w:rFonts w:ascii="Arial" w:cs="Arial" w:eastAsia="Arial" w:hAnsi="Arial"/>
          <w:sz w:val="20"/>
          <w:szCs w:val="20"/>
        </w:rPr>
        <w:t xml:space="preserve">Role changes require the security owner to re-enter password and a current authenticator code; promotion to a staff role requires the target to have MFA, because staff cannot sign in without it.</w:t>
      </w:r>
    </w:p>
    <w:p>
      <w:pPr>
        <w:pStyle w:val="ListParagraph"/>
        <w:numPr>
          <w:ilvl w:val="0"/>
          <w:numId w:val="2"/>
        </w:numPr>
        <w:spacing w:after="80"/>
      </w:pPr>
      <w:r>
        <w:rPr>
          <w:rFonts w:ascii="Arial" w:cs="Arial" w:eastAsia="Arial" w:hAnsi="Arial"/>
          <w:sz w:val="20"/>
          <w:szCs w:val="20"/>
        </w:rPr>
        <w:t xml:space="preserve">Locking, forced reset and role changes revoke all of the target’s sessions immediately.</w:t>
      </w:r>
    </w:p>
    <w:p>
      <w:pPr>
        <w:pStyle w:val="ListParagraph"/>
        <w:numPr>
          <w:ilvl w:val="0"/>
          <w:numId w:val="2"/>
        </w:numPr>
        <w:spacing w:after="80"/>
      </w:pPr>
      <w:r>
        <w:rPr>
          <w:rFonts w:ascii="Arial" w:cs="Arial" w:eastAsia="Arial" w:hAnsi="Arial"/>
          <w:sz w:val="20"/>
          <w:szCs w:val="20"/>
        </w:rPr>
        <w:t xml:space="preserve">A forced reset makes the password unusable; staff never see or set a password. The user completes the normal emailed reset.</w:t>
      </w:r>
    </w:p>
    <w:p>
      <w:pPr>
        <w:pStyle w:val="ListParagraph"/>
        <w:numPr>
          <w:ilvl w:val="0"/>
          <w:numId w:val="2"/>
        </w:numPr>
        <w:spacing w:after="80"/>
      </w:pPr>
      <w:r>
        <w:rPr>
          <w:rFonts w:ascii="Arial" w:cs="Arial" w:eastAsia="Arial" w:hAnsi="Arial"/>
          <w:sz w:val="20"/>
          <w:szCs w:val="20"/>
        </w:rPr>
        <w:t xml:space="preserve">Every action writes an audit event (account_locked, account_unlocked, password_reset_forced, role_changed_to_&lt;role&gt;).</w:t>
      </w:r>
    </w:p>
    <w:p>
      <w:pPr>
        <w:pStyle w:val="Heading1"/>
      </w:pPr>
      <w:r>
        <w:rPr>
          <w:rFonts w:ascii="Arial" w:cs="Arial" w:eastAsia="Arial" w:hAnsi="Arial"/>
        </w:rPr>
        <w:t xml:space="preserve">5. Security controls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235"/>
        <w:gridCol w:w="2167"/>
      </w:tblGrid>
      <w:tr>
        <w:trPr>
          <w:tblHeader/>
        </w:trPr>
        <w:tc>
          <w:tcPr>
            <w:tcW w:type="dxa" w:w="1624"/>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Control</w:t>
            </w:r>
          </w:p>
        </w:tc>
        <w:tc>
          <w:tcPr>
            <w:tcW w:type="dxa" w:w="5235"/>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Implementation</w:t>
            </w:r>
          </w:p>
        </w:tc>
        <w:tc>
          <w:tcPr>
            <w:tcW w:type="dxa" w:w="2167"/>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Status</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Passwords</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Argon2id with a server-side pepper; minimum 12 characters; zxcvbn strength score ≥ 3; dummy verification equalises timing for unknown accounts</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(T09)</w:t>
            </w:r>
          </w:p>
        </w:tc>
      </w:tr>
      <w:tr>
        <w:tc>
          <w:tcPr>
            <w:tcW w:type="dxa" w:w="16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Lockout</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5 failed passwords in 15 minutes lock the account for 15 minutes; email notice; audit event</w:t>
            </w:r>
          </w:p>
        </w:tc>
        <w:tc>
          <w:tcPr>
            <w:tcW w:type="dxa" w:w="2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(T12)</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MFA brute force</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5 wrong codes revoke the pending session; 10 per account lock it; 20 per IP block the IP</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(T54)</w:t>
            </w:r>
          </w:p>
        </w:tc>
      </w:tr>
      <w:tr>
        <w:tc>
          <w:tcPr>
            <w:tcW w:type="dxa" w:w="16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Re-authentication</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Export, deletion, password, MFA and role changes need the current password (and TOTP when enabled); 5 failures per account block further attempts</w:t>
            </w:r>
          </w:p>
        </w:tc>
        <w:tc>
          <w:tcPr>
            <w:tcW w:type="dxa" w:w="2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(T55)</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Registration and reset abuse</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Per-IP limits checked before expensive hashing; generic responses for existing and unknown emails</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(T28, T31, T32, T53)</w:t>
            </w:r>
          </w:p>
        </w:tc>
      </w:tr>
      <w:tr>
        <w:tc>
          <w:tcPr>
            <w:tcW w:type="dxa" w:w="16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Shared limits</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All limits stored in PostgreSQL, shared by every worker and kept across restarts</w:t>
            </w:r>
          </w:p>
        </w:tc>
        <w:tc>
          <w:tcPr>
            <w:tcW w:type="dxa" w:w="2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(T52)</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Cost abuse</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Per-user hourly limits on chat (may call a paid model) and receipt OCR</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(T66)</w:t>
            </w:r>
          </w:p>
        </w:tc>
      </w:tr>
      <w:tr>
        <w:tc>
          <w:tcPr>
            <w:tcW w:type="dxa" w:w="16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Sessions</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Random 256-bit tokens stored only as SHA-256 hashes; 30-minute idle and 12-hour absolute expiry; revocation on logout, password change and reset</w:t>
            </w:r>
          </w:p>
        </w:tc>
        <w:tc>
          <w:tcPr>
            <w:tcW w:type="dxa" w:w="2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(T14, T33)</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Cookies and CSRF</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HttpOnly, Secure (outside local development), SameSite=Strict; custom header and JSON type required on every state change</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(T29)</w:t>
            </w:r>
          </w:p>
        </w:tc>
      </w:tr>
      <w:tr>
        <w:tc>
          <w:tcPr>
            <w:tcW w:type="dxa" w:w="16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Client IP</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Taken from a platform-overwritten header or a trusted proxy hop; client-supplied forwarding headers ignored by default</w:t>
            </w:r>
          </w:p>
        </w:tc>
        <w:tc>
          <w:tcPr>
            <w:tcW w:type="dxa" w:w="2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(T57); platform header: Configured — verify after deploy</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Field encryption</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AES-256-GCM, fresh 96-bit nonce, associated data binds table, column and row</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(T10, T11)</w:t>
            </w:r>
          </w:p>
        </w:tc>
      </w:tr>
      <w:tr>
        <w:tc>
          <w:tcPr>
            <w:tcW w:type="dxa" w:w="16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Key hierarchy</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Per-user data keys wrapped by a key-encryption key derived with HKDF; separate keys for lookups, pepper and IP HMAC</w:t>
            </w:r>
          </w:p>
        </w:tc>
        <w:tc>
          <w:tcPr>
            <w:tcW w:type="dxa" w:w="2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(crypto tests)</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Key rotation</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KEK rotation re-wraps every data key in one verified transaction; rows are not re-encrypted</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(T64)</w:t>
            </w:r>
          </w:p>
        </w:tc>
      </w:tr>
      <w:tr>
        <w:tc>
          <w:tcPr>
            <w:tcW w:type="dxa" w:w="16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Erasure</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Account deletion destroys the user’s data key, revokes sessions and scrubs metadata; audit trail is kept</w:t>
            </w:r>
          </w:p>
        </w:tc>
        <w:tc>
          <w:tcPr>
            <w:tcW w:type="dxa" w:w="2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(T25)</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Audit log</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Append-only, hash-chained through database functions; IDs and outcomes only; verifier script</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(T26, T65)</w:t>
            </w:r>
          </w:p>
        </w:tc>
      </w:tr>
      <w:tr>
        <w:tc>
          <w:tcPr>
            <w:tcW w:type="dxa" w:w="16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Log hygiene</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No passwords, tokens, emails, amounts, merchants or chat text in logs or audit; startup errors hide configuration values</w:t>
            </w:r>
          </w:p>
        </w:tc>
        <w:tc>
          <w:tcPr>
            <w:tcW w:type="dxa" w:w="2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(T24, T30, T48)</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AI controls</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Consent required; PII masked before parsing; strict output schema; the model never writes numbers (verifier falls back to templates); receipt text is data, never instructions</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(T15, T20, masking tests)</w:t>
            </w:r>
          </w:p>
        </w:tc>
      </w:tr>
      <w:tr>
        <w:tc>
          <w:tcPr>
            <w:tcW w:type="dxa" w:w="16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Exchange rates</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Only fx_writer can insert; database trigger enforces source and currency allowlists, USD = 1, no future dates and a 0.5×–2× plausibility band; outage uses the last snapshot with its age</w:t>
            </w:r>
          </w:p>
        </w:tc>
        <w:tc>
          <w:tcPr>
            <w:tcW w:type="dxa" w:w="2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(T19, T59, T60, T61)</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Web headers</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CSP (no inline scripts, no framing, no plugins), nosniff, Referrer-Policy, Permissions-Policy, COOP; HSTS whenever secure cookies are on</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(smoke test); HSTS on live URL: Configured — verify after deploy</w:t>
            </w:r>
          </w:p>
        </w:tc>
      </w:tr>
      <w:tr>
        <w:tc>
          <w:tcPr>
            <w:tcW w:type="dxa" w:w="16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Health and availability</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/health performs a database round-trip and returns 503 when the database is down</w:t>
            </w:r>
          </w:p>
        </w:tc>
        <w:tc>
          <w:tcPr>
            <w:tcW w:type="dxa" w:w="2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Verified (T56)</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Supply chain</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Pinned Python and npm lockfiles from public registries; weekly Dependabot updates; CI must pass</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Configured — Dependabot active once pushed to GitHub</w:t>
            </w:r>
          </w:p>
        </w:tc>
      </w:tr>
      <w:tr>
        <w:tc>
          <w:tcPr>
            <w:tcW w:type="dxa" w:w="16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Secrets</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Only in the host’s secret store or a local .env (git-ignored); .env.example lists names only; demo data is synthetic</w:t>
            </w:r>
          </w:p>
        </w:tc>
        <w:tc>
          <w:tcPr>
            <w:tcW w:type="dxa" w:w="2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Code review</w:t>
            </w:r>
          </w:p>
        </w:tc>
      </w:tr>
    </w:tbl>
    <w:p>
      <w:pPr>
        <w:pStyle w:val="Heading1"/>
      </w:pPr>
      <w:r>
        <w:rPr>
          <w:rFonts w:ascii="Arial" w:cs="Arial" w:eastAsia="Arial" w:hAnsi="Arial"/>
        </w:rPr>
        <w:t xml:space="preserve">6. Test evidence</w:t>
      </w:r>
    </w:p>
    <w:p>
      <w:pPr>
        <w:spacing w:after="120" w:line="276"/>
      </w:pPr>
      <w:r>
        <w:rPr>
          <w:rFonts w:ascii="Arial" w:cs="Arial" w:eastAsia="Arial" w:hAnsi="Arial"/>
          <w:sz w:val="20"/>
          <w:szCs w:val="20"/>
        </w:rPr>
        <w:t xml:space="preserve">Evidence run: 20 October 2026, Python 3.12.3 and PostgreSQL 16.15, using the six production database roles. Result: 117 backend tests passed, 0 failed; 44 frontend tests passed; audit chain intact after the full suite; no role is a superuser or can bypass RLS. The full matrix (T01–T66) with test names is in evidence/README.md, and CI repeats the run on every push.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6859"/>
        <w:gridCol w:w="1084"/>
      </w:tblGrid>
      <w:tr>
        <w:trPr>
          <w:tblHeader/>
        </w:trPr>
        <w:tc>
          <w:tcPr>
            <w:tcW w:type="dxa" w:w="1083"/>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6859"/>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Security property demonstrated</w:t>
            </w:r>
          </w:p>
        </w:tc>
        <w:tc>
          <w:tcPr>
            <w:tcW w:type="dxa" w:w="1084"/>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Result</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T03</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Foreign transaction ID returns 404 and is audited</w:t>
            </w:r>
          </w:p>
        </w:tc>
        <w:tc>
          <w:tcPr>
            <w:tcW w:type="dxa" w:w="1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T04</w:t>
            </w:r>
          </w:p>
        </w:tc>
        <w:tc>
          <w:tcPr>
            <w:tcW w:type="dxa" w:w="68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app_service sees only the context user’s rows without a WHERE clause</w:t>
            </w:r>
          </w:p>
        </w:tc>
        <w:tc>
          <w:tcPr>
            <w:tcW w:type="dxa" w:w="10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T05</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Every table with user_id has forced RLS</w:t>
            </w:r>
          </w:p>
        </w:tc>
        <w:tc>
          <w:tcPr>
            <w:tcW w:type="dxa" w:w="1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T06</w:t>
            </w:r>
          </w:p>
        </w:tc>
        <w:tc>
          <w:tcPr>
            <w:tcW w:type="dxa" w:w="68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Missing RLS context returns zero rows</w:t>
            </w:r>
          </w:p>
        </w:tc>
        <w:tc>
          <w:tcPr>
            <w:tcW w:type="dxa" w:w="10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T07</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Identity comes from the session, never the request body</w:t>
            </w:r>
          </w:p>
        </w:tc>
        <w:tc>
          <w:tcPr>
            <w:tcW w:type="dxa" w:w="1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T08</w:t>
            </w:r>
          </w:p>
        </w:tc>
        <w:tc>
          <w:tcPr>
            <w:tcW w:type="dxa" w:w="68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Admin denied financial endpoints; statistics are counts only</w:t>
            </w:r>
          </w:p>
        </w:tc>
        <w:tc>
          <w:tcPr>
            <w:tcW w:type="dxa" w:w="10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T10</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Database dump contains only ciphertext; wrong key cannot unwrap</w:t>
            </w:r>
          </w:p>
        </w:tc>
        <w:tc>
          <w:tcPr>
            <w:tcW w:type="dxa" w:w="1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T11</w:t>
            </w:r>
          </w:p>
        </w:tc>
        <w:tc>
          <w:tcPr>
            <w:tcW w:type="dxa" w:w="68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Ciphertext copied to another row fails and is audited</w:t>
            </w:r>
          </w:p>
        </w:tc>
        <w:tc>
          <w:tcPr>
            <w:tcW w:type="dxa" w:w="10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T12–T14</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Lockout, MFA enforcement, session revocation</w:t>
            </w:r>
          </w:p>
        </w:tc>
        <w:tc>
          <w:tcPr>
            <w:tcW w:type="dxa" w:w="1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T15, T20</w:t>
            </w:r>
          </w:p>
        </w:tc>
        <w:tc>
          <w:tcPr>
            <w:tcW w:type="dxa" w:w="68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Prompt injection treated as data; model numbers rejected</w:t>
            </w:r>
          </w:p>
        </w:tc>
        <w:tc>
          <w:tcPr>
            <w:tcW w:type="dxa" w:w="10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T21</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 identity carry-over between pooled requests</w:t>
            </w:r>
          </w:p>
        </w:tc>
        <w:tc>
          <w:tcPr>
            <w:tcW w:type="dxa" w:w="1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T24, T30</w:t>
            </w:r>
          </w:p>
        </w:tc>
        <w:tc>
          <w:tcPr>
            <w:tcW w:type="dxa" w:w="68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Planted canaries absent from logs and audit</w:t>
            </w:r>
          </w:p>
        </w:tc>
        <w:tc>
          <w:tcPr>
            <w:tcW w:type="dxa" w:w="10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T25, T26</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Deletion destroys the key; audit tampering detected</w:t>
            </w:r>
          </w:p>
        </w:tc>
        <w:tc>
          <w:tcPr>
            <w:tcW w:type="dxa" w:w="1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T52–T55</w:t>
            </w:r>
          </w:p>
        </w:tc>
        <w:tc>
          <w:tcPr>
            <w:tcW w:type="dxa" w:w="68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Shared rate limits; registration, MFA and re-auth limits</w:t>
            </w:r>
          </w:p>
        </w:tc>
        <w:tc>
          <w:tcPr>
            <w:tcW w:type="dxa" w:w="10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T56–T57</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Health check honesty; client IP cannot be spoofed</w:t>
            </w:r>
          </w:p>
        </w:tc>
        <w:tc>
          <w:tcPr>
            <w:tcW w:type="dxa" w:w="1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T58–T61</w:t>
            </w:r>
          </w:p>
        </w:tc>
        <w:tc>
          <w:tcPr>
            <w:tcW w:type="dxa" w:w="68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Account isolation; FX writer isolation and guard</w:t>
            </w:r>
          </w:p>
        </w:tc>
        <w:tc>
          <w:tcPr>
            <w:tcW w:type="dxa" w:w="10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T62–T66</w:t>
            </w:r>
          </w:p>
        </w:tc>
        <w:tc>
          <w:tcPr>
            <w:tcW w:type="dxa" w:w="6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Staff administration, MFA disable, KEK rotation, audit verifier, per-user cost limits</w:t>
            </w:r>
          </w:p>
        </w:tc>
        <w:tc>
          <w:tcPr>
            <w:tcW w:type="dxa" w:w="1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PASS</w:t>
            </w:r>
          </w:p>
        </w:tc>
      </w:tr>
    </w:tbl>
    <w:p>
      <w:pPr>
        <w:spacing w:after="120"/>
      </w:pPr>
    </w:p>
    <w:p>
      <w:pPr>
        <w:spacing w:after="120" w:line="276"/>
      </w:pPr>
      <w:r>
        <w:rPr>
          <w:rFonts w:ascii="Arial" w:cs="Arial" w:eastAsia="Arial" w:hAnsi="Arial"/>
          <w:b/>
          <w:bCs/>
          <w:sz w:val="20"/>
          <w:szCs w:val="20"/>
        </w:rPr>
        <w:t xml:space="preserve">Not yet demonstrated. </w:t>
      </w:r>
      <w:r>
        <w:rPr>
          <w:rFonts w:ascii="Arial" w:cs="Arial" w:eastAsia="Arial" w:hAnsi="Arial"/>
          <w:sz w:val="20"/>
          <w:szCs w:val="20"/>
        </w:rPr>
        <w:t xml:space="preserve">A Docker image build on the developer machine (CI builds and smoke-tests it on the first push); a live email send; a live exchange-rate fetch; TLS version and the client-IP header on the deployed URL. These are checked after deployment, not claimed here.</w:t>
      </w:r>
    </w:p>
    <w:p>
      <w:pPr>
        <w:pStyle w:val="Heading1"/>
      </w:pPr>
      <w:r>
        <w:rPr>
          <w:rFonts w:ascii="Arial" w:cs="Arial" w:eastAsia="Arial" w:hAnsi="Arial"/>
        </w:rPr>
        <w:t xml:space="preserve">7. Known-risk list</w:t>
      </w:r>
    </w:p>
    <w:p>
      <w:pPr>
        <w:spacing w:after="120" w:line="276"/>
      </w:pPr>
      <w:r>
        <w:rPr>
          <w:rFonts w:ascii="Arial" w:cs="Arial" w:eastAsia="Arial" w:hAnsi="Arial"/>
          <w:sz w:val="20"/>
          <w:szCs w:val="20"/>
        </w:rPr>
        <w:t xml:space="preserve">Severity and likelihood use the same scale as the Technical Documentation. R1–R12 continue the original register (R8 is now mitigated); R13–R18 were identified during this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805"/>
        <w:gridCol w:w="992"/>
        <w:gridCol w:w="1173"/>
        <w:gridCol w:w="1895"/>
        <w:gridCol w:w="1444"/>
        <w:gridCol w:w="1086"/>
      </w:tblGrid>
      <w:tr>
        <w:trPr>
          <w:tblHeader/>
        </w:trPr>
        <w:tc>
          <w:tcPr>
            <w:tcW w:type="dxa" w:w="631"/>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1805"/>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Risk</w:t>
            </w:r>
          </w:p>
        </w:tc>
        <w:tc>
          <w:tcPr>
            <w:tcW w:type="dxa" w:w="992"/>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Severity</w:t>
            </w:r>
          </w:p>
        </w:tc>
        <w:tc>
          <w:tcPr>
            <w:tcW w:type="dxa" w:w="1173"/>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Likelihood</w:t>
            </w:r>
          </w:p>
        </w:tc>
        <w:tc>
          <w:tcPr>
            <w:tcW w:type="dxa" w:w="1895"/>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Mitigation</w:t>
            </w:r>
          </w:p>
        </w:tc>
        <w:tc>
          <w:tcPr>
            <w:tcW w:type="dxa" w:w="1444"/>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Residual</w:t>
            </w:r>
          </w:p>
        </w:tc>
        <w:tc>
          <w:tcPr>
            <w:tcW w:type="dxa" w:w="1086"/>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Status</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Dates, currency codes, transaction kind and row counts are not encrypted</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Low</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Certain</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Needed for indexing and RLS; amounts, merchants, notes, account names and bills are encrypted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 database reader sees activity timing</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R2</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Decrypted values exist in backend memory while a request is served</w:t>
            </w:r>
          </w:p>
        </w:tc>
        <w:tc>
          <w:tcPr>
            <w:tcW w:type="dxa" w:w="9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Medium</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Possible</w:t>
            </w:r>
          </w:p>
        </w:tc>
        <w:tc>
          <w:tcPr>
            <w:tcW w:type="dxa" w:w="18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Short-lived values; keys never logged; one user’s key unwrapped per request</w:t>
            </w:r>
          </w:p>
        </w:tc>
        <w:tc>
          <w:tcPr>
            <w:tcW w:type="dxa" w:w="14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Memory compromise exposes active data</w:t>
            </w:r>
          </w:p>
        </w:tc>
        <w:tc>
          <w:tcPr>
            <w:tcW w:type="dxa" w:w="10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 fully compromised backend can set any RLS context and decrypt reachable data</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High</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Unlikely</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Least-privilege roles; app cannot write rates or run DDL; per-user keys; audit trail</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Not eliminated; RLS defends against bugs, not a hostile process</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R4</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MASTER_SECRET is held in the host’s secret store, not a hardware KMS; rotating it (pepper, lookup keys) would force password resets</w:t>
            </w:r>
          </w:p>
        </w:tc>
        <w:tc>
          <w:tcPr>
            <w:tcW w:type="dxa" w:w="9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High</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Unlikely</w:t>
            </w:r>
          </w:p>
        </w:tc>
        <w:tc>
          <w:tcPr>
            <w:tcW w:type="dxa" w:w="18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KEK separable and rotatable (T64); secret never logged; backup procedure</w:t>
            </w:r>
          </w:p>
        </w:tc>
        <w:tc>
          <w:tcPr>
            <w:tcW w:type="dxa" w:w="14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Host compromise reaches keys</w:t>
            </w:r>
          </w:p>
        </w:tc>
        <w:tc>
          <w:tcPr>
            <w:tcW w:type="dxa" w:w="10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AI provider handling of submitted text is outside our control</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Medium</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Possible</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Optional; consent; masking; numbers never sent; synthetic demo data</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Real users need a no-training provider agreement</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R6</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Misparsed amount or currency from chat or receipts</w:t>
            </w:r>
          </w:p>
        </w:tc>
        <w:tc>
          <w:tcPr>
            <w:tcW w:type="dxa" w:w="9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Medium</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Likely</w:t>
            </w:r>
          </w:p>
        </w:tc>
        <w:tc>
          <w:tcPr>
            <w:tcW w:type="dxa" w:w="18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Mandatory confirmation; pending status; duplicate blocking; receipt total reconciliation</w:t>
            </w:r>
          </w:p>
        </w:tc>
        <w:tc>
          <w:tcPr>
            <w:tcW w:type="dxa" w:w="14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User may confirm a wrong value</w:t>
            </w:r>
          </w:p>
        </w:tc>
        <w:tc>
          <w:tcPr>
            <w:tcW w:type="dxa" w:w="10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Mitigated</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Daily rate snapshot differs from bank settlement rates</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Low</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Certain</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Policy and snapshot age shown on reports; fees tracked separately; manual rate option</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Differences from card statements</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R8</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Rate limits could be bypassed across instances</w:t>
            </w:r>
          </w:p>
        </w:tc>
        <w:tc>
          <w:tcPr>
            <w:tcW w:type="dxa" w:w="9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Low</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Unlikely</w:t>
            </w:r>
          </w:p>
        </w:tc>
        <w:tc>
          <w:tcPr>
            <w:tcW w:type="dxa" w:w="18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Now stored in PostgreSQL and shared (T52)</w:t>
            </w:r>
          </w:p>
        </w:tc>
        <w:tc>
          <w:tcPr>
            <w:tcW w:type="dxa" w:w="14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Fixed windows allow short bursts at window edges</w:t>
            </w:r>
          </w:p>
        </w:tc>
        <w:tc>
          <w:tcPr>
            <w:tcW w:type="dxa" w:w="10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Mitigated</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R9</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Budget heuristics (median + 0.5 MAD, 70% ceiling) are product choices, not advice</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Low</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Certain</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Each suggestion needs explicit approval and is labelled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Not validated as financial advice</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R10</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No third-party penetration test</w:t>
            </w:r>
          </w:p>
        </w:tc>
        <w:tc>
          <w:tcPr>
            <w:tcW w:type="dxa" w:w="9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Medium</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Certain</w:t>
            </w:r>
          </w:p>
        </w:tc>
        <w:tc>
          <w:tcPr>
            <w:tcW w:type="dxa" w:w="18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Own tests, code review, CI</w:t>
            </w:r>
          </w:p>
        </w:tc>
        <w:tc>
          <w:tcPr>
            <w:tcW w:type="dxa" w:w="14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Unknown vulnerabilities may remain</w:t>
            </w:r>
          </w:p>
        </w:tc>
        <w:tc>
          <w:tcPr>
            <w:tcW w:type="dxa" w:w="10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Open</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R11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Provider backups outlive account deletion for their retention window</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Low</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Certain</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Disclosed to users; backups are encrypted by the provider; deletion destroys the live key</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Backups taken before deletion still hold the wrapped key, so data is recoverable from them by someone with MASTER_SECRET until they expire</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R12</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Prototype built on a short timeline</w:t>
            </w:r>
          </w:p>
        </w:tc>
        <w:tc>
          <w:tcPr>
            <w:tcW w:type="dxa" w:w="9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Medium</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Likely</w:t>
            </w:r>
          </w:p>
        </w:tc>
        <w:tc>
          <w:tcPr>
            <w:tcW w:type="dxa" w:w="18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Layered controls; highest-impact tests first; CI</w:t>
            </w:r>
          </w:p>
        </w:tc>
        <w:tc>
          <w:tcPr>
            <w:tcW w:type="dxa" w:w="14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Some paths less tested than others</w:t>
            </w:r>
          </w:p>
        </w:tc>
        <w:tc>
          <w:tcPr>
            <w:tcW w:type="dxa" w:w="10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R13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Account lockout can be triggered deliberately to deny a user access</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Medium</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Possible</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Lock lasts 15 minutes; user emailed; security owner can unlock</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Short denial of service for a targeted user</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R14</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Whoever holds the fx_writer secret can insert plausible but false rates</w:t>
            </w:r>
          </w:p>
        </w:tc>
        <w:tc>
          <w:tcPr>
            <w:tcW w:type="dxa" w:w="9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Medium</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Unlikely</w:t>
            </w:r>
          </w:p>
        </w:tc>
        <w:tc>
          <w:tcPr>
            <w:tcW w:type="dxa" w:w="18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Only the scheduled job holds it; source/currency allowlists; 2× plausibility band; append-only</w:t>
            </w:r>
          </w:p>
        </w:tc>
        <w:tc>
          <w:tcPr>
            <w:tcW w:type="dxa" w:w="14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Small manipulation inside the band</w:t>
            </w:r>
          </w:p>
        </w:tc>
        <w:tc>
          <w:tcPr>
            <w:tcW w:type="dxa" w:w="10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R15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 TOTP code can be reused within its 90-second validity window</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Low</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Unlikely</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Needs the password too; per-session and per-account attempt limits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Narrow replay window</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Open</w:t>
            </w:r>
          </w:p>
        </w:tc>
      </w:tr>
      <w:tr>
        <w:tc>
          <w:tcPr>
            <w:tcW w:type="dxa" w:w="63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R16</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Free hosting: cold starts, no SLA, database limits; email and rate providers are external</w:t>
            </w:r>
          </w:p>
        </w:tc>
        <w:tc>
          <w:tcPr>
            <w:tcW w:type="dxa" w:w="9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Medium</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Likely</w:t>
            </w:r>
          </w:p>
        </w:tc>
        <w:tc>
          <w:tcPr>
            <w:tcW w:type="dxa" w:w="18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Honest /health; last-snapshot fallback; generic responses when email fails</w:t>
            </w:r>
          </w:p>
        </w:tc>
        <w:tc>
          <w:tcPr>
            <w:tcW w:type="dxa" w:w="14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Availability depends on providers</w:t>
            </w:r>
          </w:p>
        </w:tc>
        <w:tc>
          <w:tcPr>
            <w:tcW w:type="dxa" w:w="10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R17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 security owner could misuse lock or force-reset powers</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Medium</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Unlikely</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No financial access; cannot act on self; role changes need re-auth; every action audited and hash-chained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Insider misuse is detectable, not preventable</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Accepted</w:t>
            </w:r>
          </w:p>
        </w:tc>
      </w:tr>
      <w:tr>
        <w:tc>
          <w:tcPr>
            <w:tcW w:type="dxa" w:w="63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R18</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Client IP identification depends on the platform’s headers</w:t>
            </w:r>
          </w:p>
        </w:tc>
        <w:tc>
          <w:tcPr>
            <w:tcW w:type="dxa" w:w="9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Medium</w:t>
            </w:r>
          </w:p>
        </w:tc>
        <w:tc>
          <w:tcPr>
            <w:tcW w:type="dxa" w:w="117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Possible</w:t>
            </w:r>
          </w:p>
        </w:tc>
        <w:tc>
          <w:tcPr>
            <w:tcW w:type="dxa" w:w="18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Configurable trusted header and proxy hops; spoofed headers ignored by default (T57)</w:t>
            </w:r>
          </w:p>
        </w:tc>
        <w:tc>
          <w:tcPr>
            <w:tcW w:type="dxa" w:w="14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Wrong platform setting could merge or split IP limits</w:t>
            </w:r>
          </w:p>
        </w:tc>
        <w:tc>
          <w:tcPr>
            <w:tcW w:type="dxa" w:w="10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Verify after deploy</w:t>
            </w:r>
          </w:p>
        </w:tc>
      </w:tr>
    </w:tbl>
    <w:p>
      <w:pPr>
        <w:pStyle w:val="Heading1"/>
      </w:pPr>
      <w:r>
        <w:rPr>
          <w:rFonts w:ascii="Arial" w:cs="Arial" w:eastAsia="Arial" w:hAnsi="Arial"/>
        </w:rPr>
        <w:t xml:space="preserve">8. Alignment with recognised guidance</w:t>
      </w:r>
    </w:p>
    <w:p>
      <w:pPr>
        <w:spacing w:after="120" w:line="276"/>
      </w:pPr>
      <w:r>
        <w:rPr>
          <w:rFonts w:ascii="Arial" w:cs="Arial" w:eastAsia="Arial" w:hAnsi="Arial"/>
          <w:sz w:val="20"/>
          <w:szCs w:val="20"/>
        </w:rPr>
        <w:t xml:space="preserve">No legal compliance assessment or certification has been performed or is claimed. The design was checked against the following engineering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tblHeader/>
        </w:trPr>
        <w:tc>
          <w:tcPr>
            <w:tcW w:type="dxa" w:w="379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Reference</w:t>
            </w:r>
          </w:p>
        </w:tc>
        <w:tc>
          <w:tcPr>
            <w:tcW w:type="dxa" w:w="5236"/>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How the design addresses it</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OWASP API Security Top 10 (2023): broken object and function level authorization</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Ownership checks plus forced RLS (T03, T04); central default-deny permission table (T08, T45)</w:t>
            </w:r>
          </w:p>
        </w:tc>
      </w:tr>
      <w:tr>
        <w:tc>
          <w:tcPr>
            <w:tcW w:type="dxa" w:w="379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OWASP API Top 10: broken authentication; unrestricted resource consumption</w:t>
            </w:r>
          </w:p>
        </w:tc>
        <w:tc>
          <w:tcPr>
            <w:tcW w:type="dxa" w:w="523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Argon2id, MFA, lockout and shared rate limits (T12, T52–T55, T66)</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OWASP ASVS: session management; cryptography; logging</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Hashed tokens and timeouts; AES-GCM with bound associated data; sanitised hash-chained audit (T14, T11, T26)</w:t>
            </w:r>
          </w:p>
        </w:tc>
      </w:tr>
      <w:tr>
        <w:tc>
          <w:tcPr>
            <w:tcW w:type="dxa" w:w="379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OWASP Top 10 for LLM Applications: prompt injection; sensitive information disclosure; overreliance</w:t>
            </w:r>
          </w:p>
        </w:tc>
        <w:tc>
          <w:tcPr>
            <w:tcW w:type="dxa" w:w="523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Receipt text is data; masking and consent; model never writes numbers (T15, T20)</w:t>
            </w:r>
          </w:p>
        </w:tc>
      </w:tr>
      <w:tr>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NIST SP 800-63B</w:t>
            </w:r>
          </w:p>
        </w:tc>
        <w:tc>
          <w:tcPr>
            <w:tcW w:type="dxa" w:w="5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Length-based password policy with strength estimation, throttling and MFA</w:t>
            </w:r>
          </w:p>
        </w:tc>
      </w:tr>
      <w:tr>
        <w:tc>
          <w:tcPr>
            <w:tcW w:type="dxa" w:w="379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Data-protection principles (minimisation, purpose limitation, consent, erasure)</w:t>
            </w:r>
          </w:p>
        </w:tc>
        <w:tc>
          <w:tcPr>
            <w:tcW w:type="dxa" w:w="523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No card numbers or receipt images stored; chat text not stored; consent recorded; export and key-destroying deletion</w:t>
            </w:r>
          </w:p>
        </w:tc>
      </w:tr>
    </w:tbl>
    <w:p>
      <w:pPr>
        <w:pStyle w:val="Heading1"/>
      </w:pPr>
      <w:r>
        <w:rPr>
          <w:rFonts w:ascii="Arial" w:cs="Arial" w:eastAsia="Arial" w:hAnsi="Arial"/>
        </w:rPr>
        <w:t xml:space="preserve">9. Recommended next steps</w:t>
      </w:r>
    </w:p>
    <w:p>
      <w:pPr>
        <w:pStyle w:val="ListParagraph"/>
        <w:numPr>
          <w:ilvl w:val="0"/>
          <w:numId w:val="2"/>
        </w:numPr>
        <w:spacing w:after="80"/>
      </w:pPr>
      <w:r>
        <w:rPr>
          <w:rFonts w:ascii="Arial" w:cs="Arial" w:eastAsia="Arial" w:hAnsi="Arial"/>
          <w:sz w:val="20"/>
          <w:szCs w:val="20"/>
        </w:rPr>
        <w:t xml:space="preserve">Commission an independent penetration test before handling real user data (R10).</w:t>
      </w:r>
    </w:p>
    <w:p>
      <w:pPr>
        <w:pStyle w:val="ListParagraph"/>
        <w:numPr>
          <w:ilvl w:val="0"/>
          <w:numId w:val="2"/>
        </w:numPr>
        <w:spacing w:after="80"/>
      </w:pPr>
      <w:r>
        <w:rPr>
          <w:rFonts w:ascii="Arial" w:cs="Arial" w:eastAsia="Arial" w:hAnsi="Arial"/>
          <w:sz w:val="20"/>
          <w:szCs w:val="20"/>
        </w:rPr>
        <w:t xml:space="preserve">Track the last accepted TOTP time step per user to remove the replay window (R15).</w:t>
      </w:r>
    </w:p>
    <w:p>
      <w:pPr>
        <w:pStyle w:val="ListParagraph"/>
        <w:numPr>
          <w:ilvl w:val="0"/>
          <w:numId w:val="2"/>
        </w:numPr>
        <w:spacing w:after="80"/>
      </w:pPr>
      <w:r>
        <w:rPr>
          <w:rFonts w:ascii="Arial" w:cs="Arial" w:eastAsia="Arial" w:hAnsi="Arial"/>
          <w:sz w:val="20"/>
          <w:szCs w:val="20"/>
        </w:rPr>
        <w:t xml:space="preserve">Move MASTER_SECRET into a managed key service and support versioned pepper and lookup keys (R4).</w:t>
      </w:r>
    </w:p>
    <w:p>
      <w:pPr>
        <w:pStyle w:val="ListParagraph"/>
        <w:numPr>
          <w:ilvl w:val="0"/>
          <w:numId w:val="2"/>
        </w:numPr>
        <w:spacing w:after="80"/>
      </w:pPr>
      <w:r>
        <w:rPr>
          <w:rFonts w:ascii="Arial" w:cs="Arial" w:eastAsia="Arial" w:hAnsi="Arial"/>
          <w:sz w:val="20"/>
          <w:szCs w:val="20"/>
        </w:rPr>
        <w:t xml:space="preserve">Add per-user alerting on unusual decryption volume to shorten detection time for R3.</w:t>
      </w:r>
    </w:p>
    <w:p>
      <w:pPr>
        <w:pStyle w:val="ListParagraph"/>
        <w:numPr>
          <w:ilvl w:val="0"/>
          <w:numId w:val="2"/>
        </w:numPr>
        <w:spacing w:after="80"/>
      </w:pPr>
      <w:r>
        <w:rPr>
          <w:rFonts w:ascii="Arial" w:cs="Arial" w:eastAsia="Arial" w:hAnsi="Arial"/>
          <w:sz w:val="20"/>
          <w:szCs w:val="20"/>
        </w:rPr>
        <w:t xml:space="preserve">Confirm on the live URL: TLS version, HSTS header, the client-IP header, one real password-reset email and one live exchange-rate fetch.</w:t>
      </w:r>
    </w:p>
    <w:p>
      <w:pPr>
        <w:pStyle w:val="Heading1"/>
      </w:pPr>
      <w:r>
        <w:rPr>
          <w:rFonts w:ascii="Arial" w:cs="Arial" w:eastAsia="Arial" w:hAnsi="Arial"/>
        </w:rPr>
        <w:t xml:space="preserve">10.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3610"/>
        <w:gridCol w:w="2348"/>
      </w:tblGrid>
      <w:tr>
        <w:trPr>
          <w:tblHeader/>
        </w:trPr>
        <w:tc>
          <w:tcPr>
            <w:tcW w:type="dxa" w:w="3068"/>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Role</w:t>
            </w:r>
          </w:p>
        </w:tc>
        <w:tc>
          <w:tcPr>
            <w:tcW w:type="dxa" w:w="361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Name</w:t>
            </w:r>
          </w:p>
        </w:tc>
        <w:tc>
          <w:tcPr>
            <w:tcW w:type="dxa" w:w="2348"/>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Date</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Security owner</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[name]</w:t>
            </w:r>
          </w:p>
        </w:tc>
        <w:tc>
          <w:tcPr>
            <w:tcW w:type="dxa" w:w="2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7"/>
                <w:szCs w:val="17"/>
              </w:rPr>
              <w:t xml:space="preserve">[date]</w:t>
            </w:r>
          </w:p>
        </w:tc>
      </w:tr>
      <w:tr>
        <w:tc>
          <w:tcPr>
            <w:tcW w:type="dxa" w:w="30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Engineering lead</w:t>
            </w:r>
          </w:p>
        </w:tc>
        <w:tc>
          <w:tcPr>
            <w:tcW w:type="dxa" w:w="3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[name]</w:t>
            </w:r>
          </w:p>
        </w:tc>
        <w:tc>
          <w:tcPr>
            <w:tcW w:type="dxa" w:w="234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Arial" w:cs="Arial" w:eastAsia="Arial" w:hAnsi="Arial"/>
                <w:b w:val="false"/>
                <w:bCs w:val="false"/>
                <w:sz w:val="17"/>
                <w:szCs w:val="17"/>
              </w:rPr>
              <w:t xml:space="preserve">[date]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Finwise · Security Self-Assessment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3D"/>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Self-Assessment Report — Finwise</dc:title>
  <dc:creator>[Team Name]</dc:creator>
  <cp:lastModifiedBy>Un-named</cp:lastModifiedBy>
  <cp:revision>1</cp:revision>
  <dcterms:created xsi:type="dcterms:W3CDTF">2026-10-20T09:39:45.394Z</dcterms:created>
  <dcterms:modified xsi:type="dcterms:W3CDTF">2026-10-20T09:39:45.394Z</dcterms:modified>
</cp:coreProperties>
</file>

<file path=docProps/custom.xml><?xml version="1.0" encoding="utf-8"?>
<Properties xmlns="http://schemas.openxmlformats.org/officeDocument/2006/custom-properties" xmlns:vt="http://schemas.openxmlformats.org/officeDocument/2006/docPropsVTypes"/>
</file>