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363" w:rsidRDefault="002949A4">
      <w:r w:rsidRPr="002949A4">
        <w:t>Do big fecund fish contribute relatively more to population productivity when they are scarce</w:t>
      </w:r>
      <w:r>
        <w:t>?</w:t>
      </w:r>
    </w:p>
    <w:p w:rsidR="00FF77FA" w:rsidRDefault="00FF77FA"/>
    <w:p w:rsidR="00FF77FA" w:rsidRDefault="00FF77FA">
      <w:r>
        <w:t>Authors</w:t>
      </w:r>
    </w:p>
    <w:p w:rsidR="00FF77FA" w:rsidRPr="00811FED" w:rsidRDefault="00FF77FA">
      <w:r w:rsidRPr="00811FED">
        <w:t xml:space="preserve">Nis, Mikael, Ole, Jane, Anna, Ken? </w:t>
      </w:r>
    </w:p>
    <w:p w:rsidR="00887997" w:rsidRDefault="00887997" w:rsidP="00887997">
      <w:pPr>
        <w:pStyle w:val="Heading1"/>
      </w:pPr>
      <w:r>
        <w:t>Introduction</w:t>
      </w:r>
    </w:p>
    <w:p w:rsidR="00F1319F" w:rsidRDefault="00F1319F">
      <w:r>
        <w:t>To have continued sustainable exploitation of marine fish stocks there needs to be a thorough assessment of impact of changing the size and age structure of a population. Fishing changes the age structure of populations by selectively removing older (and larger) fish both due to the inherent gear selectivity, but also through the accumulated mortality older fish experience</w:t>
      </w:r>
      <w:r w:rsidR="003D3B24">
        <w:t xml:space="preserve"> </w:t>
      </w:r>
      <w:r w:rsidR="003D3B24">
        <w:fldChar w:fldCharType="begin" w:fldLock="1"/>
      </w:r>
      <w:r w:rsidR="00E8577E">
        <w:instrText>ADDIN CSL_CITATION {"citationItems":[{"id":"ITEM-1","itemData":{"DOI":"10.1016/j.cub.2017.07.069","ISSN":"09609822","PMID":"28918949","abstract":"Researchers have long recognized the importance of ecological differences at the species level in structuring natural communities yet until recently have often overlooked the influence of intraspecific trait variation, which can profoundly alter community dynamics [1]. Human extraction of living resources can reduce intraspecific trait variation by, for example, causing truncation of age and size structure of populations, where numbers of older individuals decline far more with exploitation than younger individuals. Age truncation can negatively affect population and community stability, increasing variability in population and community biomass [2–6], reducing productivity [7–10] and life-history diversity in traits such as the spatial and temporal pattern of reproduction and migration [4, 11–16]. Here, we quantified the extent of age truncation in 63 fished populations across five ocean regions, as measured by how much the proportions of fish in the oldest age groups declined over time. The proportion of individuals in the oldest age classes decreased significantly in 79% to 97% of populations (compared to historical or unfished values, respectively), and the magnitude of decline was greater than 90% in 32% to 41% of populations. The pervasiveness and intensity of age truncation indicates that fishing is likely reducing the stability of many marine communities. Our findings suggest that more emphasis should be given to management measures that reduce the impact of fishing on age truncation, including no-take areas, slot limits that prohibit fishing on all except a narrow range of fish sizes, and rotational harvesting.","author":[{"dropping-particle":"","family":"Barnett","given":"Lewis A.K.","non-dropping-particle":"","parse-names":false,"suffix":""},{"dropping-particle":"","family":"Branch","given":"Trevor A.","non-dropping-particle":"","parse-names":false,"suffix":""},{"dropping-particle":"","family":"Ranasinghe","given":"R. Anthony","non-dropping-particle":"","parse-names":false,"suffix":""},{"dropping-particle":"","family":"Essington","given":"Timothy E.","non-dropping-particle":"","parse-names":false,"suffix":""}],"container-title":"Current Biology","id":"ITEM-1","issued":{"date-parts":[["2017"]]},"page":"1-6","publisher":"Elsevier Ltd.","title":"Old-Growth Fishes Become Scarce under Fishing","type":"article-journal"},"uris":["http://www.mendeley.com/documents/?uuid=35a71ff2-b489-44c5-9a14-a848ba7dcef2"]}],"mendeley":{"formattedCitation":"(Barnett et al., 2017)","plainTextFormattedCitation":"(Barnett et al., 2017)","previouslyFormattedCitation":"(Barnett et al., 2017)"},"properties":{"noteIndex":0},"schema":"https://github.com/citation-style-language/schema/raw/master/csl-citation.json"}</w:instrText>
      </w:r>
      <w:r w:rsidR="003D3B24">
        <w:fldChar w:fldCharType="separate"/>
      </w:r>
      <w:r w:rsidR="003D3B24" w:rsidRPr="003D3B24">
        <w:rPr>
          <w:noProof/>
        </w:rPr>
        <w:t>(Barnett et al., 2017)</w:t>
      </w:r>
      <w:r w:rsidR="003D3B24">
        <w:fldChar w:fldCharType="end"/>
      </w:r>
      <w:r>
        <w:t>.</w:t>
      </w:r>
      <w:r w:rsidR="00FF77FA">
        <w:t xml:space="preserve"> However, the consequence this has on sustainable management of fish is not </w:t>
      </w:r>
    </w:p>
    <w:p w:rsidR="002949A4" w:rsidRDefault="002949A4">
      <w:r>
        <w:t xml:space="preserve">It has been argued in the literature that </w:t>
      </w:r>
      <w:r w:rsidR="00FF77FA">
        <w:t xml:space="preserve">maternal effects (or sometimes called </w:t>
      </w:r>
      <w:r>
        <w:t>‘big old fat female fecund fish</w:t>
      </w:r>
      <w:r w:rsidR="00FF77FA">
        <w:t xml:space="preserve"> (BOFFFS)</w:t>
      </w:r>
      <w:r>
        <w:t xml:space="preserve">’ may provide an increased number </w:t>
      </w:r>
      <w:r w:rsidR="00FF77FA">
        <w:t xml:space="preserve">(and viability) </w:t>
      </w:r>
      <w:r>
        <w:t xml:space="preserve">of eggs per kg of spawning fish, in comparison to their younger and smaller specimen </w:t>
      </w:r>
      <w:r>
        <w:fldChar w:fldCharType="begin" w:fldLock="1"/>
      </w:r>
      <w:r>
        <w:instrText>ADDIN CSL_CITATION {"citationItems":[{"id":"ITEM-1","itemData":{"DOI":"10.1126/science.aao6868","ISSN":"10959203","PMID":"29748282","abstract":"Body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productivity.","author":[{"dropping-particle":"","family":"Barneche","given":"Diego R.","non-dropping-particle":"","parse-names":false,"suffix":""},{"dropping-particle":"","family":"Ross Robertson","given":"D.","non-dropping-particle":"","parse-names":false,"suffix":""},{"dropping-particle":"","family":"White","given":"Craig R.","non-dropping-particle":"","parse-names":false,"suffix":""},{"dropping-particle":"","family":"Marshall","given":"Dustin J.","non-dropping-particle":"","parse-names":false,"suffix":""}],"container-title":"Science","id":"ITEM-1","issue":"6389","issued":{"date-parts":[["2018"]]},"page":"642-645","title":"Fish reproductive-energy output increases disproportionately with body size","type":"article-journal","volume":"360"},"uris":["http://www.mendeley.com/documents/?uuid=01259bc9-9eff-4492-8800-7b26bc6322c8"]},{"id":"ITEM-2","itemData":{"author":[{"dropping-particle":"","family":"Field","given":"John G","non-dropping-particle":"","parse-names":false,"suffix":""},{"dropping-particle":"","family":"Moloney","given":"Coleen L","non-dropping-particle":"","parse-names":false,"suffix":""},{"dropping-particle":"","family":"Buisson","given":"Louis","non-dropping-particle":"","parse-names":false,"suffix":""},{"dropping-particle":"","family":"Jarre","given":"Astrid","non-dropping-particle":"","parse-names":false,"suffix":""},{"dropping-particle":"","family":"Stroemme","given":"Tore","non-dropping-particle":"","parse-names":false,"suffix":""},{"dropping-particle":"","family":"Lipinski","given":"Marek R","non-dropping-particle":"","parse-names":false,"suffix":""}],"id":"ITEM-2","issued":{"date-parts":[["2008"]]},"page":"17-26","title":"Exploring the BOFFFF Hypothesis Using a Model of Southern African Deepwater Hake ( Merluccius paradoxus )","type":"article-journal"},"uris":["http://www.mendeley.com/documents/?uuid=e4b8cf3c-47da-41d9-80c7-1532ff5a936f"]}],"mendeley":{"formattedCitation":"(Barneche et al., 2018; Field et al., 2008)","plainTextFormattedCitation":"(Barneche et al., 2018; Field et al., 2008)","previouslyFormattedCitation":"(Barneche et al., 2018; Field et al., 2008)"},"properties":{"noteIndex":0},"schema":"https://github.com/citation-style-language/schema/raw/master/csl-citation.json"}</w:instrText>
      </w:r>
      <w:r>
        <w:fldChar w:fldCharType="separate"/>
      </w:r>
      <w:r w:rsidRPr="002949A4">
        <w:rPr>
          <w:noProof/>
        </w:rPr>
        <w:t>(Barneche et al., 2018; Field et al., 2008)</w:t>
      </w:r>
      <w:r>
        <w:fldChar w:fldCharType="end"/>
      </w:r>
      <w:r>
        <w:t xml:space="preserve">, and may therefore lead to erroneous estimates of population productivity and thus have management incorrectly calculate reference points </w:t>
      </w:r>
      <w:r>
        <w:fldChar w:fldCharType="begin" w:fldLock="1"/>
      </w:r>
      <w:r w:rsidR="003D3B24">
        <w:instrText>ADDIN CSL_CITATION {"citationItems":[{"id":"ITEM-1","itemData":{"DOI":"10.1073/pnas.2100695118","ISBN":"2100695118","ISSN":"10916490","PMID":"34400498","abstract":"Marine fisheries are an essential component of global food security, but many are close to their limits and some are overfished. The models that guide the management of these fisheries almost always assume reproduction is proportional to mass (isometry), when fecundity generally increases disproportionately to mass (hyperallometry). Judged against several management reference points, we show that assuming isometry overestimates the replenishment potential of exploited fish stocks by 22% (range: 2% to 78%) for 32 of the world's largest fisheries, risking systematic overharvesting. We calculate that target catches based on assumptions of isometry are more than double those based on assumptions of hyperallometry for most species, such that common reference points are set twice as high as they should be to maintain the target level of replenishment. We also show that hyperallometric reproduction provides opportunities for increasing the efficacy of tools that are underused in standard fisheries management, such as protected areas or harvest slot limits. Adopting management strategies that conserve large, hyperfecund fish may, in some instances, result in higher yields relative to traditional approaches. We recommend that future assessment of reference points and quotas include reproductive hyperallometry unless there is clear evidence that it does not occur in that species.","author":[{"dropping-particle":"","family":"Marshall","given":"Dustin J.","non-dropping-particle":"","parse-names":false,"suffix":""},{"dropping-particle":"","family":"Bode","given":"Michael","non-dropping-particle":"","parse-names":false,"suffix":""},{"dropping-particle":"","family":"Mangel","given":"Marc","non-dropping-particle":"","parse-names":false,"suffix":""},{"dropping-particle":"","family":"Arlinghaus","given":"Robert","non-dropping-particle":"","parse-names":false,"suffix":""},{"dropping-particle":"","family":"Dick","given":"E. J.","non-dropping-particle":"","parse-names":false,"suffix":""}],"container-title":"Proceedings of the National Academy of Sciences of the United States of America","id":"ITEM-1","issue":"34","issued":{"date-parts":[["2021"]]},"page":"1-8","title":"Reproductive hyperallometry and managing the world's fisheries","type":"article-journal","volume":"118"},"uris":["http://www.mendeley.com/documents/?uuid=4b1f4ddf-baac-43ad-bcd4-bd7a4a04e765"]}],"mendeley":{"formattedCitation":"(Marshall et al., 2021)","plainTextFormattedCitation":"(Marshall et al., 2021)","previouslyFormattedCitation":"(Marshall et al., 2021)"},"properties":{"noteIndex":0},"schema":"https://github.com/citation-style-language/schema/raw/master/csl-citation.json"}</w:instrText>
      </w:r>
      <w:r>
        <w:fldChar w:fldCharType="separate"/>
      </w:r>
      <w:r w:rsidRPr="002949A4">
        <w:rPr>
          <w:noProof/>
        </w:rPr>
        <w:t>(Marshall et al., 2021)</w:t>
      </w:r>
      <w:r>
        <w:fldChar w:fldCharType="end"/>
      </w:r>
      <w:r w:rsidR="003D3B24">
        <w:t xml:space="preserve">. In particular, it has been argued that egg production of females should scale </w:t>
      </w:r>
      <w:proofErr w:type="spellStart"/>
      <w:r w:rsidR="003D3B24">
        <w:t>hyperallometrically</w:t>
      </w:r>
      <w:proofErr w:type="spellEnd"/>
      <w:r w:rsidR="003D3B24">
        <w:t xml:space="preserve"> rather than </w:t>
      </w:r>
      <w:proofErr w:type="spellStart"/>
      <w:r w:rsidR="003D3B24">
        <w:t>isometrically</w:t>
      </w:r>
      <w:proofErr w:type="spellEnd"/>
      <w:r w:rsidR="003D3B24">
        <w:t xml:space="preserve"> with individual weight to get the proper estimate of egg production per </w:t>
      </w:r>
      <w:proofErr w:type="spellStart"/>
      <w:r w:rsidR="003D3B24">
        <w:t>spawner</w:t>
      </w:r>
      <w:proofErr w:type="spellEnd"/>
      <w:r>
        <w:t>.  However, these analyses often fail to include 1) demographic effects, where older fish only comprise a small fraction of the total spawning biomass</w:t>
      </w:r>
      <w:r w:rsidR="00FF77FA">
        <w:t xml:space="preserve"> </w:t>
      </w:r>
      <w:r w:rsidR="00FF77FA">
        <w:fldChar w:fldCharType="begin" w:fldLock="1"/>
      </w:r>
      <w:r w:rsidR="00FF77FA">
        <w:instrText>ADDIN CSL_CITATION {"citationItems":[{"id":"ITEM-1","itemData":{"DOI":"10.1139/cjfas-2018-0354","author":[{"dropping-particle":"","family":"Andersen","given":"Ken H","non-dropping-particle":"","parse-names":false,"suffix":""},{"dropping-particle":"","family":"Jacobsen","given":"Nis Sand","non-dropping-particle":"","parse-names":false,"suffix":""},{"dropping-particle":"Van","family":"Denderen","given":"P Daniël","non-dropping-particle":"","parse-names":false,"suffix":""}],"container-title":"Canadian Journal of Fisheries and Aquatic Science","id":"ITEM-1","issue":"September 2018","issued":{"date-parts":[["2019"]]},"page":"347-349","title":"Limited impact of big fish mothers for population replenishment","type":"article-journal","volume":"349"},"uris":["http://www.mendeley.com/documents/?uuid=63021081-7f7e-458c-ae24-57f1567c0c9f"]}],"mendeley":{"formattedCitation":"(Andersen et al., 2019)","plainTextFormattedCitation":"(Andersen et al., 2019)"},"properties":{"noteIndex":0},"schema":"https://github.com/citation-style-language/schema/raw/master/csl-citation.json"}</w:instrText>
      </w:r>
      <w:r w:rsidR="00FF77FA">
        <w:fldChar w:fldCharType="separate"/>
      </w:r>
      <w:r w:rsidR="00FF77FA" w:rsidRPr="00FF77FA">
        <w:rPr>
          <w:noProof/>
        </w:rPr>
        <w:t>(Andersen et al., 2019)</w:t>
      </w:r>
      <w:r w:rsidR="00FF77FA">
        <w:fldChar w:fldCharType="end"/>
      </w:r>
      <w:r>
        <w:t>, 2) external factors that influence spawning success, such as ambient temperature or egg predation, 3)</w:t>
      </w:r>
      <w:r w:rsidR="00EB23F3">
        <w:t xml:space="preserve"> recruitment to a stock does not occur at the egg stage, and a common assumption is that density dependence regulates stock abundance between the time when eggs are spawned and recruited into the population. </w:t>
      </w:r>
    </w:p>
    <w:p w:rsidR="00B92B48" w:rsidRDefault="008A24DB">
      <w:r>
        <w:t xml:space="preserve">We constructed a range of models to test the impact of </w:t>
      </w:r>
      <w:r w:rsidR="003D3B24">
        <w:t>these three factors, and in particular identify which life histories are susceptible to erroneous assessment due to</w:t>
      </w:r>
      <w:r w:rsidR="00887997">
        <w:t xml:space="preserve"> maternal effects. In particular, we look at the impact of density dependence, stochastic variation, and reference points. </w:t>
      </w:r>
      <w:r w:rsidR="00B92B48">
        <w:t>How maternal effects management of stocks is therefore unclear in the light of these caveats. Using management strategy evaluation (MSE) we test maternal effects on three simulated life history types, representing small fast growing species with high recruitment variability (</w:t>
      </w:r>
      <w:proofErr w:type="spellStart"/>
      <w:r w:rsidR="00B92B48">
        <w:t>e.g</w:t>
      </w:r>
      <w:proofErr w:type="spellEnd"/>
      <w:r w:rsidR="00B92B48">
        <w:t xml:space="preserve">,, similar to sardine), a medium sizes species with moderate recruitment variability (e.g., haddock), and a larger species with low recruitment variability and stronger relationship between recruitment and spawning biomass (e.g., Atlantic cod). </w:t>
      </w:r>
    </w:p>
    <w:p w:rsidR="00887997" w:rsidRDefault="00887997"/>
    <w:p w:rsidR="008A24DB" w:rsidRDefault="00887997" w:rsidP="00887997">
      <w:pPr>
        <w:pStyle w:val="Heading1"/>
      </w:pPr>
      <w:r>
        <w:t xml:space="preserve">Methods  </w:t>
      </w:r>
    </w:p>
    <w:p w:rsidR="00EB23F3" w:rsidRDefault="00EB23F3"/>
    <w:p w:rsidR="00EB23F3" w:rsidRDefault="00750DBE">
      <w:r>
        <w:t xml:space="preserve">Standard age based model </w:t>
      </w:r>
    </w:p>
    <w:p w:rsidR="003170EF" w:rsidRDefault="00FA0DEF">
      <w:r>
        <w:t>W</w:t>
      </w:r>
      <w:r w:rsidR="00930B7E">
        <w:t>e model egg production as a</w:t>
      </w:r>
      <w:r w:rsidR="0051373A">
        <w:t>n isometric</w:t>
      </w:r>
      <w:r w:rsidR="00930B7E">
        <w:t xml:space="preserve"> function of </w:t>
      </w:r>
      <w:proofErr w:type="spellStart"/>
      <w:r w:rsidR="00930B7E">
        <w:t>spawner</w:t>
      </w:r>
      <w:proofErr w:type="spellEnd"/>
      <w:r w:rsidR="00930B7E">
        <w:t xml:space="preserve"> </w:t>
      </w:r>
      <w:r w:rsidR="0051373A">
        <w:t>weight</w:t>
      </w:r>
    </w:p>
    <w:p w:rsidR="003170EF" w:rsidRPr="003170EF" w:rsidRDefault="00811FED">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iso,a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iso</m:t>
              </m:r>
            </m:sub>
          </m:sSub>
          <m:sSub>
            <m:sSubPr>
              <m:ctrlPr>
                <w:rPr>
                  <w:rFonts w:ascii="Cambria Math" w:hAnsi="Cambria Math"/>
                  <w:i/>
                </w:rPr>
              </m:ctrlPr>
            </m:sSubPr>
            <m:e>
              <m:r>
                <w:rPr>
                  <w:rFonts w:ascii="Cambria Math" w:hAnsi="Cambria Math"/>
                </w:rPr>
                <m:t>N</m:t>
              </m:r>
            </m:e>
            <m:sub>
              <m:r>
                <w:rPr>
                  <w:rFonts w:ascii="Cambria Math" w:hAnsi="Cambria Math"/>
                </w:rPr>
                <m:t>a</m:t>
              </m:r>
            </m:sub>
          </m:sSub>
        </m:oMath>
      </m:oMathPara>
    </w:p>
    <w:p w:rsidR="003170EF" w:rsidRPr="003170EF" w:rsidRDefault="003170EF">
      <w:r>
        <w:rPr>
          <w:rFonts w:eastAsiaTheme="minorEastAsia"/>
        </w:rPr>
        <w:lastRenderedPageBreak/>
        <w:t xml:space="preserve">Where E is the egg production and </w:t>
      </w:r>
      <m:oMath>
        <m:r>
          <w:rPr>
            <w:rFonts w:ascii="Cambria Math" w:eastAsiaTheme="minorEastAsia" w:hAnsi="Cambria Math"/>
          </w:rPr>
          <m:t>α</m:t>
        </m:r>
      </m:oMath>
      <w:r>
        <w:rPr>
          <w:rFonts w:eastAsiaTheme="minorEastAsia"/>
        </w:rPr>
        <w:t xml:space="preserve"> is a parameter determining the number of eggs per </w:t>
      </w:r>
      <w:r w:rsidR="00D11E14">
        <w:rPr>
          <w:rFonts w:eastAsiaTheme="minorEastAsia"/>
        </w:rPr>
        <w:t xml:space="preserve">individual </w:t>
      </w:r>
      <w:proofErr w:type="spellStart"/>
      <w:r w:rsidR="00D11E14">
        <w:rPr>
          <w:rFonts w:eastAsiaTheme="minorEastAsia"/>
        </w:rPr>
        <w:t>spawner</w:t>
      </w:r>
      <w:proofErr w:type="spellEnd"/>
      <w:proofErr w:type="gramStart"/>
      <w:r w:rsidR="00D11E14">
        <w:rPr>
          <w:rFonts w:eastAsiaTheme="minorEastAsia"/>
        </w:rPr>
        <w:t xml:space="preserve">, </w:t>
      </w:r>
      <w:proofErr w:type="gramEnd"/>
      <m:oMath>
        <m:r>
          <w:rPr>
            <w:rFonts w:ascii="Cambria Math" w:eastAsiaTheme="minorEastAsia" w:hAnsi="Cambria Math"/>
          </w:rPr>
          <m:t>N</m:t>
        </m:r>
      </m:oMath>
      <w:r>
        <w:rPr>
          <w:rFonts w:eastAsiaTheme="minorEastAsia"/>
        </w:rPr>
        <w:t xml:space="preserve">, and </w:t>
      </w:r>
      <w:r>
        <w:rPr>
          <w:rFonts w:eastAsiaTheme="minorEastAsia"/>
          <w:i/>
        </w:rPr>
        <w:t>a</w:t>
      </w:r>
      <w:r>
        <w:rPr>
          <w:rFonts w:eastAsiaTheme="minorEastAsia"/>
        </w:rPr>
        <w:t xml:space="preserve"> denotes the </w:t>
      </w:r>
      <w:r w:rsidR="00D11E14">
        <w:rPr>
          <w:rFonts w:eastAsiaTheme="minorEastAsia"/>
        </w:rPr>
        <w:t>age</w:t>
      </w:r>
      <w:r>
        <w:rPr>
          <w:rFonts w:eastAsiaTheme="minorEastAsia"/>
        </w:rPr>
        <w:t>. This formulation also ensures that the intercept is a</w:t>
      </w:r>
      <w:r w:rsidR="00FA0DEF">
        <w:rPr>
          <w:rFonts w:eastAsiaTheme="minorEastAsia"/>
        </w:rPr>
        <w:t>t</w:t>
      </w:r>
      <w:r>
        <w:rPr>
          <w:rFonts w:eastAsiaTheme="minorEastAsia"/>
        </w:rPr>
        <w:t xml:space="preserve"> </w:t>
      </w:r>
      <w:proofErr w:type="gramStart"/>
      <w:r>
        <w:rPr>
          <w:rFonts w:eastAsiaTheme="minorEastAsia"/>
        </w:rPr>
        <w:t>0</w:t>
      </w:r>
      <w:proofErr w:type="gramEnd"/>
      <w:r w:rsidR="00FA0DEF">
        <w:rPr>
          <w:rFonts w:eastAsiaTheme="minorEastAsia"/>
        </w:rPr>
        <w:t xml:space="preserve">. </w:t>
      </w:r>
      <w:r>
        <w:rPr>
          <w:rFonts w:eastAsiaTheme="minorEastAsia"/>
        </w:rPr>
        <w:t xml:space="preserve"> </w:t>
      </w:r>
    </w:p>
    <w:p w:rsidR="003170EF" w:rsidRDefault="0051373A">
      <w:r>
        <w:t xml:space="preserve">In </w:t>
      </w:r>
      <w:proofErr w:type="spellStart"/>
      <w:r>
        <w:t>hyperallometric</w:t>
      </w:r>
      <w:proofErr w:type="spellEnd"/>
      <w:r>
        <w:t xml:space="preserve"> cases the egg production is modeled as </w:t>
      </w:r>
    </w:p>
    <w:p w:rsidR="0051373A" w:rsidRPr="0051373A" w:rsidRDefault="00811FED">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hyper,a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hyper</m:t>
              </m:r>
            </m:sub>
          </m:sSub>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a</m:t>
              </m:r>
            </m:sub>
            <m:sup>
              <m:r>
                <w:rPr>
                  <w:rFonts w:ascii="Cambria Math" w:eastAsiaTheme="minorEastAsia" w:hAnsi="Cambria Math"/>
                </w:rPr>
                <m:t>β</m:t>
              </m:r>
            </m:sup>
          </m:sSubSup>
        </m:oMath>
      </m:oMathPara>
    </w:p>
    <w:p w:rsidR="0051373A" w:rsidRDefault="0051373A">
      <w:pPr>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are scaling parameters. </w:t>
      </w:r>
    </w:p>
    <w:p w:rsidR="0051373A" w:rsidRDefault="0051373A">
      <w:pPr>
        <w:rPr>
          <w:rFonts w:eastAsiaTheme="minorEastAsia"/>
        </w:rPr>
      </w:pPr>
      <w:r>
        <w:rPr>
          <w:rFonts w:eastAsiaTheme="minorEastAsia"/>
        </w:rPr>
        <w:t xml:space="preserve">These two formulations will lead to two unique fits to data, where the </w:t>
      </w:r>
      <w:proofErr w:type="spellStart"/>
      <w:r>
        <w:rPr>
          <w:rFonts w:eastAsiaTheme="minorEastAsia"/>
        </w:rPr>
        <w:t>hyperallometric</w:t>
      </w:r>
      <w:proofErr w:type="spellEnd"/>
      <w:r>
        <w:rPr>
          <w:rFonts w:eastAsiaTheme="minorEastAsia"/>
        </w:rPr>
        <w:t xml:space="preserve"> fit will lead to relatively higher </w:t>
      </w:r>
      <w:r w:rsidR="00E8577E">
        <w:rPr>
          <w:rFonts w:eastAsiaTheme="minorEastAsia"/>
        </w:rPr>
        <w:t xml:space="preserve">egg production at large sizes, but the isometric formulation will lead to a little higher egg production at small sizes. This formulation is a better relative representation of what the scaling would look like in comparison with </w:t>
      </w:r>
      <w:r w:rsidR="00E8577E">
        <w:rPr>
          <w:rFonts w:eastAsiaTheme="minorEastAsia"/>
        </w:rPr>
        <w:fldChar w:fldCharType="begin" w:fldLock="1"/>
      </w:r>
      <w:r w:rsidR="00F64B77">
        <w:rPr>
          <w:rFonts w:eastAsiaTheme="minorEastAsia"/>
        </w:rPr>
        <w:instrText>ADDIN CSL_CITATION {"citationItems":[{"id":"ITEM-1","itemData":{"DOI":"10.1126/science.aao6868","ISSN":"10959203","PMID":"29748282","abstract":"Body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productivity.","author":[{"dropping-particle":"","family":"Barneche","given":"Diego R.","non-dropping-particle":"","parse-names":false,"suffix":""},{"dropping-particle":"","family":"Ross Robertson","given":"D.","non-dropping-particle":"","parse-names":false,"suffix":""},{"dropping-particle":"","family":"White","given":"Craig R.","non-dropping-particle":"","parse-names":false,"suffix":""},{"dropping-particle":"","family":"Marshall","given":"Dustin J.","non-dropping-particle":"","parse-names":false,"suffix":""}],"container-title":"Science","id":"ITEM-1","issue":"6389","issued":{"date-parts":[["2018"]]},"page":"642-645","title":"Fish reproductive-energy output increases disproportionately with body size","type":"article-journal","volume":"360"},"uris":["http://www.mendeley.com/documents/?uuid=01259bc9-9eff-4492-8800-7b26bc6322c8"]}],"mendeley":{"formattedCitation":"(Barneche et al., 2018)","plainTextFormattedCitation":"(Barneche et al., 2018)","previouslyFormattedCitation":"(Barneche et al., 2018)"},"properties":{"noteIndex":0},"schema":"https://github.com/citation-style-language/schema/raw/master/csl-citation.json"}</w:instrText>
      </w:r>
      <w:r w:rsidR="00E8577E">
        <w:rPr>
          <w:rFonts w:eastAsiaTheme="minorEastAsia"/>
        </w:rPr>
        <w:fldChar w:fldCharType="separate"/>
      </w:r>
      <w:r w:rsidR="00E8577E" w:rsidRPr="00E8577E">
        <w:rPr>
          <w:rFonts w:eastAsiaTheme="minorEastAsia"/>
          <w:noProof/>
        </w:rPr>
        <w:t>(Barneche et al., 2018)</w:t>
      </w:r>
      <w:r w:rsidR="00E8577E">
        <w:rPr>
          <w:rFonts w:eastAsiaTheme="minorEastAsia"/>
        </w:rPr>
        <w:fldChar w:fldCharType="end"/>
      </w:r>
      <w:r w:rsidR="00E8577E">
        <w:rPr>
          <w:rFonts w:eastAsiaTheme="minorEastAsia"/>
        </w:rPr>
        <w:t xml:space="preserve"> which automatically assumed that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iso</m:t>
            </m:r>
          </m:sub>
        </m:sSub>
      </m:oMath>
      <w:r w:rsidR="00E8577E">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hyper</m:t>
            </m:r>
          </m:sub>
        </m:sSub>
      </m:oMath>
      <w:r w:rsidR="00E8577E">
        <w:rPr>
          <w:rFonts w:eastAsiaTheme="minorEastAsia"/>
        </w:rPr>
        <w:t xml:space="preserve">should be the same, and only </w:t>
      </w:r>
      <m:oMath>
        <m:r>
          <w:rPr>
            <w:rFonts w:ascii="Cambria Math" w:eastAsiaTheme="minorEastAsia" w:hAnsi="Cambria Math"/>
          </w:rPr>
          <m:t>β</m:t>
        </m:r>
      </m:oMath>
      <w:r w:rsidR="00E8577E">
        <w:rPr>
          <w:rFonts w:eastAsiaTheme="minorEastAsia"/>
        </w:rPr>
        <w:t xml:space="preserve"> should change</w:t>
      </w:r>
      <w:r w:rsidR="00F64B77">
        <w:rPr>
          <w:rFonts w:eastAsiaTheme="minorEastAsia"/>
        </w:rPr>
        <w:t>. An example of this fit is presented in figure 1 for cod (</w:t>
      </w:r>
      <w:proofErr w:type="spellStart"/>
      <w:r w:rsidR="00F64B77">
        <w:rPr>
          <w:rFonts w:eastAsiaTheme="minorEastAsia"/>
        </w:rPr>
        <w:t>Gadus</w:t>
      </w:r>
      <w:proofErr w:type="spellEnd"/>
      <w:r w:rsidR="00F64B77">
        <w:rPr>
          <w:rFonts w:eastAsiaTheme="minorEastAsia"/>
        </w:rPr>
        <w:t xml:space="preserve"> </w:t>
      </w:r>
      <w:proofErr w:type="spellStart"/>
      <w:r w:rsidR="00F64B77">
        <w:rPr>
          <w:rFonts w:eastAsiaTheme="minorEastAsia"/>
        </w:rPr>
        <w:t>morhua</w:t>
      </w:r>
      <w:proofErr w:type="spellEnd"/>
      <w:r w:rsidR="00F64B77">
        <w:rPr>
          <w:rFonts w:eastAsiaTheme="minorEastAsia"/>
        </w:rPr>
        <w:t>) and Northern Anchovy (</w:t>
      </w:r>
      <w:proofErr w:type="spellStart"/>
      <w:r w:rsidR="00F64B77">
        <w:rPr>
          <w:rFonts w:eastAsiaTheme="minorEastAsia"/>
        </w:rPr>
        <w:t>Engraulis</w:t>
      </w:r>
      <w:proofErr w:type="spellEnd"/>
      <w:r w:rsidR="00F64B77">
        <w:rPr>
          <w:rFonts w:eastAsiaTheme="minorEastAsia"/>
        </w:rPr>
        <w:t xml:space="preserve"> </w:t>
      </w:r>
      <w:proofErr w:type="spellStart"/>
      <w:r w:rsidR="00F64B77">
        <w:rPr>
          <w:rFonts w:eastAsiaTheme="minorEastAsia"/>
        </w:rPr>
        <w:t>modrax</w:t>
      </w:r>
      <w:proofErr w:type="spellEnd"/>
      <w:r w:rsidR="00F64B77">
        <w:rPr>
          <w:rFonts w:eastAsiaTheme="minorEastAsia"/>
        </w:rPr>
        <w:t xml:space="preserve">), data from </w:t>
      </w:r>
      <w:proofErr w:type="spellStart"/>
      <w:r w:rsidR="00F64B77">
        <w:rPr>
          <w:rFonts w:eastAsiaTheme="minorEastAsia"/>
        </w:rPr>
        <w:t>Barneche</w:t>
      </w:r>
      <w:proofErr w:type="spellEnd"/>
      <w:r w:rsidR="00F64B77">
        <w:rPr>
          <w:rFonts w:eastAsiaTheme="minorEastAsia"/>
        </w:rPr>
        <w:t xml:space="preserve"> et al </w:t>
      </w:r>
      <w:r w:rsidR="00F64B77">
        <w:rPr>
          <w:rFonts w:eastAsiaTheme="minorEastAsia"/>
        </w:rPr>
        <w:fldChar w:fldCharType="begin" w:fldLock="1"/>
      </w:r>
      <w:r w:rsidR="009A3195">
        <w:rPr>
          <w:rFonts w:eastAsiaTheme="minorEastAsia"/>
        </w:rPr>
        <w:instrText>ADDIN CSL_CITATION {"citationItems":[{"id":"ITEM-1","itemData":{"DOI":"10.1126/science.aao6868","ISSN":"10959203","PMID":"29748282","abstract":"Body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productivity.","author":[{"dropping-particle":"","family":"Barneche","given":"Diego R.","non-dropping-particle":"","parse-names":false,"suffix":""},{"dropping-particle":"","family":"Ross Robertson","given":"D.","non-dropping-particle":"","parse-names":false,"suffix":""},{"dropping-particle":"","family":"White","given":"Craig R.","non-dropping-particle":"","parse-names":false,"suffix":""},{"dropping-particle":"","family":"Marshall","given":"Dustin J.","non-dropping-particle":"","parse-names":false,"suffix":""}],"container-title":"Science","id":"ITEM-1","issue":"6389","issued":{"date-parts":[["2018"]]},"page":"642-645","title":"Fish reproductive-energy output increases disproportionately with body size","type":"article-journal","volume":"360"},"suppress-author":1,"uris":["http://www.mendeley.com/documents/?uuid=01259bc9-9eff-4492-8800-7b26bc6322c8"]}],"mendeley":{"formattedCitation":"(2018)","plainTextFormattedCitation":"(2018)","previouslyFormattedCitation":"(2018)"},"properties":{"noteIndex":0},"schema":"https://github.com/citation-style-language/schema/raw/master/csl-citation.json"}</w:instrText>
      </w:r>
      <w:r w:rsidR="00F64B77">
        <w:rPr>
          <w:rFonts w:eastAsiaTheme="minorEastAsia"/>
        </w:rPr>
        <w:fldChar w:fldCharType="separate"/>
      </w:r>
      <w:r w:rsidR="00F64B77" w:rsidRPr="00F64B77">
        <w:rPr>
          <w:rFonts w:eastAsiaTheme="minorEastAsia"/>
          <w:noProof/>
        </w:rPr>
        <w:t>(2018)</w:t>
      </w:r>
      <w:r w:rsidR="00F64B77">
        <w:rPr>
          <w:rFonts w:eastAsiaTheme="minorEastAsia"/>
        </w:rPr>
        <w:fldChar w:fldCharType="end"/>
      </w:r>
      <w:r w:rsidR="00F64B77">
        <w:rPr>
          <w:rFonts w:eastAsiaTheme="minorEastAsia"/>
        </w:rPr>
        <w:t xml:space="preserve">. </w:t>
      </w:r>
    </w:p>
    <w:p w:rsidR="008C293C" w:rsidRDefault="00770AE5" w:rsidP="008C293C">
      <w:pPr>
        <w:keepNext/>
      </w:pPr>
      <w:r>
        <w:rPr>
          <w:noProof/>
        </w:rPr>
        <w:drawing>
          <wp:inline distT="0" distB="0" distL="0" distR="0">
            <wp:extent cx="5757684" cy="28773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g_production_hyper_is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7684" cy="2877318"/>
                    </a:xfrm>
                    <a:prstGeom prst="rect">
                      <a:avLst/>
                    </a:prstGeom>
                  </pic:spPr>
                </pic:pic>
              </a:graphicData>
            </a:graphic>
          </wp:inline>
        </w:drawing>
      </w:r>
    </w:p>
    <w:p w:rsidR="008C293C" w:rsidRDefault="008C293C" w:rsidP="008C293C">
      <w:pPr>
        <w:pStyle w:val="Caption"/>
      </w:pPr>
      <w:r>
        <w:t xml:space="preserve">Figure </w:t>
      </w:r>
      <w:r w:rsidR="00811FED">
        <w:fldChar w:fldCharType="begin"/>
      </w:r>
      <w:r w:rsidR="00811FED">
        <w:instrText xml:space="preserve"> SEQ Figure \* ARABIC </w:instrText>
      </w:r>
      <w:r w:rsidR="00811FED">
        <w:fldChar w:fldCharType="separate"/>
      </w:r>
      <w:r w:rsidR="00D121A3">
        <w:rPr>
          <w:noProof/>
        </w:rPr>
        <w:t>1</w:t>
      </w:r>
      <w:r w:rsidR="00811FED">
        <w:rPr>
          <w:noProof/>
        </w:rPr>
        <w:fldChar w:fldCharType="end"/>
      </w:r>
      <w:r>
        <w:t xml:space="preserve">: Egg production (fecundity) as a function of weight for cod and sardine. </w:t>
      </w:r>
      <w:proofErr w:type="gramStart"/>
      <w:r>
        <w:t>red</w:t>
      </w:r>
      <w:proofErr w:type="gramEnd"/>
      <w:r>
        <w:t xml:space="preserve"> points denote data, green line is the </w:t>
      </w:r>
      <w:proofErr w:type="spellStart"/>
      <w:r>
        <w:t>hyperallometric</w:t>
      </w:r>
      <w:proofErr w:type="spellEnd"/>
      <w:r>
        <w:t xml:space="preserve"> fit and blue line is the isometric fit.</w:t>
      </w:r>
    </w:p>
    <w:p w:rsidR="004146C0" w:rsidRDefault="004146C0" w:rsidP="004146C0"/>
    <w:p w:rsidR="00F6742D" w:rsidRPr="004146C0" w:rsidRDefault="00634DD5" w:rsidP="004146C0">
      <w:r>
        <w:t xml:space="preserve">We then </w:t>
      </w:r>
      <w:r w:rsidR="00035F54">
        <w:t xml:space="preserve">model recruitment as a modified </w:t>
      </w:r>
      <w:proofErr w:type="spellStart"/>
      <w:r w:rsidR="009A3195">
        <w:t>Beverton</w:t>
      </w:r>
      <w:proofErr w:type="spellEnd"/>
      <w:r w:rsidR="009A3195">
        <w:t xml:space="preserve"> Holt function formulated with steepness</w:t>
      </w:r>
    </w:p>
    <w:p w:rsidR="003170EF" w:rsidRPr="00634DD5" w:rsidRDefault="00811FED">
      <w:pPr>
        <w:rPr>
          <w:rFonts w:eastAsiaTheme="minorEastAsia"/>
          <w:i/>
        </w:rPr>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4</m:t>
              </m:r>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y</m:t>
                  </m:r>
                </m:sub>
              </m:sSub>
            </m:num>
            <m:den>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e>
              </m:d>
            </m:den>
          </m:f>
          <m:sSup>
            <m:sSupPr>
              <m:ctrlPr>
                <w:rPr>
                  <w:rFonts w:ascii="Cambria Math" w:hAnsi="Cambria Math"/>
                </w:rPr>
              </m:ctrlPr>
            </m:sSupPr>
            <m:e>
              <m:r>
                <m:rPr>
                  <m:sty m:val="p"/>
                </m:rPr>
                <w:rPr>
                  <w:rFonts w:ascii="Cambria Math" w:hAnsi="Cambria Math"/>
                </w:rPr>
                <m:t>exp</m:t>
              </m:r>
            </m:e>
            <m:sup>
              <m:r>
                <w:rPr>
                  <w:rFonts w:ascii="Cambria Math" w:hAnsi="Cambria Math"/>
                </w:rPr>
                <m:t>-0.5</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y</m:t>
                      </m:r>
                    </m:sub>
                  </m:sSub>
                </m:e>
              </m:acc>
            </m:sup>
          </m:sSup>
        </m:oMath>
      </m:oMathPara>
    </w:p>
    <w:p w:rsidR="00634DD5" w:rsidRDefault="00634DD5">
      <w:pPr>
        <w:rPr>
          <w:rFonts w:eastAsiaTheme="minorEastAsia"/>
        </w:rPr>
      </w:pPr>
      <w:r>
        <w:rPr>
          <w:rFonts w:eastAsiaTheme="minorEastAsia"/>
        </w:rPr>
        <w:t xml:space="preserve">Where </w:t>
      </w:r>
      <w:r>
        <w:rPr>
          <w:rFonts w:eastAsiaTheme="minorEastAsia"/>
          <w:i/>
        </w:rPr>
        <w:t>h</w:t>
      </w:r>
      <w:r>
        <w:rPr>
          <w:rFonts w:eastAsiaTheme="minorEastAsia"/>
        </w:rPr>
        <w:t xml:space="preserve"> is the steepness,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is number of unfished recruits,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oMath>
      <w:r>
        <w:rPr>
          <w:rFonts w:eastAsiaTheme="minorEastAsia"/>
        </w:rPr>
        <w:t xml:space="preserve"> is the annual egg production calculated as </w:t>
      </w:r>
    </w:p>
    <w:p w:rsidR="00634DD5" w:rsidRPr="00576BAB" w:rsidRDefault="00811F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a=1</m:t>
              </m:r>
            </m:sub>
            <m:sup>
              <m:r>
                <w:rPr>
                  <w:rFonts w:ascii="Cambria Math" w:eastAsiaTheme="minorEastAsia"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a,y</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nary>
        </m:oMath>
      </m:oMathPara>
    </w:p>
    <w:p w:rsidR="006C3CA6" w:rsidRDefault="00576BAB">
      <w:pPr>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a,y</m:t>
            </m:r>
          </m:sub>
        </m:sSub>
      </m:oMath>
      <w:proofErr w:type="gramStart"/>
      <w:r>
        <w:rPr>
          <w:rFonts w:eastAsiaTheme="minorEastAsia"/>
        </w:rPr>
        <w:t xml:space="preserve"> is the numbers</w:t>
      </w:r>
      <w:proofErr w:type="gramEnd"/>
      <w:r>
        <w:rPr>
          <w:rFonts w:eastAsiaTheme="minorEastAsia"/>
        </w:rPr>
        <w:t xml:space="preserve"> at age,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m:t>
            </m:r>
          </m:sub>
        </m:sSub>
      </m:oMath>
      <w:r>
        <w:rPr>
          <w:rFonts w:eastAsiaTheme="minorEastAsia"/>
        </w:rPr>
        <w:t xml:space="preserve"> is the age specific maturity,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the fecundity, which is either </w:t>
      </w:r>
      <w:proofErr w:type="spellStart"/>
      <w:r>
        <w:rPr>
          <w:rFonts w:eastAsiaTheme="minorEastAsia"/>
        </w:rPr>
        <w:t>hyperallometric</w:t>
      </w:r>
      <w:proofErr w:type="spellEnd"/>
      <w:r>
        <w:rPr>
          <w:rFonts w:eastAsiaTheme="minorEastAsia"/>
        </w:rPr>
        <w:t xml:space="preserve"> or isometric.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oMath>
      <w:r w:rsidR="00035F54">
        <w:rPr>
          <w:rFonts w:eastAsiaTheme="minorEastAsia"/>
        </w:rPr>
        <w:t xml:space="preserve"> </w:t>
      </w:r>
      <w:proofErr w:type="gramStart"/>
      <w:r w:rsidR="00035F54">
        <w:rPr>
          <w:rFonts w:eastAsiaTheme="minorEastAsia"/>
        </w:rPr>
        <w:t>is</w:t>
      </w:r>
      <w:proofErr w:type="gramEnd"/>
      <w:r w:rsidR="00035F54">
        <w:rPr>
          <w:rFonts w:eastAsiaTheme="minorEastAsia"/>
        </w:rPr>
        <w:t xml:space="preserve"> the unfished number of eggs, and </w:t>
      </w:r>
      <m:oMath>
        <m:acc>
          <m:accPr>
            <m:chr m:val="̇"/>
            <m:ctrlPr>
              <w:rPr>
                <w:rFonts w:ascii="Cambria Math" w:eastAsiaTheme="minorEastAsia" w:hAnsi="Cambria Math"/>
                <w:i/>
              </w:rPr>
            </m:ctrlPr>
          </m:accPr>
          <m:e>
            <m:r>
              <w:rPr>
                <w:rFonts w:ascii="Cambria Math" w:eastAsiaTheme="minorEastAsia" w:hAnsi="Cambria Math"/>
              </w:rPr>
              <m:t>R</m:t>
            </m:r>
          </m:e>
        </m:acc>
      </m:oMath>
      <w:r w:rsidR="0075692C">
        <w:rPr>
          <w:rFonts w:eastAsiaTheme="minorEastAsia"/>
        </w:rPr>
        <w:t xml:space="preserve"> is a stochastic</w:t>
      </w:r>
      <w:r w:rsidR="006C3CA6">
        <w:rPr>
          <w:rFonts w:eastAsiaTheme="minorEastAsia"/>
        </w:rPr>
        <w:t xml:space="preserve"> and </w:t>
      </w:r>
      <w:proofErr w:type="spellStart"/>
      <w:r w:rsidR="006C3CA6">
        <w:rPr>
          <w:rFonts w:eastAsiaTheme="minorEastAsia"/>
        </w:rPr>
        <w:t>autocorrelated</w:t>
      </w:r>
      <w:proofErr w:type="spellEnd"/>
      <w:r w:rsidR="006C3CA6">
        <w:rPr>
          <w:rFonts w:eastAsiaTheme="minorEastAsia"/>
        </w:rPr>
        <w:t xml:space="preserve"> random walk formulated as</w:t>
      </w:r>
    </w:p>
    <w:p w:rsidR="00576BAB" w:rsidRDefault="00811FED">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=ρ</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y-1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e>
          </m:d>
          <m:r>
            <w:rPr>
              <w:rFonts w:ascii="Cambria Math" w:eastAsiaTheme="minorEastAsia" w:hAnsi="Cambria Math"/>
            </w:rPr>
            <m:t>N(0,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xml:space="preserve">) </m:t>
          </m:r>
        </m:oMath>
      </m:oMathPara>
    </w:p>
    <w:p w:rsidR="001D6D8E" w:rsidRDefault="006C3CA6">
      <w:pPr>
        <w:rPr>
          <w:rFonts w:eastAsiaTheme="minorEastAsia"/>
        </w:rPr>
      </w:pPr>
      <w:r>
        <w:rPr>
          <w:rFonts w:eastAsiaTheme="minorEastAsia"/>
        </w:rPr>
        <w:t xml:space="preserve">Where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Pr>
          <w:rFonts w:eastAsiaTheme="minorEastAsia"/>
        </w:rPr>
        <w:t xml:space="preserve"> is a normal distribution with standard deviation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ρ</m:t>
        </m:r>
      </m:oMath>
      <w:r>
        <w:rPr>
          <w:rFonts w:eastAsiaTheme="minorEastAsia"/>
        </w:rPr>
        <w:t xml:space="preserve"> is a parameter controlling the amount of autocorrelation. </w:t>
      </w:r>
      <w:r w:rsidR="0091190E">
        <w:rPr>
          <w:rFonts w:eastAsiaTheme="minorEastAsia"/>
        </w:rPr>
        <w:t xml:space="preserve">The remainder of the model formulation is a standard age based model and can be seen in the appendix. </w:t>
      </w:r>
    </w:p>
    <w:p w:rsidR="00865434" w:rsidRDefault="00865434">
      <w:pPr>
        <w:rPr>
          <w:rFonts w:eastAsiaTheme="minorEastAsia"/>
        </w:rPr>
      </w:pPr>
      <w:r>
        <w:rPr>
          <w:rFonts w:eastAsiaTheme="minorEastAsia"/>
        </w:rPr>
        <w:t>First</w:t>
      </w:r>
      <w:r w:rsidR="00AF3BD3">
        <w:rPr>
          <w:rFonts w:eastAsiaTheme="minorEastAsia"/>
        </w:rPr>
        <w:t>,</w:t>
      </w:r>
      <w:r>
        <w:rPr>
          <w:rFonts w:eastAsiaTheme="minorEastAsia"/>
        </w:rPr>
        <w:t xml:space="preserve"> we calculate reference points by simulating </w:t>
      </w:r>
      <w:r w:rsidR="00AF3BD3">
        <w:rPr>
          <w:rFonts w:eastAsiaTheme="minorEastAsia"/>
        </w:rPr>
        <w:t>5</w:t>
      </w:r>
      <w:r>
        <w:rPr>
          <w:rFonts w:eastAsiaTheme="minorEastAsia"/>
        </w:rPr>
        <w:t xml:space="preserve">00 replicates with fishing mortality </w:t>
      </w:r>
      <w:r w:rsidR="00AF3BD3">
        <w:rPr>
          <w:rFonts w:eastAsiaTheme="minorEastAsia"/>
        </w:rPr>
        <w:t xml:space="preserve">being </w:t>
      </w:r>
      <w:r>
        <w:rPr>
          <w:rFonts w:eastAsiaTheme="minorEastAsia"/>
        </w:rPr>
        <w:t xml:space="preserve">between </w:t>
      </w:r>
      <w:proofErr w:type="gramStart"/>
      <w:r>
        <w:rPr>
          <w:rFonts w:eastAsiaTheme="minorEastAsia"/>
        </w:rPr>
        <w:t>0</w:t>
      </w:r>
      <w:proofErr w:type="gramEnd"/>
      <w:r>
        <w:rPr>
          <w:rFonts w:eastAsiaTheme="minorEastAsia"/>
        </w:rPr>
        <w:t xml:space="preserve"> and 2 times the natural mortality</w:t>
      </w:r>
      <w:r w:rsidR="00D74CA6">
        <w:rPr>
          <w:rFonts w:eastAsiaTheme="minorEastAsia"/>
        </w:rPr>
        <w:t xml:space="preserve"> and picking stochastic recruitment values for each individual run. </w:t>
      </w:r>
      <w:r w:rsidR="00EC23D5">
        <w:rPr>
          <w:rFonts w:eastAsiaTheme="minorEastAsia"/>
        </w:rPr>
        <w:t xml:space="preserve">We first assume that the </w:t>
      </w:r>
      <w:r w:rsidR="00D121A3">
        <w:rPr>
          <w:rFonts w:eastAsiaTheme="minorEastAsia"/>
        </w:rPr>
        <w:t>unfished recruitment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oMath>
      <w:r w:rsidR="00D121A3">
        <w:rPr>
          <w:rFonts w:eastAsiaTheme="minorEastAsia"/>
        </w:rPr>
        <w:t xml:space="preserve"> is the same in the </w:t>
      </w:r>
      <w:proofErr w:type="spellStart"/>
      <w:r w:rsidR="00D121A3">
        <w:rPr>
          <w:rFonts w:eastAsiaTheme="minorEastAsia"/>
        </w:rPr>
        <w:t>hyperallometric</w:t>
      </w:r>
      <w:proofErr w:type="spellEnd"/>
      <w:r w:rsidR="00D121A3">
        <w:rPr>
          <w:rFonts w:eastAsiaTheme="minorEastAsia"/>
        </w:rPr>
        <w:t xml:space="preserve"> and the </w:t>
      </w:r>
      <w:proofErr w:type="spellStart"/>
      <w:r w:rsidR="00D121A3">
        <w:rPr>
          <w:rFonts w:eastAsiaTheme="minorEastAsia"/>
        </w:rPr>
        <w:t>isoallometric</w:t>
      </w:r>
      <w:proofErr w:type="spellEnd"/>
      <w:r w:rsidR="00D121A3">
        <w:rPr>
          <w:rFonts w:eastAsiaTheme="minorEastAsia"/>
        </w:rPr>
        <w:t xml:space="preserve"> case. </w:t>
      </w:r>
      <w:r w:rsidR="0008184B">
        <w:rPr>
          <w:rFonts w:eastAsiaTheme="minorEastAsia"/>
        </w:rPr>
        <w:t xml:space="preserve">This assumption means that the theoretical unfished recruitment in the </w:t>
      </w:r>
      <w:proofErr w:type="gramStart"/>
      <w:r w:rsidR="0008184B">
        <w:rPr>
          <w:rFonts w:eastAsiaTheme="minorEastAsia"/>
        </w:rPr>
        <w:t>hyper</w:t>
      </w:r>
      <w:proofErr w:type="gramEnd"/>
      <w:r w:rsidR="0008184B">
        <w:rPr>
          <w:rFonts w:eastAsiaTheme="minorEastAsia"/>
        </w:rPr>
        <w:t xml:space="preserve"> and </w:t>
      </w:r>
      <w:proofErr w:type="spellStart"/>
      <w:r w:rsidR="0008184B">
        <w:rPr>
          <w:rFonts w:eastAsiaTheme="minorEastAsia"/>
        </w:rPr>
        <w:t>isoallometric</w:t>
      </w:r>
      <w:proofErr w:type="spellEnd"/>
      <w:r w:rsidR="0008184B">
        <w:rPr>
          <w:rFonts w:eastAsiaTheme="minorEastAsia"/>
        </w:rPr>
        <w:t xml:space="preserve"> life history will be the same, however the contribution from the different ages are different. In the </w:t>
      </w:r>
      <w:proofErr w:type="spellStart"/>
      <w:r w:rsidR="0008184B">
        <w:rPr>
          <w:rFonts w:eastAsiaTheme="minorEastAsia"/>
        </w:rPr>
        <w:t>hyperallometric</w:t>
      </w:r>
      <w:proofErr w:type="spellEnd"/>
      <w:r w:rsidR="0008184B">
        <w:rPr>
          <w:rFonts w:eastAsiaTheme="minorEastAsia"/>
        </w:rPr>
        <w:t xml:space="preserve"> </w:t>
      </w:r>
      <w:proofErr w:type="gramStart"/>
      <w:r w:rsidR="0008184B">
        <w:rPr>
          <w:rFonts w:eastAsiaTheme="minorEastAsia"/>
        </w:rPr>
        <w:t>case</w:t>
      </w:r>
      <w:proofErr w:type="gramEnd"/>
      <w:r w:rsidR="0008184B">
        <w:rPr>
          <w:rFonts w:eastAsiaTheme="minorEastAsia"/>
        </w:rPr>
        <w:t xml:space="preserve"> the old individuals will contribute relatively more re</w:t>
      </w:r>
      <w:r w:rsidR="00B25AE2">
        <w:rPr>
          <w:rFonts w:eastAsiaTheme="minorEastAsia"/>
        </w:rPr>
        <w:t xml:space="preserve">cruits than the young </w:t>
      </w:r>
      <w:proofErr w:type="spellStart"/>
      <w:r w:rsidR="00B25AE2">
        <w:rPr>
          <w:rFonts w:eastAsiaTheme="minorEastAsia"/>
        </w:rPr>
        <w:t>spawners</w:t>
      </w:r>
      <w:proofErr w:type="spellEnd"/>
      <w:r w:rsidR="00B25AE2">
        <w:rPr>
          <w:rFonts w:eastAsiaTheme="minorEastAsia"/>
        </w:rPr>
        <w:t>.</w:t>
      </w:r>
      <w:r w:rsidR="00D121A3">
        <w:rPr>
          <w:rFonts w:eastAsiaTheme="minorEastAsia"/>
        </w:rPr>
        <w:t xml:space="preserve"> </w:t>
      </w:r>
    </w:p>
    <w:p w:rsidR="00242702" w:rsidRDefault="00242702">
      <w:pPr>
        <w:rPr>
          <w:rFonts w:eastAsiaTheme="minorEastAsia"/>
        </w:rPr>
      </w:pPr>
    </w:p>
    <w:p w:rsidR="0091190E" w:rsidRDefault="0091190E">
      <w:pPr>
        <w:rPr>
          <w:rFonts w:eastAsiaTheme="minorEastAsia"/>
        </w:rPr>
      </w:pPr>
    </w:p>
    <w:p w:rsidR="0091190E" w:rsidRDefault="00242702">
      <w:pPr>
        <w:rPr>
          <w:rFonts w:eastAsiaTheme="minorEastAsia"/>
        </w:rPr>
      </w:pPr>
      <w:r>
        <w:rPr>
          <w:rFonts w:eastAsiaTheme="minorEastAsia"/>
        </w:rPr>
        <w:t xml:space="preserve">Results </w:t>
      </w:r>
    </w:p>
    <w:p w:rsidR="00686018" w:rsidRDefault="00B93C00">
      <w:pPr>
        <w:rPr>
          <w:rFonts w:eastAsiaTheme="minorEastAsia"/>
        </w:rPr>
      </w:pPr>
      <w:r>
        <w:rPr>
          <w:rFonts w:eastAsiaTheme="minorEastAsia"/>
        </w:rPr>
        <w:t xml:space="preserve">First we investigate the case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CB5344">
        <w:rPr>
          <w:rFonts w:eastAsiaTheme="minorEastAsia"/>
        </w:rPr>
        <w:t xml:space="preserve"> is equal for</w:t>
      </w:r>
      <w:r w:rsidR="008978D8">
        <w:rPr>
          <w:rFonts w:eastAsiaTheme="minorEastAsia"/>
        </w:rPr>
        <w:t xml:space="preserve"> </w:t>
      </w:r>
      <w:r w:rsidR="00CB5344">
        <w:rPr>
          <w:rFonts w:eastAsiaTheme="minorEastAsia"/>
        </w:rPr>
        <w:t xml:space="preserve">hyper and </w:t>
      </w:r>
      <w:proofErr w:type="spellStart"/>
      <w:r w:rsidR="00CB5344">
        <w:rPr>
          <w:rFonts w:eastAsiaTheme="minorEastAsia"/>
        </w:rPr>
        <w:t>isoallometric</w:t>
      </w:r>
      <w:proofErr w:type="spellEnd"/>
      <w:r w:rsidR="00CB5344">
        <w:rPr>
          <w:rFonts w:eastAsiaTheme="minorEastAsia"/>
        </w:rPr>
        <w:t xml:space="preserve"> life history combinations</w:t>
      </w:r>
      <w:r w:rsidR="008978D8">
        <w:rPr>
          <w:rFonts w:eastAsiaTheme="minorEastAsia"/>
        </w:rPr>
        <w:t xml:space="preserve">. </w:t>
      </w:r>
      <w:r w:rsidR="00B25AE2">
        <w:rPr>
          <w:rFonts w:eastAsiaTheme="minorEastAsia"/>
        </w:rPr>
        <w:t>For the reference points</w:t>
      </w:r>
      <w:r w:rsidR="00811FED">
        <w:rPr>
          <w:rFonts w:eastAsiaTheme="minorEastAsia"/>
        </w:rPr>
        <w:t xml:space="preserve">. The small life history has a negligible difference between </w:t>
      </w:r>
    </w:p>
    <w:p w:rsidR="00686018" w:rsidRDefault="00686018" w:rsidP="00686018">
      <w:pPr>
        <w:pStyle w:val="Caption"/>
        <w:keepNext/>
      </w:pPr>
      <w:r>
        <w:t xml:space="preserve">Table </w:t>
      </w:r>
      <w:r w:rsidR="00811FED">
        <w:fldChar w:fldCharType="begin"/>
      </w:r>
      <w:r w:rsidR="00811FED">
        <w:instrText xml:space="preserve"> SEQ Table \* ARABIC </w:instrText>
      </w:r>
      <w:r w:rsidR="00811FED">
        <w:fldChar w:fldCharType="separate"/>
      </w:r>
      <w:r>
        <w:rPr>
          <w:noProof/>
        </w:rPr>
        <w:t>1</w:t>
      </w:r>
      <w:r w:rsidR="00811FED">
        <w:rPr>
          <w:noProof/>
        </w:rPr>
        <w:fldChar w:fldCharType="end"/>
      </w:r>
      <w:r>
        <w:t>: Life history parameters for the three simulated species</w:t>
      </w:r>
    </w:p>
    <w:tbl>
      <w:tblPr>
        <w:tblStyle w:val="TableGrid"/>
        <w:tblW w:w="0" w:type="auto"/>
        <w:tblLook w:val="04A0" w:firstRow="1" w:lastRow="0" w:firstColumn="1" w:lastColumn="0" w:noHBand="0" w:noVBand="1"/>
      </w:tblPr>
      <w:tblGrid>
        <w:gridCol w:w="1163"/>
        <w:gridCol w:w="1611"/>
        <w:gridCol w:w="700"/>
        <w:gridCol w:w="971"/>
        <w:gridCol w:w="704"/>
      </w:tblGrid>
      <w:tr w:rsidR="00266747" w:rsidTr="00696B11">
        <w:trPr>
          <w:trHeight w:val="194"/>
        </w:trPr>
        <w:tc>
          <w:tcPr>
            <w:tcW w:w="633" w:type="dxa"/>
          </w:tcPr>
          <w:p w:rsidR="00B72568" w:rsidRDefault="00B72568">
            <w:pPr>
              <w:rPr>
                <w:rFonts w:eastAsiaTheme="minorEastAsia"/>
              </w:rPr>
            </w:pPr>
            <w:r>
              <w:rPr>
                <w:rFonts w:eastAsiaTheme="minorEastAsia"/>
              </w:rPr>
              <w:t>Parameter</w:t>
            </w:r>
          </w:p>
        </w:tc>
        <w:tc>
          <w:tcPr>
            <w:tcW w:w="544" w:type="dxa"/>
          </w:tcPr>
          <w:p w:rsidR="00B72568" w:rsidRDefault="00B72568">
            <w:pPr>
              <w:rPr>
                <w:rFonts w:eastAsiaTheme="minorEastAsia"/>
              </w:rPr>
            </w:pPr>
            <w:r>
              <w:rPr>
                <w:rFonts w:eastAsiaTheme="minorEastAsia"/>
              </w:rPr>
              <w:t>Description</w:t>
            </w:r>
          </w:p>
        </w:tc>
        <w:tc>
          <w:tcPr>
            <w:tcW w:w="589" w:type="dxa"/>
          </w:tcPr>
          <w:p w:rsidR="00B72568" w:rsidRDefault="00B72568">
            <w:pPr>
              <w:rPr>
                <w:rFonts w:eastAsiaTheme="minorEastAsia"/>
              </w:rPr>
            </w:pPr>
            <w:r>
              <w:rPr>
                <w:rFonts w:eastAsiaTheme="minorEastAsia"/>
              </w:rPr>
              <w:t>Small</w:t>
            </w:r>
          </w:p>
        </w:tc>
        <w:tc>
          <w:tcPr>
            <w:tcW w:w="615" w:type="dxa"/>
          </w:tcPr>
          <w:p w:rsidR="00B72568" w:rsidRDefault="00B72568">
            <w:pPr>
              <w:rPr>
                <w:rFonts w:eastAsiaTheme="minorEastAsia"/>
              </w:rPr>
            </w:pPr>
            <w:r>
              <w:rPr>
                <w:rFonts w:eastAsiaTheme="minorEastAsia"/>
              </w:rPr>
              <w:t>Medium</w:t>
            </w:r>
          </w:p>
        </w:tc>
        <w:tc>
          <w:tcPr>
            <w:tcW w:w="590" w:type="dxa"/>
          </w:tcPr>
          <w:p w:rsidR="00B72568" w:rsidRDefault="00B72568">
            <w:pPr>
              <w:rPr>
                <w:rFonts w:eastAsiaTheme="minorEastAsia"/>
              </w:rPr>
            </w:pPr>
            <w:r>
              <w:rPr>
                <w:rFonts w:eastAsiaTheme="minorEastAsia"/>
              </w:rPr>
              <w:t>Large</w:t>
            </w:r>
          </w:p>
        </w:tc>
      </w:tr>
      <w:tr w:rsidR="00266747" w:rsidTr="00696B11">
        <w:trPr>
          <w:trHeight w:val="379"/>
        </w:trPr>
        <w:tc>
          <w:tcPr>
            <w:tcW w:w="633" w:type="dxa"/>
          </w:tcPr>
          <w:p w:rsidR="00B72568" w:rsidRDefault="00811FED" w:rsidP="0068601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oMath>
            </m:oMathPara>
          </w:p>
        </w:tc>
        <w:tc>
          <w:tcPr>
            <w:tcW w:w="544" w:type="dxa"/>
          </w:tcPr>
          <w:p w:rsidR="00B72568" w:rsidRDefault="00266747">
            <w:pPr>
              <w:rPr>
                <w:rFonts w:eastAsiaTheme="minorEastAsia"/>
              </w:rPr>
            </w:pPr>
            <w:r>
              <w:rPr>
                <w:rFonts w:eastAsiaTheme="minorEastAsia"/>
              </w:rPr>
              <w:t>Asymptotic length (cm)</w:t>
            </w:r>
          </w:p>
        </w:tc>
        <w:tc>
          <w:tcPr>
            <w:tcW w:w="589" w:type="dxa"/>
          </w:tcPr>
          <w:p w:rsidR="00B72568" w:rsidRDefault="00266747">
            <w:pPr>
              <w:rPr>
                <w:rFonts w:eastAsiaTheme="minorEastAsia"/>
              </w:rPr>
            </w:pPr>
            <w:r>
              <w:rPr>
                <w:rFonts w:eastAsiaTheme="minorEastAsia"/>
              </w:rPr>
              <w:t>30</w:t>
            </w:r>
          </w:p>
        </w:tc>
        <w:tc>
          <w:tcPr>
            <w:tcW w:w="615" w:type="dxa"/>
          </w:tcPr>
          <w:p w:rsidR="00B72568" w:rsidRDefault="00266747">
            <w:pPr>
              <w:rPr>
                <w:rFonts w:eastAsiaTheme="minorEastAsia"/>
              </w:rPr>
            </w:pPr>
            <w:r>
              <w:rPr>
                <w:rFonts w:eastAsiaTheme="minorEastAsia"/>
              </w:rPr>
              <w:t>60</w:t>
            </w:r>
          </w:p>
        </w:tc>
        <w:tc>
          <w:tcPr>
            <w:tcW w:w="590" w:type="dxa"/>
          </w:tcPr>
          <w:p w:rsidR="00B72568" w:rsidRDefault="00266747">
            <w:pPr>
              <w:rPr>
                <w:rFonts w:eastAsiaTheme="minorEastAsia"/>
              </w:rPr>
            </w:pPr>
            <w:r>
              <w:rPr>
                <w:rFonts w:eastAsiaTheme="minorEastAsia"/>
              </w:rPr>
              <w:t>150</w:t>
            </w:r>
          </w:p>
        </w:tc>
      </w:tr>
      <w:tr w:rsidR="00266747" w:rsidTr="00696B11">
        <w:trPr>
          <w:trHeight w:val="767"/>
          <w:hidden/>
        </w:trPr>
        <w:tc>
          <w:tcPr>
            <w:tcW w:w="633" w:type="dxa"/>
          </w:tcPr>
          <w:p w:rsidR="00B72568" w:rsidRPr="00B72568" w:rsidRDefault="00B72568" w:rsidP="00B72568">
            <w:pPr>
              <w:rPr>
                <w:rFonts w:eastAsiaTheme="minorEastAsia"/>
                <w:vanish/>
              </w:rPr>
            </w:pPr>
            <m:oMathPara>
              <m:oMath>
                <m:r>
                  <w:rPr>
                    <w:rFonts w:ascii="Cambria Math" w:eastAsiaTheme="minorEastAsia" w:hAnsi="Cambria Math"/>
                    <w:vanish/>
                  </w:rPr>
                  <m:t>h</m:t>
                </m:r>
                <m:r>
                  <w:rPr>
                    <w:rFonts w:ascii="Cambria Math" w:eastAsiaTheme="minorEastAsia" w:hAnsi="Cambria Math"/>
                  </w:rPr>
                  <m:t>K</m:t>
                </m:r>
              </m:oMath>
            </m:oMathPara>
          </w:p>
        </w:tc>
        <w:tc>
          <w:tcPr>
            <w:tcW w:w="544" w:type="dxa"/>
          </w:tcPr>
          <w:p w:rsidR="00B72568" w:rsidRDefault="00266747" w:rsidP="00266747">
            <w:pPr>
              <w:rPr>
                <w:rFonts w:eastAsiaTheme="minorEastAsia"/>
              </w:rPr>
            </w:pPr>
            <w:r>
              <w:rPr>
                <w:rFonts w:eastAsiaTheme="minorEastAsia"/>
              </w:rPr>
              <w:t>Von-</w:t>
            </w:r>
            <w:proofErr w:type="spellStart"/>
            <w:r>
              <w:rPr>
                <w:rFonts w:eastAsiaTheme="minorEastAsia"/>
              </w:rPr>
              <w:t>Bertalanffy</w:t>
            </w:r>
            <w:proofErr w:type="spellEnd"/>
            <w:r>
              <w:rPr>
                <w:rFonts w:eastAsiaTheme="minorEastAsia"/>
              </w:rPr>
              <w:t xml:space="preserve"> growth coefficient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oMath>
            <w:r>
              <w:rPr>
                <w:rFonts w:eastAsiaTheme="minorEastAsia"/>
              </w:rPr>
              <w:t>)</w:t>
            </w:r>
          </w:p>
        </w:tc>
        <w:tc>
          <w:tcPr>
            <w:tcW w:w="589" w:type="dxa"/>
          </w:tcPr>
          <w:p w:rsidR="00B72568" w:rsidRDefault="00266747">
            <w:pPr>
              <w:rPr>
                <w:rFonts w:eastAsiaTheme="minorEastAsia"/>
              </w:rPr>
            </w:pPr>
            <w:r>
              <w:rPr>
                <w:rFonts w:eastAsiaTheme="minorEastAsia"/>
              </w:rPr>
              <w:t>0.7</w:t>
            </w:r>
          </w:p>
        </w:tc>
        <w:tc>
          <w:tcPr>
            <w:tcW w:w="615" w:type="dxa"/>
          </w:tcPr>
          <w:p w:rsidR="00B72568" w:rsidRDefault="00266747">
            <w:pPr>
              <w:rPr>
                <w:rFonts w:eastAsiaTheme="minorEastAsia"/>
              </w:rPr>
            </w:pPr>
            <w:r>
              <w:rPr>
                <w:rFonts w:eastAsiaTheme="minorEastAsia"/>
              </w:rPr>
              <w:t>0.4</w:t>
            </w:r>
          </w:p>
        </w:tc>
        <w:tc>
          <w:tcPr>
            <w:tcW w:w="590" w:type="dxa"/>
          </w:tcPr>
          <w:p w:rsidR="00B72568" w:rsidRDefault="00266747">
            <w:pPr>
              <w:rPr>
                <w:rFonts w:eastAsiaTheme="minorEastAsia"/>
              </w:rPr>
            </w:pPr>
            <w:r>
              <w:rPr>
                <w:rFonts w:eastAsiaTheme="minorEastAsia"/>
              </w:rPr>
              <w:t>0.2</w:t>
            </w:r>
          </w:p>
        </w:tc>
      </w:tr>
      <w:tr w:rsidR="00266747" w:rsidTr="00696B11">
        <w:trPr>
          <w:trHeight w:val="573"/>
        </w:trPr>
        <w:tc>
          <w:tcPr>
            <w:tcW w:w="633" w:type="dxa"/>
          </w:tcPr>
          <w:p w:rsidR="00B72568" w:rsidRDefault="00811FED" w:rsidP="0026674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m:oMathPara>
          </w:p>
        </w:tc>
        <w:tc>
          <w:tcPr>
            <w:tcW w:w="544" w:type="dxa"/>
          </w:tcPr>
          <w:p w:rsidR="00B72568" w:rsidRDefault="00266747">
            <w:pPr>
              <w:rPr>
                <w:rFonts w:eastAsiaTheme="minorEastAsia"/>
              </w:rPr>
            </w:pPr>
            <w:r>
              <w:rPr>
                <w:rFonts w:eastAsiaTheme="minorEastAsia"/>
              </w:rPr>
              <w:t>Recruitment standard deviation</w:t>
            </w:r>
          </w:p>
        </w:tc>
        <w:tc>
          <w:tcPr>
            <w:tcW w:w="589" w:type="dxa"/>
          </w:tcPr>
          <w:p w:rsidR="00B72568" w:rsidRDefault="00266747">
            <w:pPr>
              <w:rPr>
                <w:rFonts w:eastAsiaTheme="minorEastAsia"/>
              </w:rPr>
            </w:pPr>
            <w:r>
              <w:rPr>
                <w:rFonts w:eastAsiaTheme="minorEastAsia"/>
              </w:rPr>
              <w:t>1</w:t>
            </w:r>
          </w:p>
        </w:tc>
        <w:tc>
          <w:tcPr>
            <w:tcW w:w="615" w:type="dxa"/>
          </w:tcPr>
          <w:p w:rsidR="00B72568" w:rsidRDefault="00266747">
            <w:pPr>
              <w:rPr>
                <w:rFonts w:eastAsiaTheme="minorEastAsia"/>
              </w:rPr>
            </w:pPr>
            <w:r>
              <w:rPr>
                <w:rFonts w:eastAsiaTheme="minorEastAsia"/>
              </w:rPr>
              <w:t>0.5</w:t>
            </w:r>
          </w:p>
        </w:tc>
        <w:tc>
          <w:tcPr>
            <w:tcW w:w="590" w:type="dxa"/>
          </w:tcPr>
          <w:p w:rsidR="00B72568" w:rsidRDefault="00266747">
            <w:pPr>
              <w:rPr>
                <w:rFonts w:eastAsiaTheme="minorEastAsia"/>
              </w:rPr>
            </w:pPr>
            <w:r>
              <w:rPr>
                <w:rFonts w:eastAsiaTheme="minorEastAsia"/>
              </w:rPr>
              <w:t>0.4</w:t>
            </w:r>
          </w:p>
        </w:tc>
      </w:tr>
      <w:tr w:rsidR="00266747" w:rsidTr="00696B11">
        <w:trPr>
          <w:trHeight w:val="573"/>
        </w:trPr>
        <w:tc>
          <w:tcPr>
            <w:tcW w:w="633" w:type="dxa"/>
          </w:tcPr>
          <w:p w:rsidR="00B72568" w:rsidRDefault="00266747" w:rsidP="00266747">
            <w:pPr>
              <w:rPr>
                <w:rFonts w:eastAsiaTheme="minorEastAsia"/>
              </w:rPr>
            </w:pPr>
            <m:oMathPara>
              <m:oMath>
                <m:r>
                  <w:rPr>
                    <w:rFonts w:ascii="Cambria Math" w:eastAsiaTheme="minorEastAsia" w:hAnsi="Cambria Math"/>
                  </w:rPr>
                  <m:t>ρ</m:t>
                </m:r>
              </m:oMath>
            </m:oMathPara>
          </w:p>
        </w:tc>
        <w:tc>
          <w:tcPr>
            <w:tcW w:w="544" w:type="dxa"/>
          </w:tcPr>
          <w:p w:rsidR="00B72568" w:rsidRDefault="00266747">
            <w:pPr>
              <w:rPr>
                <w:rFonts w:eastAsiaTheme="minorEastAsia"/>
              </w:rPr>
            </w:pPr>
            <w:r>
              <w:rPr>
                <w:rFonts w:eastAsiaTheme="minorEastAsia"/>
              </w:rPr>
              <w:t>Recruitment autocorrelation coefficient</w:t>
            </w:r>
          </w:p>
        </w:tc>
        <w:tc>
          <w:tcPr>
            <w:tcW w:w="589" w:type="dxa"/>
          </w:tcPr>
          <w:p w:rsidR="00B72568" w:rsidRDefault="00266747">
            <w:pPr>
              <w:rPr>
                <w:rFonts w:eastAsiaTheme="minorEastAsia"/>
              </w:rPr>
            </w:pPr>
            <w:r>
              <w:rPr>
                <w:rFonts w:eastAsiaTheme="minorEastAsia"/>
              </w:rPr>
              <w:t>0.1</w:t>
            </w:r>
          </w:p>
        </w:tc>
        <w:tc>
          <w:tcPr>
            <w:tcW w:w="615" w:type="dxa"/>
          </w:tcPr>
          <w:p w:rsidR="00B72568" w:rsidRDefault="00266747">
            <w:pPr>
              <w:rPr>
                <w:rFonts w:eastAsiaTheme="minorEastAsia"/>
              </w:rPr>
            </w:pPr>
            <w:r>
              <w:rPr>
                <w:rFonts w:eastAsiaTheme="minorEastAsia"/>
              </w:rPr>
              <w:t>0.5</w:t>
            </w:r>
          </w:p>
        </w:tc>
        <w:tc>
          <w:tcPr>
            <w:tcW w:w="590" w:type="dxa"/>
          </w:tcPr>
          <w:p w:rsidR="00B72568" w:rsidRDefault="00266747">
            <w:pPr>
              <w:rPr>
                <w:rFonts w:eastAsiaTheme="minorEastAsia"/>
              </w:rPr>
            </w:pPr>
            <w:r>
              <w:rPr>
                <w:rFonts w:eastAsiaTheme="minorEastAsia"/>
              </w:rPr>
              <w:t>0.8</w:t>
            </w:r>
          </w:p>
        </w:tc>
      </w:tr>
      <w:tr w:rsidR="00266747" w:rsidTr="00696B11">
        <w:trPr>
          <w:trHeight w:val="184"/>
        </w:trPr>
        <w:tc>
          <w:tcPr>
            <w:tcW w:w="633" w:type="dxa"/>
          </w:tcPr>
          <w:p w:rsidR="00B72568" w:rsidRDefault="00266747" w:rsidP="00266747">
            <w:pPr>
              <w:rPr>
                <w:rFonts w:eastAsiaTheme="minorEastAsia"/>
              </w:rPr>
            </w:pPr>
            <m:oMathPara>
              <m:oMath>
                <m:r>
                  <w:rPr>
                    <w:rFonts w:ascii="Cambria Math" w:eastAsiaTheme="minorEastAsia" w:hAnsi="Cambria Math"/>
                  </w:rPr>
                  <m:t>A</m:t>
                </m:r>
              </m:oMath>
            </m:oMathPara>
          </w:p>
        </w:tc>
        <w:tc>
          <w:tcPr>
            <w:tcW w:w="544" w:type="dxa"/>
          </w:tcPr>
          <w:p w:rsidR="00B72568" w:rsidRDefault="00266747">
            <w:pPr>
              <w:rPr>
                <w:rFonts w:eastAsiaTheme="minorEastAsia"/>
              </w:rPr>
            </w:pPr>
            <w:r>
              <w:rPr>
                <w:rFonts w:eastAsiaTheme="minorEastAsia"/>
              </w:rPr>
              <w:t>Max age</w:t>
            </w:r>
          </w:p>
        </w:tc>
        <w:tc>
          <w:tcPr>
            <w:tcW w:w="589" w:type="dxa"/>
          </w:tcPr>
          <w:p w:rsidR="00B72568" w:rsidRDefault="00266747">
            <w:pPr>
              <w:rPr>
                <w:rFonts w:eastAsiaTheme="minorEastAsia"/>
              </w:rPr>
            </w:pPr>
            <w:r>
              <w:rPr>
                <w:rFonts w:eastAsiaTheme="minorEastAsia"/>
              </w:rPr>
              <w:t>5</w:t>
            </w:r>
          </w:p>
        </w:tc>
        <w:tc>
          <w:tcPr>
            <w:tcW w:w="615" w:type="dxa"/>
          </w:tcPr>
          <w:p w:rsidR="00B72568" w:rsidRDefault="00266747">
            <w:pPr>
              <w:rPr>
                <w:rFonts w:eastAsiaTheme="minorEastAsia"/>
              </w:rPr>
            </w:pPr>
            <w:r>
              <w:rPr>
                <w:rFonts w:eastAsiaTheme="minorEastAsia"/>
              </w:rPr>
              <w:t>10</w:t>
            </w:r>
          </w:p>
        </w:tc>
        <w:tc>
          <w:tcPr>
            <w:tcW w:w="590" w:type="dxa"/>
          </w:tcPr>
          <w:p w:rsidR="00B72568" w:rsidRDefault="00266747">
            <w:pPr>
              <w:rPr>
                <w:rFonts w:eastAsiaTheme="minorEastAsia"/>
              </w:rPr>
            </w:pPr>
            <w:r>
              <w:rPr>
                <w:rFonts w:eastAsiaTheme="minorEastAsia"/>
              </w:rPr>
              <w:t>20</w:t>
            </w:r>
          </w:p>
        </w:tc>
      </w:tr>
      <w:tr w:rsidR="00266747" w:rsidTr="00696B11">
        <w:trPr>
          <w:trHeight w:val="583"/>
        </w:trPr>
        <w:tc>
          <w:tcPr>
            <w:tcW w:w="633" w:type="dxa"/>
          </w:tcPr>
          <w:p w:rsidR="00B72568" w:rsidRDefault="00266747" w:rsidP="00266747">
            <w:pPr>
              <w:rPr>
                <w:rFonts w:eastAsiaTheme="minorEastAsia"/>
              </w:rPr>
            </w:pPr>
            <m:oMathPara>
              <m:oMath>
                <m:r>
                  <w:rPr>
                    <w:rFonts w:ascii="Cambria Math" w:eastAsiaTheme="minorEastAsia" w:hAnsi="Cambria Math"/>
                  </w:rPr>
                  <m:t>M</m:t>
                </m:r>
              </m:oMath>
            </m:oMathPara>
          </w:p>
        </w:tc>
        <w:tc>
          <w:tcPr>
            <w:tcW w:w="544" w:type="dxa"/>
          </w:tcPr>
          <w:p w:rsidR="00B72568" w:rsidRDefault="00266747" w:rsidP="00266747">
            <w:pPr>
              <w:rPr>
                <w:rFonts w:eastAsiaTheme="minorEastAsia"/>
              </w:rPr>
            </w:pPr>
            <w:r>
              <w:rPr>
                <w:rFonts w:eastAsiaTheme="minorEastAsia"/>
              </w:rPr>
              <w:t>Natural mortality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r>
                <w:rPr>
                  <w:rFonts w:ascii="Cambria Math" w:eastAsiaTheme="minorEastAsia" w:hAnsi="Cambria Math"/>
                </w:rPr>
                <m:t xml:space="preserve"> </m:t>
              </m:r>
            </m:oMath>
            <w:r>
              <w:rPr>
                <w:rFonts w:eastAsiaTheme="minorEastAsia"/>
              </w:rPr>
              <w:t>)</w:t>
            </w:r>
          </w:p>
        </w:tc>
        <w:tc>
          <w:tcPr>
            <w:tcW w:w="589" w:type="dxa"/>
          </w:tcPr>
          <w:p w:rsidR="00B72568" w:rsidRDefault="00266747">
            <w:pPr>
              <w:rPr>
                <w:rFonts w:eastAsiaTheme="minorEastAsia"/>
              </w:rPr>
            </w:pPr>
            <w:r>
              <w:rPr>
                <w:rFonts w:eastAsiaTheme="minorEastAsia"/>
              </w:rPr>
              <w:t>0.6</w:t>
            </w:r>
          </w:p>
        </w:tc>
        <w:tc>
          <w:tcPr>
            <w:tcW w:w="615" w:type="dxa"/>
          </w:tcPr>
          <w:p w:rsidR="00B72568" w:rsidRDefault="00266747">
            <w:pPr>
              <w:rPr>
                <w:rFonts w:eastAsiaTheme="minorEastAsia"/>
              </w:rPr>
            </w:pPr>
            <w:r>
              <w:rPr>
                <w:rFonts w:eastAsiaTheme="minorEastAsia"/>
              </w:rPr>
              <w:t>0.4</w:t>
            </w:r>
          </w:p>
        </w:tc>
        <w:tc>
          <w:tcPr>
            <w:tcW w:w="590" w:type="dxa"/>
          </w:tcPr>
          <w:p w:rsidR="00B72568" w:rsidRDefault="00266747">
            <w:pPr>
              <w:rPr>
                <w:rFonts w:eastAsiaTheme="minorEastAsia"/>
              </w:rPr>
            </w:pPr>
            <w:r>
              <w:rPr>
                <w:rFonts w:eastAsiaTheme="minorEastAsia"/>
              </w:rPr>
              <w:t>0.2</w:t>
            </w:r>
          </w:p>
        </w:tc>
      </w:tr>
      <w:tr w:rsidR="00266747" w:rsidTr="00696B11">
        <w:trPr>
          <w:trHeight w:val="184"/>
        </w:trPr>
        <w:tc>
          <w:tcPr>
            <w:tcW w:w="633" w:type="dxa"/>
          </w:tcPr>
          <w:p w:rsidR="00B72568" w:rsidRDefault="00266747" w:rsidP="00266747">
            <w:pPr>
              <w:rPr>
                <w:rFonts w:eastAsiaTheme="minorEastAsia"/>
              </w:rPr>
            </w:pPr>
            <m:oMathPara>
              <m:oMath>
                <m:r>
                  <w:rPr>
                    <w:rFonts w:ascii="Cambria Math" w:eastAsiaTheme="minorEastAsia" w:hAnsi="Cambria Math"/>
                  </w:rPr>
                  <m:t>h</m:t>
                </m:r>
              </m:oMath>
            </m:oMathPara>
          </w:p>
        </w:tc>
        <w:tc>
          <w:tcPr>
            <w:tcW w:w="544" w:type="dxa"/>
          </w:tcPr>
          <w:p w:rsidR="00B72568" w:rsidRDefault="00266747">
            <w:pPr>
              <w:rPr>
                <w:rFonts w:eastAsiaTheme="minorEastAsia"/>
              </w:rPr>
            </w:pPr>
            <w:r>
              <w:rPr>
                <w:rFonts w:eastAsiaTheme="minorEastAsia"/>
              </w:rPr>
              <w:t>Steepness</w:t>
            </w:r>
          </w:p>
        </w:tc>
        <w:tc>
          <w:tcPr>
            <w:tcW w:w="589" w:type="dxa"/>
          </w:tcPr>
          <w:p w:rsidR="00B72568" w:rsidRDefault="00266747">
            <w:pPr>
              <w:rPr>
                <w:rFonts w:eastAsiaTheme="minorEastAsia"/>
              </w:rPr>
            </w:pPr>
            <w:r>
              <w:rPr>
                <w:rFonts w:eastAsiaTheme="minorEastAsia"/>
              </w:rPr>
              <w:t>0.7</w:t>
            </w:r>
          </w:p>
        </w:tc>
        <w:tc>
          <w:tcPr>
            <w:tcW w:w="615" w:type="dxa"/>
          </w:tcPr>
          <w:p w:rsidR="00B72568" w:rsidRDefault="00266747">
            <w:pPr>
              <w:rPr>
                <w:rFonts w:eastAsiaTheme="minorEastAsia"/>
              </w:rPr>
            </w:pPr>
            <w:r>
              <w:rPr>
                <w:rFonts w:eastAsiaTheme="minorEastAsia"/>
              </w:rPr>
              <w:t>0.5</w:t>
            </w:r>
          </w:p>
        </w:tc>
        <w:tc>
          <w:tcPr>
            <w:tcW w:w="590" w:type="dxa"/>
          </w:tcPr>
          <w:p w:rsidR="00B72568" w:rsidRDefault="00266747">
            <w:pPr>
              <w:rPr>
                <w:rFonts w:eastAsiaTheme="minorEastAsia"/>
              </w:rPr>
            </w:pPr>
            <w:r>
              <w:rPr>
                <w:rFonts w:eastAsiaTheme="minorEastAsia"/>
              </w:rPr>
              <w:t>0.2</w:t>
            </w:r>
          </w:p>
        </w:tc>
      </w:tr>
    </w:tbl>
    <w:p w:rsidR="00686018" w:rsidRDefault="00686018">
      <w:pPr>
        <w:rPr>
          <w:rFonts w:eastAsiaTheme="minorEastAsia"/>
        </w:rPr>
      </w:pPr>
    </w:p>
    <w:p w:rsidR="001D6D8E" w:rsidRDefault="001D6D8E">
      <w:pPr>
        <w:rPr>
          <w:rFonts w:eastAsiaTheme="minorEastAsia"/>
        </w:rPr>
      </w:pPr>
    </w:p>
    <w:p w:rsidR="001D6D8E" w:rsidRDefault="001D6D8E">
      <w:pPr>
        <w:rPr>
          <w:rFonts w:eastAsiaTheme="minorEastAsia"/>
        </w:rPr>
      </w:pPr>
    </w:p>
    <w:p w:rsidR="001D6D8E" w:rsidRDefault="001D6D8E">
      <w:pPr>
        <w:rPr>
          <w:rFonts w:eastAsiaTheme="minorEastAsia"/>
        </w:rPr>
      </w:pPr>
    </w:p>
    <w:p w:rsidR="00D121A3" w:rsidRDefault="00D121A3" w:rsidP="00D121A3">
      <w:pPr>
        <w:keepNext/>
      </w:pPr>
      <w:r>
        <w:rPr>
          <w:noProof/>
        </w:rPr>
        <w:drawing>
          <wp:inline distT="0" distB="0" distL="0" distR="0">
            <wp:extent cx="2877318" cy="431902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Y_hyper_is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7318" cy="4319025"/>
                    </a:xfrm>
                    <a:prstGeom prst="rect">
                      <a:avLst/>
                    </a:prstGeom>
                  </pic:spPr>
                </pic:pic>
              </a:graphicData>
            </a:graphic>
          </wp:inline>
        </w:drawing>
      </w:r>
    </w:p>
    <w:p w:rsidR="001D6D8E" w:rsidRDefault="00D121A3" w:rsidP="00D121A3">
      <w:pPr>
        <w:pStyle w:val="Caption"/>
        <w:rPr>
          <w:rFonts w:eastAsiaTheme="minorEastAsia"/>
        </w:rPr>
      </w:pPr>
      <w:r>
        <w:t xml:space="preserve">Figure </w:t>
      </w:r>
      <w:r w:rsidR="00811FED">
        <w:fldChar w:fldCharType="begin"/>
      </w:r>
      <w:r w:rsidR="00811FED">
        <w:instrText xml:space="preserve"> SEQ Figure \* ARABIC </w:instrText>
      </w:r>
      <w:r w:rsidR="00811FED">
        <w:fldChar w:fldCharType="separate"/>
      </w:r>
      <w:r>
        <w:rPr>
          <w:noProof/>
        </w:rPr>
        <w:t>2</w:t>
      </w:r>
      <w:r w:rsidR="00811FED">
        <w:rPr>
          <w:noProof/>
        </w:rPr>
        <w:fldChar w:fldCharType="end"/>
      </w:r>
      <w:r>
        <w:t>: Catch</w:t>
      </w:r>
      <w:r w:rsidR="004862B2">
        <w:t xml:space="preserve"> (normalized)</w:t>
      </w:r>
      <w:r>
        <w:t xml:space="preserve"> as a function of fishing mortality for the three species. Line and fill color is </w:t>
      </w:r>
      <w:proofErr w:type="spellStart"/>
      <w:r>
        <w:t>hyperallometric</w:t>
      </w:r>
      <w:proofErr w:type="spellEnd"/>
      <w:r>
        <w:t xml:space="preserve"> and isometric egg production.</w:t>
      </w:r>
      <w:r w:rsidR="00811FED">
        <w:t xml:space="preserve"> Shading shows the 95</w:t>
      </w:r>
      <w:r w:rsidR="00811FED" w:rsidRPr="00811FED">
        <w:rPr>
          <w:vertAlign w:val="superscript"/>
        </w:rPr>
        <w:t>th</w:t>
      </w:r>
      <w:r w:rsidR="00811FED">
        <w:t xml:space="preserve"> and 5 percentile from 500 runs. </w:t>
      </w:r>
      <w:bookmarkStart w:id="0" w:name="_GoBack"/>
      <w:bookmarkEnd w:id="0"/>
    </w:p>
    <w:p w:rsidR="001D6D8E" w:rsidRDefault="001D6D8E">
      <w:pPr>
        <w:rPr>
          <w:rFonts w:eastAsiaTheme="minorEastAsia"/>
        </w:rPr>
      </w:pPr>
    </w:p>
    <w:p w:rsidR="00CB5344" w:rsidRPr="00CB5344" w:rsidRDefault="00CB5344">
      <w:pPr>
        <w:rPr>
          <w:rFonts w:eastAsiaTheme="minorEastAsia"/>
          <w:i/>
          <w:u w:val="double"/>
        </w:rPr>
      </w:pPr>
    </w:p>
    <w:p w:rsidR="00242702" w:rsidRDefault="00242702">
      <w:pPr>
        <w:rPr>
          <w:rFonts w:eastAsiaTheme="minorEastAsia"/>
        </w:rPr>
      </w:pPr>
    </w:p>
    <w:p w:rsidR="00242702" w:rsidRPr="0091190E" w:rsidRDefault="00242702">
      <w:pPr>
        <w:rPr>
          <w:rFonts w:eastAsiaTheme="minorEastAsia"/>
        </w:rPr>
      </w:pPr>
    </w:p>
    <w:p w:rsidR="006C3CA6" w:rsidRPr="00035F54" w:rsidRDefault="006C3CA6" w:rsidP="006C3CA6">
      <w:pPr>
        <w:rPr>
          <w:rFonts w:eastAsiaTheme="minorEastAsia"/>
        </w:rPr>
      </w:pPr>
    </w:p>
    <w:sectPr w:rsidR="006C3CA6" w:rsidRPr="00035F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A4"/>
    <w:rsid w:val="0001028F"/>
    <w:rsid w:val="00035F54"/>
    <w:rsid w:val="0008184B"/>
    <w:rsid w:val="001D6D8E"/>
    <w:rsid w:val="00242702"/>
    <w:rsid w:val="00266747"/>
    <w:rsid w:val="002949A4"/>
    <w:rsid w:val="003170EF"/>
    <w:rsid w:val="003D3B24"/>
    <w:rsid w:val="004146C0"/>
    <w:rsid w:val="004862B2"/>
    <w:rsid w:val="0051373A"/>
    <w:rsid w:val="00576BAB"/>
    <w:rsid w:val="00634DD5"/>
    <w:rsid w:val="00686018"/>
    <w:rsid w:val="00696B11"/>
    <w:rsid w:val="006C3CA6"/>
    <w:rsid w:val="00705434"/>
    <w:rsid w:val="00750DBE"/>
    <w:rsid w:val="0075692C"/>
    <w:rsid w:val="00770AE5"/>
    <w:rsid w:val="007B5BD3"/>
    <w:rsid w:val="00811FED"/>
    <w:rsid w:val="00865434"/>
    <w:rsid w:val="00887997"/>
    <w:rsid w:val="008978D8"/>
    <w:rsid w:val="008A24DB"/>
    <w:rsid w:val="008C293C"/>
    <w:rsid w:val="008D1363"/>
    <w:rsid w:val="0091190E"/>
    <w:rsid w:val="00930B7E"/>
    <w:rsid w:val="009A3195"/>
    <w:rsid w:val="009D1BD3"/>
    <w:rsid w:val="00AC57E4"/>
    <w:rsid w:val="00AF3BD3"/>
    <w:rsid w:val="00B25AE2"/>
    <w:rsid w:val="00B5467F"/>
    <w:rsid w:val="00B72568"/>
    <w:rsid w:val="00B92B48"/>
    <w:rsid w:val="00B93C00"/>
    <w:rsid w:val="00BF434F"/>
    <w:rsid w:val="00C20D1F"/>
    <w:rsid w:val="00CB5344"/>
    <w:rsid w:val="00D11E14"/>
    <w:rsid w:val="00D121A3"/>
    <w:rsid w:val="00D74CA6"/>
    <w:rsid w:val="00E8577E"/>
    <w:rsid w:val="00EB23F3"/>
    <w:rsid w:val="00EC23D5"/>
    <w:rsid w:val="00F1319F"/>
    <w:rsid w:val="00F64B77"/>
    <w:rsid w:val="00F6742D"/>
    <w:rsid w:val="00F769CC"/>
    <w:rsid w:val="00FA0DEF"/>
    <w:rsid w:val="00FF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0986"/>
  <w15:chartTrackingRefBased/>
  <w15:docId w15:val="{EEC48F17-D476-4B34-A194-66F7CE9D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79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99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3170EF"/>
    <w:rPr>
      <w:color w:val="808080"/>
    </w:rPr>
  </w:style>
  <w:style w:type="paragraph" w:styleId="Caption">
    <w:name w:val="caption"/>
    <w:basedOn w:val="Normal"/>
    <w:next w:val="Normal"/>
    <w:uiPriority w:val="35"/>
    <w:unhideWhenUsed/>
    <w:qFormat/>
    <w:rsid w:val="008C293C"/>
    <w:pPr>
      <w:spacing w:after="200" w:line="240" w:lineRule="auto"/>
    </w:pPr>
    <w:rPr>
      <w:i/>
      <w:iCs/>
      <w:color w:val="44546A" w:themeColor="text2"/>
      <w:sz w:val="18"/>
      <w:szCs w:val="18"/>
    </w:rPr>
  </w:style>
  <w:style w:type="table" w:styleId="TableGrid">
    <w:name w:val="Table Grid"/>
    <w:basedOn w:val="TableNormal"/>
    <w:uiPriority w:val="39"/>
    <w:rsid w:val="00686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FDFFA-9031-491A-BB60-768CFEC7E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4223</TotalTime>
  <Pages>4</Pages>
  <Words>3121</Words>
  <Characters>17793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 Sand Jacobsen</dc:creator>
  <cp:keywords/>
  <dc:description/>
  <cp:lastModifiedBy>Nis Sand Jacobsen</cp:lastModifiedBy>
  <cp:revision>31</cp:revision>
  <dcterms:created xsi:type="dcterms:W3CDTF">2023-07-31T11:40:00Z</dcterms:created>
  <dcterms:modified xsi:type="dcterms:W3CDTF">2023-08-23T08:14:00Z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https://csl.mendeley.com/styles/634604851/apa-2-Chrono</vt:lpwstr>
  </property>
  <property fmtid="{D5CDD505-2E9C-101B-9397-08002B2CF9AE}" pid="7" name="Mendeley Recent Style Name 2_1">
    <vt:lpwstr>American Psychological Association 7th edition - Nis  Jacobsen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http://www.zotero.org/styles/ices-journal-of-marine-science</vt:lpwstr>
  </property>
  <property fmtid="{D5CDD505-2E9C-101B-9397-08002B2CF9AE}" pid="11" name="Mendeley Recent Style Name 4_1">
    <vt:lpwstr>ICES Journal of Marine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8952a3b7-a40d-3c10-890b-cdad93f99a15</vt:lpwstr>
  </property>
  <property fmtid="{D5CDD505-2E9C-101B-9397-08002B2CF9AE}" pid="24" name="Mendeley Citation Style_1">
    <vt:lpwstr>https://csl.mendeley.com/styles/634604851/apa-2-Chrono</vt:lpwstr>
  </property>
</Properties>
</file>