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NISSEEM NABAR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Phone: +91-8105975132   Email:  </w:t>
      </w:r>
      <w:hyperlink r:id="rId5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nisseem.nabar@citi.com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LinkedIn: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color w:val="0000ff"/>
            <w:sz w:val="24"/>
            <w:szCs w:val="24"/>
            <w:u w:val="single"/>
            <w:rtl w:val="0"/>
          </w:rPr>
          <w:t xml:space="preserve">in.linkedin.com/in/nissimnabar</w:t>
        </w:r>
      </w:hyperlink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Citigroup Global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Analytics and Insights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Business Unit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, Bangalore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Data Scientist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July 2013 – to date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implemented Recommender Systems for Citi’s Credit Cards customers in HK and Taiwan. Approximately 2 million customers could be targeted using current methodology. Revenue impact: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2-8 million USD per annum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across APAC.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Created and maintained Hidden Markov Models for making customer specific product offers to a base of 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20 million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customers across 4 markets. Solution spanning the use of R and 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Fraud detection methodology for finding Branches and Tellers at risk using transaction pattern recognition and clustering for all US based branches using Hadoop, Perl, R and C. Transitioned to Citi Fraud Surveillance Unit.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Researching new techniques in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Big Data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technologies like Hadoop, Hive and Spark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Photon Capital Advisors Limited,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Systematic Trading Systems Researcher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July 2011-March 2013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Create and run proprietary trading signals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for an INR 500 million portfolio for equities, currencies and commodities based on analysis of trading systems and technical and quantitative indicators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Back testing of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options trading strategies based on tick level data from NSE F&amp;O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Risk sizing rules based on volatility/risk behaviour of the asset and position pyramiding for equities, currencies and commodities used for all trading purposes based on the Turtle Trading strategy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Automated trading signal and size generation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using Excel/VBA and Bloomberg for equity index, currency and commodity futures traded in India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Jaypee Capital Advisors Limited, Mumbai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Associate, Portfolio Management Services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August 2010-May 2011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Backtested a small portfolio using the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Black Litterman Asset Allocation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strategy on BSE-100 stocks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Backtesting and trading technical indicator based strategies on Indian equities (cash and futures)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Trading options strategies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on Nifty, Bank Nifty and single stock options 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Indian Institute of Management, Ahmedabad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2008-2010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Post Graduate Diploma in Management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Relevant Courses: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Introduction to Bayesian Inference, Mathematical Financ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e (PhD level), Statistical Methods of Data Analysis.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Indian Institute of Science, Bangalore  </w:t>
        <w:tab/>
        <w:t xml:space="preserve">      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2006-2008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Master of Science (Engineering) 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Relevant Courses: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Stochastic Modeling &amp; Applications; Matrix Theory; Linear &amp; Nonlinear Time Series Analysis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K.J. Somaiya College of Engineering, Mumbai </w:t>
        <w:tab/>
        <w:t xml:space="preserve">      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2001-2006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0"/>
          <w:i w:val="1"/>
          <w:sz w:val="24"/>
          <w:szCs w:val="24"/>
          <w:rtl w:val="0"/>
        </w:rPr>
        <w:t xml:space="preserve">Bachelor of Engineering, Electronics and Telecommunications</w:t>
      </w:r>
    </w:p>
    <w:p w:rsidR="00000000" w:rsidDel="00000000" w:rsidP="00000000" w:rsidRDefault="00000000" w:rsidRPr="00000000">
      <w:pPr>
        <w:tabs>
          <w:tab w:val="right" w:pos="1008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 &amp; INTERESTS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Programming Languages: R, MATLAB,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basic Python, C++ an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Machine Learning : 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Regression modeling, Hidden Markov Models, Text Mining, 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ecommender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Big Data Technologies:</w:t>
      </w: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 Hadoop, Hive, Spark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6350000</wp:posOffset>
                </wp:positionV>
                <wp:extent cx="533400" cy="660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3110" y="3456150"/>
                          <a:ext cx="525780" cy="647700"/>
                        </a:xfrm>
                        <a:custGeom>
                          <a:pathLst>
                            <a:path extrusionOk="0" h="120000" w="120000">
                              <a:moveTo>
                                <a:pt x="86072" y="0"/>
                              </a:moveTo>
                              <a:cubicBezTo>
                                <a:pt x="43036" y="34593"/>
                                <a:pt x="0" y="69289"/>
                                <a:pt x="5692" y="89307"/>
                              </a:cubicBezTo>
                              <a:cubicBezTo>
                                <a:pt x="11385" y="109324"/>
                                <a:pt x="65578" y="114662"/>
                                <a:pt x="120000" y="120000"/>
                              </a:cubicBez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E36B0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1092200</wp:posOffset>
                </wp:positionH>
                <wp:positionV relativeFrom="paragraph">
                  <wp:posOffset>6350000</wp:posOffset>
                </wp:positionV>
                <wp:extent cx="533400" cy="660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 international conference publications on Signal processing.</w:t>
      </w:r>
    </w:p>
    <w:sectPr>
      <w:pgSz w:h="15840" w:w="12240"/>
      <w:pgMar w:bottom="720" w:top="720" w:left="720" w:right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aramond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4584" w:firstLine="422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sseem.nabar@citi.com" TargetMode="External"/><Relationship Id="rId6" Type="http://schemas.openxmlformats.org/officeDocument/2006/relationships/hyperlink" Target="http://in.linkedin.com/in/nissimnabar" TargetMode="External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