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SASとRにおけるFirth法の実装差の整理と数値的評価</w:t>
      </w:r>
    </w:p>
    <w:p>
      <w:pPr>
        <w:pStyle w:val="BodyText"/>
      </w:pPr>
      <w:r>
        <w:t xml:space="preserve"> </w:t>
      </w:r>
      <w:r>
        <w:t xml:space="preserve"> </w:t>
      </w:r>
    </w:p>
    <w:p>
      <w:pPr>
        <w:pStyle w:val="a5"/>
      </w:pPr>
      <w:r>
        <w:rPr>
          <w:rFonts w:hint="eastAsia"/>
        </w:rPr>
        <w:t xml:space="preserve">○西川</w:t>
      </w:r>
      <w:r>
        <w:t xml:space="preserve">　</w:t>
      </w:r>
      <w:r>
        <w:rPr>
          <w:rFonts w:hint="eastAsia"/>
        </w:rPr>
        <w:t xml:space="preserve">寛来</w:t>
      </w:r>
      <w:r>
        <w:rPr>
          <w:vertAlign w:val="superscript"/>
        </w:rPr>
        <w:t xml:space="preserve">1</w:t>
      </w:r>
      <w:r>
        <w:rPr>
          <w:rFonts w:hint="eastAsia"/>
        </w:rPr>
        <w:t xml:space="preserve">、後藤</w:t>
      </w:r>
      <w:r>
        <w:t xml:space="preserve">　</w:t>
      </w:r>
      <w:r>
        <w:rPr>
          <w:rFonts w:hint="eastAsia"/>
        </w:rPr>
        <w:t xml:space="preserve">駿輔</w:t>
      </w:r>
      <w:r>
        <w:rPr>
          <w:vertAlign w:val="superscript"/>
        </w:rPr>
        <w:t xml:space="preserve">2</w:t>
      </w:r>
    </w:p>
    <w:p>
      <w:pPr>
        <w:pStyle w:val="a6"/>
      </w:pPr>
      <w:r>
        <w:rPr>
          <w:rFonts w:hint="eastAsia"/>
        </w:rPr>
        <w:t xml:space="preserve">（</w:t>
      </w:r>
      <w:r>
        <w:rPr>
          <w:vertAlign w:val="superscript"/>
        </w:rPr>
        <w:t xml:space="preserve">1</w:t>
      </w:r>
      <w:r>
        <w:rPr>
          <w:rFonts w:hint="eastAsia"/>
        </w:rPr>
        <w:t xml:space="preserve">協和キリン株式会社、</w:t>
      </w:r>
      <w:r>
        <w:rPr>
          <w:vertAlign w:val="superscript"/>
        </w:rPr>
        <w:t xml:space="preserve">2</w:t>
      </w:r>
      <w:r>
        <w:t xml:space="preserve">ノバルティス </w:t>
      </w:r>
      <w:r>
        <w:rPr>
          <w:rFonts w:hint="eastAsia"/>
        </w:rPr>
        <w:t xml:space="preserve">ファーマ株式会社）</w:t>
      </w:r>
    </w:p>
    <w:p>
      <w:pPr>
        <w:pStyle w:val="BodyText"/>
      </w:pPr>
      <w:r>
        <w:t xml:space="preserve"> </w:t>
      </w:r>
      <w:r>
        <w:t xml:space="preserve"> </w:t>
      </w:r>
    </w:p>
    <w:p>
      <w:pPr>
        <w:pStyle w:val="a3"/>
      </w:pPr>
      <w:r>
        <w:rPr>
          <w:rFonts w:hint="eastAsia"/>
          <w:b/>
          <w:bCs/>
        </w:rPr>
        <w:t xml:space="preserve">【背景・目的】</w:t>
      </w:r>
      <w:r>
        <w:rPr>
          <w:rFonts w:hint="eastAsia"/>
        </w:rPr>
        <w:t xml:space="preserve">Firth法は、ロジスティック回帰の小標本バイアスを低減し、分離への対処にも用いられる。SASとRの実装差はCAMISで報告されているが、小標本・少数イベントの状況で、各設定の違いが結果に及ぼす影響は十分に整理されていない。本研究では、信頼区間・検定方式、標準誤差、計算アルゴリズムおよび収束基準の違いを整理し、結果の差とその要因を数値的に評価した。</w:t>
      </w:r>
    </w:p>
    <w:p>
      <w:pPr>
        <w:pStyle w:val="a3"/>
      </w:pPr>
      <w:r>
        <w:rPr>
          <w:rFonts w:hint="eastAsia"/>
          <w:b/>
          <w:bCs/>
        </w:rPr>
        <w:t xml:space="preserve">【方法】</w:t>
      </w:r>
      <w:r>
        <w:t xml:space="preserve">SAS PROC </w:t>
      </w:r>
      <w:r>
        <w:rPr>
          <w:rFonts w:hint="eastAsia"/>
        </w:rPr>
        <w:t xml:space="preserve">LOGISTIC、SASマクロ%FL、Rのlogistfおよびbrglm2を比較した。2×2表では、複数の総症例数と群配分の組み合わせについて網羅的に設定した。共変量モデルでは、連続共変量間の相関の強さを段階的に変えた条件を設定した。両実装の出力について、信頼区間が対数オッズ比0を含むか、および有意水準に基づく判定が一致するかどうかと、数値差を評価した。</w:t>
      </w:r>
    </w:p>
    <w:p>
      <w:pPr>
        <w:pStyle w:val="a3"/>
      </w:pPr>
      <w:r>
        <w:rPr>
          <w:rFonts w:hint="eastAsia"/>
          <w:b/>
          <w:bCs/>
        </w:rPr>
        <w:t xml:space="preserve">【結果】</w:t>
      </w:r>
      <w:r>
        <w:t xml:space="preserve">PROC </w:t>
      </w:r>
      <w:r>
        <w:rPr>
          <w:rFonts w:hint="eastAsia"/>
        </w:rPr>
        <w:t xml:space="preserve">LOGISTICのWald区間とlogistfのプロファイル罰則付き尤度に基づく区間（PL区間）とで、一部の表において判定が異なった。両者をPL区間に揃えると、これらの判定差は解消した。一方Wald区間同士を比較すると、少数の表で判定差が残ったが、通常の情報行列から求めた共通の標準誤差で区間を再計算すると、判定差は解消した。PROC</w:t>
      </w:r>
      <w:r>
        <w:t xml:space="preserve"> </w:t>
      </w:r>
      <w:r>
        <w:rPr>
          <w:rFonts w:hint="eastAsia"/>
        </w:rPr>
        <w:t xml:space="preserve">LOGISTICとlogistfのPL区間、およびPROC</w:t>
      </w:r>
      <w:r>
        <w:t xml:space="preserve"> </w:t>
      </w:r>
      <w:r>
        <w:rPr>
          <w:rFonts w:hint="eastAsia"/>
        </w:rPr>
        <w:t xml:space="preserve">LOGISTICとbrglm2のWald区間は判定が一致した。</w:t>
      </w:r>
    </w:p>
    <w:p>
      <w:pPr>
        <w:pStyle w:val="a3"/>
      </w:pPr>
      <w:r>
        <w:rPr>
          <w:rFonts w:hint="eastAsia"/>
          <w:b/>
          <w:bCs/>
        </w:rPr>
        <w:t xml:space="preserve">【結論】</w:t>
      </w:r>
      <w:r>
        <w:rPr>
          <w:rFonts w:hint="eastAsia"/>
        </w:rPr>
        <w:t xml:space="preserve">今回検討した条件では、信頼区間の方式と標準誤差の計算方法の違いが判定差の要因となった。実装間の結果を比較する際は、区間・検定方式と標準誤差の定義を確認し、数値差、出力可否、点推定・区間計算それぞれの収束状態を併せて評価する必要がある。</w:t>
      </w:r>
    </w:p>
    <w:sectPr w:rsidR="00200093" w:rsidRPr="00426614" w:rsidSect="00D45BF9">
      <w:pgSz w:code="9" w:h="16840" w:w="11907"/>
      <w:pgMar w:bottom="1418" w:footer="720" w:gutter="0" w:header="720" w:left="1134" w:right="1134" w:top="1418"/>
      <w:cols w:space="720"/>
      <w:noEndnote/>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1"/>
  <w:embedSystemFonts/>
  <w:bordersDoNotSurroundHeader/>
  <w:bordersDoNotSurroundFooter/>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840"/>
  <w:drawingGridHorizontalSpacing w:val="105"/>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2E5E"/>
    <w:rsid w:val="000048A6"/>
    <w:rsid w:val="00053EC4"/>
    <w:rsid w:val="00071822"/>
    <w:rsid w:val="0009113A"/>
    <w:rsid w:val="000E5441"/>
    <w:rsid w:val="001F0A56"/>
    <w:rsid w:val="00200093"/>
    <w:rsid w:val="00271957"/>
    <w:rsid w:val="00304212"/>
    <w:rsid w:val="00426614"/>
    <w:rsid w:val="004C5223"/>
    <w:rsid w:val="004F2218"/>
    <w:rsid w:val="005A47D9"/>
    <w:rsid w:val="005C31D8"/>
    <w:rsid w:val="006623CB"/>
    <w:rsid w:val="00685DD8"/>
    <w:rsid w:val="0069020A"/>
    <w:rsid w:val="006B3B3F"/>
    <w:rsid w:val="006C1048"/>
    <w:rsid w:val="006D2E5E"/>
    <w:rsid w:val="00753A0F"/>
    <w:rsid w:val="00761E0B"/>
    <w:rsid w:val="00773273"/>
    <w:rsid w:val="00773573"/>
    <w:rsid w:val="007823C3"/>
    <w:rsid w:val="007E6E66"/>
    <w:rsid w:val="007E7EDE"/>
    <w:rsid w:val="00804EBB"/>
    <w:rsid w:val="008476CA"/>
    <w:rsid w:val="00851FB9"/>
    <w:rsid w:val="0085729F"/>
    <w:rsid w:val="008F18F2"/>
    <w:rsid w:val="0093358B"/>
    <w:rsid w:val="00A66D9F"/>
    <w:rsid w:val="00A96847"/>
    <w:rsid w:val="00B327C3"/>
    <w:rsid w:val="00B72D63"/>
    <w:rsid w:val="00C00D5A"/>
    <w:rsid w:val="00C977F4"/>
    <w:rsid w:val="00CC176D"/>
    <w:rsid w:val="00CF2FAC"/>
    <w:rsid w:val="00D45B39"/>
    <w:rsid w:val="00D45BF9"/>
    <w:rsid w:val="00DD3B56"/>
    <w:rsid w:val="00E25BCF"/>
    <w:rsid w:val="00E654CA"/>
    <w:rsid w:val="00ED44BF"/>
    <w:rsid w:val="00EE77CF"/>
    <w:rsid w:val="00F937CA"/>
    <w:rsid w:val="00FA36C9"/>
    <w:rsid w:val="00FA3A8C"/>
    <w:rsid w:val="00FB48F3"/>
  </w:rsids>
  <w:themeFontLang w:eastAsia="ja-JP"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ＭＳ 明朝" w:hAnsi="Times New Roman"/>
        <w:lang w:bidi="ar-SA" w:eastAsia="ja"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C00D5A"/>
    <w:pPr>
      <w:widowControl w:val="0"/>
      <w:jc w:val="both"/>
    </w:pPr>
    <w:rPr>
      <w:kern w:val="2"/>
      <w:sz w:val="21"/>
      <w:szCs w:val="21"/>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a3" w:type="paragraph">
    <w:name w:val="抄録本文"/>
    <w:basedOn w:val="a"/>
    <w:rsid w:val="00D45B39"/>
    <w:pPr>
      <w:autoSpaceDE w:val="0"/>
      <w:autoSpaceDN w:val="0"/>
      <w:adjustRightInd w:val="0"/>
      <w:spacing w:line="288" w:lineRule="auto"/>
      <w:jc w:val="both"/>
    </w:pPr>
    <w:rPr>
      <w:rFonts w:ascii="Times New Roman" w:cs="Times New Roman" w:eastAsia="ＭＳ 明朝" w:hAnsi="Times New Roman"/>
      <w:kern w:val="0"/>
      <w:sz w:val="20"/>
      <w:szCs w:val="20"/>
      <w:lang w:val="ja-JP"/>
    </w:rPr>
  </w:style>
  <w:style w:customStyle="1" w:styleId="a4" w:type="paragraph">
    <w:name w:val="演題名"/>
    <w:basedOn w:val="a"/>
    <w:rsid w:val="00D45B39"/>
    <w:pPr>
      <w:autoSpaceDE w:val="0"/>
      <w:autoSpaceDN w:val="0"/>
      <w:adjustRightInd w:val="0"/>
      <w:jc w:val="center"/>
    </w:pPr>
    <w:rPr>
      <w:rFonts w:ascii="Times New Roman" w:cs="Times New Roman" w:eastAsia="ＭＳ 明朝" w:hAnsi="Times New Roman"/>
      <w:kern w:val="0"/>
      <w:sz w:val="32"/>
      <w:szCs w:val="32"/>
      <w:lang w:val="ja-JP"/>
    </w:rPr>
  </w:style>
  <w:style w:customStyle="1" w:styleId="a5" w:type="paragraph">
    <w:name w:val="演者名"/>
    <w:basedOn w:val="a"/>
    <w:rsid w:val="00D45B39"/>
    <w:pPr>
      <w:autoSpaceDE w:val="0"/>
      <w:autoSpaceDN w:val="0"/>
      <w:adjustRightInd w:val="0"/>
      <w:jc w:val="center"/>
    </w:pPr>
    <w:rPr>
      <w:rFonts w:ascii="Times New Roman" w:cs="Times New Roman" w:eastAsia="ＭＳ 明朝" w:hAnsi="Times New Roman"/>
      <w:kern w:val="0"/>
      <w:sz w:val="22"/>
      <w:szCs w:val="22"/>
      <w:lang w:val="ja-JP"/>
    </w:rPr>
  </w:style>
  <w:style w:customStyle="1" w:styleId="a6" w:type="paragraph">
    <w:name w:val="演者所属"/>
    <w:basedOn w:val="a"/>
    <w:rsid w:val="00D45B39"/>
    <w:pPr>
      <w:autoSpaceDE w:val="0"/>
      <w:autoSpaceDN w:val="0"/>
      <w:adjustRightInd w:val="0"/>
      <w:spacing w:before="120" w:beforeLines="50"/>
      <w:jc w:val="center"/>
    </w:pPr>
    <w:rPr>
      <w:rFonts w:ascii="Times New Roman" w:cs="Times New Roman" w:eastAsia="ＭＳ 明朝" w:hAnsi="Times New Roman"/>
      <w:kern w:val="0"/>
      <w:sz w:val="22"/>
      <w:szCs w:val="22"/>
      <w:lang w:val="ja-JP"/>
    </w:rPr>
  </w:style>
  <w:style w:customStyle="1" w:styleId="2" w:type="paragraph">
    <w:name w:val="演者所属_2行目以降"/>
    <w:basedOn w:val="a"/>
    <w:rsid w:val="00D45B39"/>
    <w:pPr>
      <w:autoSpaceDE w:val="0"/>
      <w:autoSpaceDN w:val="0"/>
      <w:adjustRightInd w:val="0"/>
      <w:jc w:val="center"/>
    </w:pPr>
    <w:rPr>
      <w:rFonts w:ascii="Times New Roman" w:cs="Times New Roman" w:eastAsia="ＭＳ 明朝" w:hAnsi="Times New Roman"/>
      <w:kern w:val="0"/>
      <w:sz w:val="22"/>
      <w:szCs w:val="22"/>
      <w:lang w:val="ja-JP"/>
    </w:rPr>
  </w:style>
  <w:style w:styleId="a7" w:type="paragraph">
    <w:name w:val="Revision"/>
    <w:hidden/>
    <w:uiPriority w:val="99"/>
    <w:semiHidden/>
    <w:rsid w:val="00EE77CF"/>
    <w:rPr>
      <w:kern w:val="2"/>
      <w:sz w:val="21"/>
      <w:szCs w:val="21"/>
    </w:rPr>
  </w:style>
  <w:style w:styleId="a8" w:type="paragraph">
    <w:name w:val="Balloon Text"/>
    <w:basedOn w:val="a"/>
    <w:link w:val="a9"/>
    <w:uiPriority w:val="99"/>
    <w:semiHidden/>
    <w:unhideWhenUsed/>
    <w:rsid w:val="00EE77CF"/>
    <w:rPr>
      <w:rFonts w:ascii="游ゴシック Light" w:eastAsia="游ゴシック Light" w:hAnsi="游ゴシック Light"/>
      <w:sz w:val="18"/>
      <w:szCs w:val="18"/>
    </w:rPr>
  </w:style>
  <w:style w:customStyle="1" w:styleId="a9" w:type="character">
    <w:name w:val="吹き出し (文字)"/>
    <w:link w:val="a8"/>
    <w:uiPriority w:val="99"/>
    <w:semiHidden/>
    <w:rsid w:val="00EE77CF"/>
    <w:rPr>
      <w:rFonts w:ascii="游ゴシック Light" w:cs="Times New Roman" w:eastAsia="游ゴシック Light" w:hAnsi="游ゴシック Light"/>
      <w:kern w:val="2"/>
      <w:sz w:val="18"/>
      <w:szCs w:val="18"/>
    </w:rPr>
  </w:style>
  <w:style w:styleId="aa" w:type="paragraph">
    <w:name w:val="header"/>
    <w:basedOn w:val="a"/>
    <w:link w:val="ab"/>
    <w:uiPriority w:val="99"/>
    <w:unhideWhenUsed/>
    <w:rsid w:val="00B72D63"/>
    <w:pPr>
      <w:tabs>
        <w:tab w:pos="4252" w:val="center"/>
        <w:tab w:pos="8504" w:val="right"/>
      </w:tabs>
      <w:snapToGrid w:val="0"/>
    </w:pPr>
  </w:style>
  <w:style w:customStyle="1" w:styleId="ab" w:type="character">
    <w:name w:val="ヘッダー (文字)"/>
    <w:link w:val="aa"/>
    <w:uiPriority w:val="99"/>
    <w:rsid w:val="00B72D63"/>
    <w:rPr>
      <w:kern w:val="2"/>
      <w:sz w:val="21"/>
      <w:szCs w:val="21"/>
    </w:rPr>
  </w:style>
  <w:style w:styleId="ac" w:type="paragraph">
    <w:name w:val="footer"/>
    <w:basedOn w:val="a"/>
    <w:link w:val="ad"/>
    <w:uiPriority w:val="99"/>
    <w:unhideWhenUsed/>
    <w:rsid w:val="00B72D63"/>
    <w:pPr>
      <w:tabs>
        <w:tab w:pos="4252" w:val="center"/>
        <w:tab w:pos="8504" w:val="right"/>
      </w:tabs>
      <w:snapToGrid w:val="0"/>
    </w:pPr>
  </w:style>
  <w:style w:customStyle="1" w:styleId="ad" w:type="character">
    <w:name w:val="フッター (文字)"/>
    <w:link w:val="ac"/>
    <w:uiPriority w:val="99"/>
    <w:rsid w:val="00B72D63"/>
    <w:rPr>
      <w:kern w:val="2"/>
      <w:sz w:val="21"/>
      <w:szCs w:val="21"/>
    </w:rPr>
  </w:style>
  <w:style w:styleId="ae" w:type="character">
    <w:name w:val="Hyperlink"/>
    <w:uiPriority w:val="99"/>
    <w:unhideWhenUsed/>
    <w:rsid w:val="00200093"/>
    <w:rPr>
      <w:color w:val="0563C1"/>
      <w:u w:val="single"/>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Words>
  <Characters>513</Characters>
  <Application>Microsoft Office Word</Application>
  <DocSecurity>0</DocSecurity>
  <Lines>4</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抄録原稿用テンプレート</vt:lpstr>
      <vt:lpstr>ジメチル-β-シクロデキストリンによるトルブタミドの結晶化経路の制御</vt:lpstr>
    </vt:vector>
  </TitlesOfParts>
  <Company>アイシーエス企画</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2026-09-16T04:59:09Z</dcterms:created>
  <dcterms:modified xsi:type="dcterms:W3CDTF">2026-09-16T04:59:09Z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目次</vt:lpwstr>
  </property>
</Properties>
</file>